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小标宋简体" w:hAnsi="方正小标宋简体" w:eastAsia="方正小标宋简体" w:cs="方正小标宋简体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散居孤儿和事实无人抚养儿童基本生活补贴</w:t>
      </w:r>
    </w:p>
    <w:p>
      <w:pPr>
        <w:jc w:val="center"/>
        <w:rPr>
          <w:rFonts w:hint="eastAsia" w:ascii="方正小标宋简体" w:hAnsi="方正小标宋简体" w:eastAsia="方正小标宋简体" w:cs="方正小标宋简体"/>
          <w:sz w:val="36"/>
          <w:szCs w:val="36"/>
        </w:rPr>
      </w:pPr>
    </w:p>
    <w:p>
      <w:pPr>
        <w:jc w:val="left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1、发放范围</w:t>
      </w:r>
    </w:p>
    <w:p>
      <w:pPr>
        <w:jc w:val="left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 xml:space="preserve">    （1）散居孤儿：具有桥西区户籍，未满18周岁，失去父母或查找不到生父母的未成年人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0"/>
          <w:szCs w:val="30"/>
        </w:rPr>
        <w:t>。</w:t>
      </w:r>
    </w:p>
    <w:p>
      <w:pPr>
        <w:jc w:val="left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 xml:space="preserve">    （2）事实无人抚养儿童：具有桥西区户籍，未满18周岁，父母双方同时出现以下任意一种情况的未成年人：双方重残、重病或服刑；一方死亡，另一方重残、重病或服刑；一方失联，另一方重残、重病或服刑；一方重残，另一方服刑。</w:t>
      </w:r>
    </w:p>
    <w:p>
      <w:pPr>
        <w:jc w:val="left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 xml:space="preserve">       2、发放流程及标准</w:t>
      </w:r>
    </w:p>
    <w:p>
      <w:pPr>
        <w:jc w:val="left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 xml:space="preserve">由监护人持下列相关证件及资料提交至居委会进行申请。                                                                                                              </w:t>
      </w:r>
    </w:p>
    <w:p>
      <w:pPr>
        <w:jc w:val="left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 xml:space="preserve">   （一）个人申请书；</w:t>
      </w:r>
    </w:p>
    <w:p>
      <w:pPr>
        <w:jc w:val="left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 xml:space="preserve">   （二）居委会开具的家庭情况说明；</w:t>
      </w:r>
    </w:p>
    <w:p>
      <w:pPr>
        <w:jc w:val="left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 xml:space="preserve">   （三）申请人身份证、户口本原件及复印件；</w:t>
      </w:r>
    </w:p>
    <w:p>
      <w:pPr>
        <w:jc w:val="left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 xml:space="preserve">   （四）监护人身份证、户口本原件及复印件；                                                        </w:t>
      </w:r>
    </w:p>
    <w:p>
      <w:pPr>
        <w:jc w:val="left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 xml:space="preserve">   （五）根据上述不同类别提供相对应的证件及证明；</w:t>
      </w:r>
    </w:p>
    <w:p>
      <w:pPr>
        <w:jc w:val="left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 xml:space="preserve">      3、申请人符合条件的填写《散居孤儿基本生活费申请审批表》或《事实无人抚养儿童基本生活费申请审批表》，居委会初审后，上报街道。                                                                                                                                                                                      4、街道审核后，将个人信息录入《全国儿童福利信息系统》提交区民政局。</w:t>
      </w:r>
    </w:p>
    <w:p>
      <w:pPr>
        <w:jc w:val="left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 xml:space="preserve">    5、区民政局审批后次月发放补助，补助标准为每人每月1100元。</w:t>
      </w:r>
    </w:p>
    <w:p>
      <w:pPr>
        <w:jc w:val="center"/>
        <w:rPr>
          <w:rFonts w:hint="eastAsia" w:ascii="方正小标宋简体" w:hAnsi="方正小标宋简体" w:eastAsia="方正小标宋简体" w:cs="方正小标宋简体"/>
          <w:sz w:val="36"/>
          <w:szCs w:val="36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BD17106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Office_11.1.0.10578_F1E327BC-269C-435d-A152-05C5408002CA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lenovo</dc:creator>
  <cp:lastModifiedBy>请客就去</cp:lastModifiedBy>
  <dcterms:modified xsi:type="dcterms:W3CDTF">2021-06-28T08:01:01Z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2052-11.1.0.10578</vt:lpwstr>
  </property>
  <property fmtid="{D5CDD505-2E9C-101B-9397-08002B2CF9AE}" pid="3" name="ICV">
    <vt:lpwstr>C60EDE60172B4833BB482FED4B47779E</vt:lpwstr>
  </property>
</Properties>
</file>