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党校2022年度整体支出绩效自评报告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党校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rPr>
          <w:rFonts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中共石家庄市桥西区委党校属于参照公务员管理的事业单位，财务工作隶属桥西区财政局统一管理，执行事业单位会计制度。</w:t>
      </w:r>
    </w:p>
    <w:p>
      <w:pPr>
        <w:adjustRightInd w:val="0"/>
        <w:snapToGrid w:val="0"/>
        <w:spacing w:line="560" w:lineRule="exact"/>
        <w:rPr>
          <w:rFonts w:ascii="仿宋" w:hAnsi="仿宋" w:eastAsia="仿宋" w:cs="仿宋"/>
          <w:sz w:val="28"/>
          <w:szCs w:val="28"/>
        </w:rPr>
      </w:pPr>
      <w:r>
        <w:rPr>
          <w:rFonts w:hint="eastAsia" w:ascii="仿宋" w:hAnsi="仿宋" w:eastAsia="仿宋" w:cs="仿宋"/>
          <w:sz w:val="28"/>
          <w:szCs w:val="28"/>
        </w:rPr>
        <w:t>根据桥西区委关于做好干部培训工作的有关要求，2022年区委党校在全区举办科级干部轮训班，并且根据工作需要举办其他主体班，开展送课下基层等干部培训、流动党校培训工作。</w:t>
      </w:r>
    </w:p>
    <w:p>
      <w:pPr>
        <w:numPr>
          <w:ilvl w:val="0"/>
          <w:numId w:val="1"/>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rPr>
          <w:rFonts w:ascii="楷体" w:hAnsi="楷体" w:eastAsia="楷体" w:cs="楷体_GB2312"/>
          <w:bCs/>
          <w:sz w:val="32"/>
          <w:szCs w:val="32"/>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中共石家庄市桥西区委党校已完成了2022年度的预决算公开工作，2022年年度党校收入合计3364500元，支付合计3364500元，干部培训项目收入合计5万元，支出合计5万元。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line="600" w:lineRule="exact"/>
        <w:ind w:firstLine="560"/>
        <w:jc w:val="left"/>
        <w:rPr>
          <w:rFonts w:ascii="仿宋" w:hAnsi="仿宋" w:eastAsia="仿宋" w:cs="仿宋"/>
          <w:sz w:val="28"/>
          <w:szCs w:val="28"/>
        </w:rPr>
      </w:pPr>
      <w:r>
        <w:rPr>
          <w:rFonts w:hint="eastAsia" w:ascii="仿宋" w:hAnsi="仿宋" w:eastAsia="仿宋" w:cs="仿宋"/>
          <w:sz w:val="28"/>
          <w:szCs w:val="28"/>
        </w:rPr>
        <w:t>1、预期绩效总目标</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根据党中央、省市和区委关于建设高素质干部队伍的要求，有计划地培训、轮训党员领导干部和宣传骨干；结合全区经济社会发展实际，以研讨中央重大理论和方针、政策问题为目的，举办各种专题研讨班；利用教学资源进行干部短期培训。</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2、主要绩效目标</w:t>
      </w:r>
    </w:p>
    <w:p>
      <w:pPr>
        <w:adjustRightInd w:val="0"/>
        <w:snapToGrid w:val="0"/>
        <w:spacing w:line="560" w:lineRule="exact"/>
        <w:ind w:firstLine="560" w:firstLineChars="200"/>
        <w:rPr>
          <w:rFonts w:ascii="仿宋" w:hAnsi="仿宋" w:eastAsia="仿宋" w:cs="仿宋"/>
          <w:sz w:val="28"/>
          <w:szCs w:val="28"/>
        </w:rPr>
      </w:pPr>
      <w:r>
        <w:rPr>
          <w:rFonts w:hint="eastAsia" w:ascii="仿宋" w:hAnsi="仿宋" w:eastAsia="仿宋" w:cs="仿宋"/>
          <w:sz w:val="28"/>
          <w:szCs w:val="28"/>
        </w:rPr>
        <w:t>干部培训、流动党校培训工作的主要绩效目标为通过外请专家学者授课，开拓学员思路；通过现场教学、情景教学、案例教学，有效提高培训质量，提高学员解决实际问题的能力。按照实事求是、与时俱进、艰苦奋斗、执政为民的要求，培养忠诚于中国特色社会主义事业、德才兼备的党员领导干部和理论干部，有效提高干部的政策理论水平、思想觉悟和执政能力。</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楷体" w:hAnsi="楷体" w:eastAsia="楷体" w:cs="楷体_GB2312"/>
          <w:bCs/>
          <w:sz w:val="32"/>
          <w:szCs w:val="32"/>
        </w:rPr>
        <w:t xml:space="preserve">   （一）自评的组织工作</w:t>
      </w:r>
    </w:p>
    <w:p>
      <w:pPr>
        <w:spacing w:line="600" w:lineRule="exact"/>
        <w:jc w:val="left"/>
        <w:rPr>
          <w:rFonts w:ascii="仿宋" w:hAnsi="仿宋" w:eastAsia="仿宋" w:cs="仿宋"/>
          <w:sz w:val="28"/>
          <w:szCs w:val="28"/>
        </w:rPr>
      </w:pPr>
      <w:r>
        <w:rPr>
          <w:rFonts w:hint="eastAsia" w:ascii="仿宋" w:hAnsi="仿宋" w:eastAsia="仿宋" w:cs="仿宋"/>
          <w:sz w:val="28"/>
          <w:szCs w:val="28"/>
        </w:rPr>
        <w:t xml:space="preserve">    根据</w:t>
      </w:r>
      <w:r>
        <w:rPr>
          <w:rFonts w:hint="eastAsia" w:ascii="仿宋" w:hAnsi="仿宋" w:eastAsia="仿宋" w:cs="仿宋"/>
          <w:color w:val="000000"/>
          <w:sz w:val="28"/>
          <w:szCs w:val="28"/>
        </w:rPr>
        <w:t>《桥西区财政局关于开展2022年度财政专项资金部门绩效自评价工作的通知》，</w:t>
      </w:r>
      <w:r>
        <w:rPr>
          <w:rFonts w:hint="eastAsia" w:ascii="仿宋" w:hAnsi="仿宋" w:eastAsia="仿宋" w:cs="仿宋"/>
          <w:sz w:val="28"/>
          <w:szCs w:val="28"/>
        </w:rPr>
        <w:t>党校成立绩效评价工作小组，对干部培训工作进行核查。</w:t>
      </w:r>
    </w:p>
    <w:p>
      <w:pPr>
        <w:spacing w:line="560" w:lineRule="exact"/>
        <w:rPr>
          <w:rFonts w:ascii="仿宋" w:hAnsi="仿宋" w:eastAsia="仿宋"/>
          <w:sz w:val="32"/>
          <w:szCs w:val="32"/>
        </w:rPr>
      </w:pPr>
      <w:r>
        <w:rPr>
          <w:rFonts w:hint="eastAsia" w:ascii="仿宋" w:hAnsi="仿宋" w:eastAsia="仿宋" w:cs="仿宋"/>
          <w:sz w:val="28"/>
          <w:szCs w:val="28"/>
        </w:rPr>
        <w:t>工作小组针对项目进行前期调研，对相关文件、申报资料等资料进行收集整理，查询相关合同和记账凭证进行核实、汇总，安排专门的调研、实地考察、访谈等工作，结合具体项目内容，设计绩效评价的指标体系，真实、完整、全面地评价项目的实施建设及完成情况。</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本次绩效评价采用以下方法：一是资料整理法。通过对相关业务合同和记账凭证等财务资料查阅、核实、汇总分析，评价项目资金使用的规范性、支出范围的相关性和合理性等指标。二是访谈调查法。了解基层干部对组织培训班次、培训覆盖率、培训内容、专题设置的满意度。</w:t>
      </w:r>
    </w:p>
    <w:p>
      <w:pPr>
        <w:spacing w:line="600" w:lineRule="exact"/>
        <w:ind w:firstLine="560" w:firstLineChars="200"/>
        <w:jc w:val="left"/>
        <w:rPr>
          <w:rFonts w:ascii="楷体" w:hAnsi="楷体" w:eastAsia="楷体" w:cs="楷体_GB2312"/>
          <w:bCs/>
          <w:sz w:val="32"/>
          <w:szCs w:val="32"/>
        </w:rPr>
      </w:pPr>
      <w:r>
        <w:rPr>
          <w:rFonts w:hint="eastAsia" w:ascii="仿宋" w:hAnsi="仿宋" w:eastAsia="仿宋" w:cs="仿宋"/>
          <w:sz w:val="28"/>
          <w:szCs w:val="28"/>
        </w:rPr>
        <w:t>通过以上方法收集有关资料，进行研究分析，确定各项指标完成程度及得分，找出项目实施中存在的问题，分析原因，提出建议，形成绩效评价报告。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600" w:lineRule="exact"/>
        <w:jc w:val="left"/>
        <w:rPr>
          <w:rFonts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根据绩效评价内容，经确定指标体系有4项一级指标、8项二级指标、下设21项三级指标。</w:t>
      </w:r>
    </w:p>
    <w:p>
      <w:pPr>
        <w:spacing w:line="600" w:lineRule="exact"/>
        <w:rPr>
          <w:rFonts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干部培训、流动党校培训工作的专项资金绩效评价总得分100</w:t>
      </w:r>
      <w:r>
        <w:rPr>
          <w:rFonts w:hint="eastAsia" w:ascii="仿宋" w:hAnsi="仿宋" w:eastAsia="仿宋" w:cs="仿宋"/>
          <w:color w:val="000000"/>
          <w:sz w:val="28"/>
          <w:szCs w:val="28"/>
        </w:rPr>
        <w:t>分</w:t>
      </w:r>
      <w:r>
        <w:rPr>
          <w:rFonts w:hint="eastAsia" w:ascii="仿宋" w:hAnsi="仿宋" w:eastAsia="仿宋" w:cs="仿宋"/>
          <w:sz w:val="28"/>
          <w:szCs w:val="28"/>
        </w:rPr>
        <w:t>，绩效评价等级为优秀。具体如下表：</w:t>
      </w:r>
    </w:p>
    <w:p>
      <w:pPr>
        <w:numPr>
          <w:ilvl w:val="0"/>
          <w:numId w:val="3"/>
        </w:numPr>
        <w:spacing w:line="600" w:lineRule="exact"/>
        <w:ind w:firstLine="2240"/>
        <w:jc w:val="left"/>
        <w:rPr>
          <w:rFonts w:ascii="仿宋" w:hAnsi="仿宋" w:eastAsia="仿宋" w:cs="仿宋"/>
          <w:sz w:val="28"/>
          <w:szCs w:val="28"/>
        </w:rPr>
      </w:pPr>
      <w:r>
        <w:rPr>
          <w:rFonts w:hint="eastAsia" w:ascii="仿宋" w:hAnsi="仿宋" w:eastAsia="仿宋" w:cs="仿宋"/>
          <w:sz w:val="28"/>
          <w:szCs w:val="28"/>
        </w:rPr>
        <w:t>表一     指标体系及得分情况</w:t>
      </w:r>
    </w:p>
    <w:tbl>
      <w:tblPr>
        <w:tblStyle w:val="5"/>
        <w:tblW w:w="10241"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1159"/>
        <w:gridCol w:w="1249"/>
        <w:gridCol w:w="1274"/>
        <w:gridCol w:w="607"/>
        <w:gridCol w:w="2796"/>
        <w:gridCol w:w="2502"/>
        <w:gridCol w:w="6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286" w:hRule="atLeast"/>
          <w:jc w:val="center"/>
        </w:trPr>
        <w:tc>
          <w:tcPr>
            <w:tcW w:w="1159"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一级指标</w:t>
            </w:r>
          </w:p>
        </w:tc>
        <w:tc>
          <w:tcPr>
            <w:tcW w:w="1249"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二级指标</w:t>
            </w:r>
          </w:p>
        </w:tc>
        <w:tc>
          <w:tcPr>
            <w:tcW w:w="1274"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三级指标</w:t>
            </w:r>
          </w:p>
        </w:tc>
        <w:tc>
          <w:tcPr>
            <w:tcW w:w="607"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权重</w:t>
            </w:r>
          </w:p>
        </w:tc>
        <w:tc>
          <w:tcPr>
            <w:tcW w:w="2796"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指标说明</w:t>
            </w:r>
          </w:p>
        </w:tc>
        <w:tc>
          <w:tcPr>
            <w:tcW w:w="2502"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评分标准</w:t>
            </w:r>
          </w:p>
        </w:tc>
        <w:tc>
          <w:tcPr>
            <w:tcW w:w="654" w:type="dxa"/>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restart"/>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项目产出（40）分</w:t>
            </w:r>
          </w:p>
        </w:tc>
        <w:tc>
          <w:tcPr>
            <w:tcW w:w="1249"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数量指标（10）分</w:t>
            </w: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委托单位课程完成率</w:t>
            </w:r>
          </w:p>
        </w:tc>
        <w:tc>
          <w:tcPr>
            <w:tcW w:w="607"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10</w:t>
            </w:r>
          </w:p>
        </w:tc>
        <w:tc>
          <w:tcPr>
            <w:tcW w:w="2796"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委托单位培训课程完成程度</w:t>
            </w:r>
          </w:p>
        </w:tc>
        <w:tc>
          <w:tcPr>
            <w:tcW w:w="2502"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达到90%得10分，未达到不得分</w:t>
            </w:r>
          </w:p>
        </w:tc>
        <w:tc>
          <w:tcPr>
            <w:tcW w:w="65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continue"/>
            <w:vAlign w:val="center"/>
          </w:tcPr>
          <w:p>
            <w:pPr>
              <w:widowControl/>
              <w:jc w:val="center"/>
              <w:textAlignment w:val="center"/>
              <w:rPr>
                <w:rFonts w:ascii="仿宋" w:hAnsi="仿宋" w:eastAsia="仿宋" w:cs="仿宋"/>
                <w:color w:val="000000"/>
                <w:kern w:val="0"/>
                <w:sz w:val="24"/>
              </w:rPr>
            </w:pPr>
          </w:p>
        </w:tc>
        <w:tc>
          <w:tcPr>
            <w:tcW w:w="1249"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质量指标（10）分</w:t>
            </w: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培训知晓率</w:t>
            </w: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10</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受训单位对培训教学的知晓程度</w:t>
            </w:r>
          </w:p>
        </w:tc>
        <w:tc>
          <w:tcPr>
            <w:tcW w:w="2502"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达到90%得10分，未达到不得分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sz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continue"/>
            <w:vAlign w:val="center"/>
          </w:tcPr>
          <w:p>
            <w:pPr>
              <w:widowControl/>
              <w:jc w:val="center"/>
              <w:textAlignment w:val="center"/>
              <w:rPr>
                <w:rFonts w:ascii="仿宋" w:hAnsi="仿宋" w:eastAsia="仿宋" w:cs="仿宋"/>
                <w:color w:val="000000"/>
                <w:kern w:val="0"/>
                <w:sz w:val="24"/>
              </w:rPr>
            </w:pPr>
          </w:p>
        </w:tc>
        <w:tc>
          <w:tcPr>
            <w:tcW w:w="1249"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时效指标（10）分</w:t>
            </w: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培训、轮训工作完成率</w:t>
            </w: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10</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年度内已完成的培训、轮训工作量占计划量的比例</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达到90%得10分，未达到不得分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continue"/>
            <w:vAlign w:val="center"/>
          </w:tcPr>
          <w:p>
            <w:pPr>
              <w:widowControl/>
              <w:jc w:val="center"/>
              <w:textAlignment w:val="center"/>
              <w:rPr>
                <w:rFonts w:ascii="仿宋" w:hAnsi="仿宋" w:eastAsia="仿宋" w:cs="仿宋"/>
                <w:color w:val="000000"/>
                <w:kern w:val="0"/>
                <w:sz w:val="24"/>
              </w:rPr>
            </w:pPr>
          </w:p>
        </w:tc>
        <w:tc>
          <w:tcPr>
            <w:tcW w:w="1249"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成本指标（10）分</w:t>
            </w: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培训经费使用情况</w:t>
            </w:r>
          </w:p>
        </w:tc>
        <w:tc>
          <w:tcPr>
            <w:tcW w:w="607"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10</w:t>
            </w:r>
          </w:p>
        </w:tc>
        <w:tc>
          <w:tcPr>
            <w:tcW w:w="2796"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培训经费是否超出或未达到财政拨款金额</w:t>
            </w:r>
          </w:p>
        </w:tc>
        <w:tc>
          <w:tcPr>
            <w:tcW w:w="2502"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与财政拨款一致得10分，与财政拨款不相符不得分</w:t>
            </w:r>
          </w:p>
        </w:tc>
        <w:tc>
          <w:tcPr>
            <w:tcW w:w="65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restart"/>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预算执行率</w:t>
            </w:r>
          </w:p>
          <w:p>
            <w:pPr>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（10）分</w:t>
            </w:r>
          </w:p>
        </w:tc>
        <w:tc>
          <w:tcPr>
            <w:tcW w:w="1249" w:type="dxa"/>
            <w:vMerge w:val="restart"/>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预算执行率</w:t>
            </w:r>
          </w:p>
          <w:p>
            <w:pPr>
              <w:jc w:val="center"/>
              <w:rPr>
                <w:rFonts w:ascii="仿宋" w:hAnsi="仿宋" w:eastAsia="仿宋" w:cs="仿宋"/>
                <w:color w:val="000000"/>
                <w:kern w:val="0"/>
                <w:sz w:val="24"/>
              </w:rPr>
            </w:pPr>
            <w:r>
              <w:rPr>
                <w:rFonts w:hint="eastAsia" w:ascii="仿宋" w:hAnsi="仿宋" w:eastAsia="仿宋" w:cs="仿宋"/>
                <w:color w:val="000000"/>
                <w:kern w:val="0"/>
                <w:sz w:val="24"/>
              </w:rPr>
              <w:t>（10）分</w:t>
            </w: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实际完成情况</w:t>
            </w:r>
          </w:p>
        </w:tc>
        <w:tc>
          <w:tcPr>
            <w:tcW w:w="607"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2</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组织干部参加培训</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组织得2分，未组织不得分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continue"/>
            <w:vAlign w:val="center"/>
          </w:tcPr>
          <w:p>
            <w:pPr>
              <w:widowControl/>
              <w:jc w:val="center"/>
              <w:textAlignment w:val="center"/>
              <w:rPr>
                <w:rFonts w:ascii="仿宋" w:hAnsi="仿宋" w:eastAsia="仿宋" w:cs="仿宋"/>
                <w:color w:val="000000"/>
                <w:kern w:val="0"/>
                <w:sz w:val="24"/>
              </w:rPr>
            </w:pPr>
          </w:p>
        </w:tc>
        <w:tc>
          <w:tcPr>
            <w:tcW w:w="1249" w:type="dxa"/>
            <w:vMerge w:val="continue"/>
            <w:vAlign w:val="center"/>
          </w:tcPr>
          <w:p>
            <w:pPr>
              <w:jc w:val="center"/>
              <w:rPr>
                <w:rFonts w:ascii="仿宋" w:hAnsi="仿宋" w:eastAsia="仿宋" w:cs="仿宋"/>
                <w:color w:val="000000"/>
                <w:sz w:val="24"/>
              </w:rPr>
            </w:pPr>
          </w:p>
        </w:tc>
        <w:tc>
          <w:tcPr>
            <w:tcW w:w="1274" w:type="dxa"/>
            <w:vMerge w:val="restart"/>
            <w:vAlign w:val="center"/>
          </w:tcPr>
          <w:p>
            <w:pPr>
              <w:jc w:val="center"/>
              <w:rPr>
                <w:rFonts w:ascii="仿宋" w:hAnsi="仿宋" w:eastAsia="仿宋" w:cs="仿宋"/>
                <w:color w:val="000000"/>
                <w:sz w:val="24"/>
              </w:rPr>
            </w:pPr>
          </w:p>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完成及时情况</w:t>
            </w:r>
          </w:p>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举办不同专题培训班</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举办得2分，未举办不得分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Merge w:val="continue"/>
            <w:vAlign w:val="center"/>
          </w:tcPr>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开展流动党校“五进”活动</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开展得2分，未开展不得分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495"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Merge w:val="continue"/>
            <w:vAlign w:val="center"/>
          </w:tcPr>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及时组织干部参加培训班,项目培训及时完成</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及时得2分，不及时不得分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1234"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完成及时情况</w:t>
            </w: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kern w:val="0"/>
                <w:sz w:val="24"/>
              </w:rPr>
              <w:t>2</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kern w:val="0"/>
                <w:sz w:val="24"/>
              </w:rPr>
              <w:t>根据基层单位具体需求及时上门送课授课</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kern w:val="0"/>
                <w:sz w:val="24"/>
              </w:rPr>
              <w:t>及时得2分，不及时不得分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kern w:val="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734" w:hRule="atLeast"/>
          <w:jc w:val="center"/>
        </w:trPr>
        <w:tc>
          <w:tcPr>
            <w:tcW w:w="1159" w:type="dxa"/>
            <w:vMerge w:val="restart"/>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项目效果</w:t>
            </w:r>
          </w:p>
          <w:p>
            <w:pPr>
              <w:jc w:val="center"/>
              <w:rPr>
                <w:rFonts w:ascii="仿宋" w:hAnsi="仿宋" w:eastAsia="仿宋" w:cs="仿宋"/>
                <w:color w:val="000000"/>
                <w:sz w:val="24"/>
              </w:rPr>
            </w:pPr>
            <w:r>
              <w:rPr>
                <w:rFonts w:hint="eastAsia" w:ascii="仿宋" w:hAnsi="仿宋" w:eastAsia="仿宋" w:cs="仿宋"/>
                <w:color w:val="000000"/>
                <w:kern w:val="0"/>
                <w:sz w:val="24"/>
              </w:rPr>
              <w:t>（40分）</w:t>
            </w:r>
          </w:p>
        </w:tc>
        <w:tc>
          <w:tcPr>
            <w:tcW w:w="1249" w:type="dxa"/>
            <w:vMerge w:val="restart"/>
            <w:vAlign w:val="center"/>
          </w:tcPr>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项目效果</w:t>
            </w:r>
          </w:p>
          <w:p>
            <w:pPr>
              <w:jc w:val="center"/>
              <w:rPr>
                <w:rFonts w:ascii="仿宋" w:hAnsi="仿宋" w:eastAsia="仿宋" w:cs="仿宋"/>
                <w:color w:val="000000"/>
                <w:sz w:val="24"/>
              </w:rPr>
            </w:pPr>
            <w:r>
              <w:rPr>
                <w:rFonts w:hint="eastAsia" w:ascii="仿宋" w:hAnsi="仿宋" w:eastAsia="仿宋" w:cs="仿宋"/>
                <w:color w:val="000000"/>
                <w:kern w:val="0"/>
                <w:sz w:val="24"/>
              </w:rPr>
              <w:t>（40分）</w:t>
            </w:r>
          </w:p>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kern w:val="0"/>
                <w:sz w:val="24"/>
              </w:rPr>
            </w:pPr>
            <w:r>
              <w:rPr>
                <w:rFonts w:hint="eastAsia" w:ascii="仿宋" w:hAnsi="仿宋" w:eastAsia="仿宋" w:cs="仿宋"/>
                <w:color w:val="000000"/>
                <w:kern w:val="0"/>
                <w:sz w:val="24"/>
              </w:rPr>
              <w:t>经济效益</w:t>
            </w:r>
          </w:p>
        </w:tc>
        <w:tc>
          <w:tcPr>
            <w:tcW w:w="607" w:type="dxa"/>
            <w:vAlign w:val="center"/>
          </w:tcPr>
          <w:p>
            <w:pPr>
              <w:widowControl/>
              <w:jc w:val="center"/>
              <w:textAlignment w:val="center"/>
              <w:rPr>
                <w:rFonts w:ascii="仿宋" w:hAnsi="仿宋" w:eastAsia="仿宋" w:cs="仿宋"/>
                <w:kern w:val="0"/>
                <w:sz w:val="24"/>
              </w:rPr>
            </w:pPr>
            <w:r>
              <w:rPr>
                <w:rFonts w:hint="eastAsia" w:ascii="仿宋" w:hAnsi="仿宋" w:eastAsia="仿宋" w:cs="仿宋"/>
                <w:kern w:val="0"/>
                <w:sz w:val="24"/>
              </w:rPr>
              <w:t>8</w:t>
            </w:r>
          </w:p>
        </w:tc>
        <w:tc>
          <w:tcPr>
            <w:tcW w:w="2796" w:type="dxa"/>
            <w:vAlign w:val="center"/>
          </w:tcPr>
          <w:p>
            <w:pPr>
              <w:widowControl/>
              <w:jc w:val="left"/>
              <w:textAlignment w:val="center"/>
              <w:rPr>
                <w:rFonts w:ascii="仿宋" w:hAnsi="仿宋" w:eastAsia="仿宋" w:cs="仿宋"/>
                <w:kern w:val="0"/>
                <w:sz w:val="24"/>
              </w:rPr>
            </w:pPr>
            <w:r>
              <w:rPr>
                <w:rFonts w:hint="eastAsia" w:ascii="仿宋" w:hAnsi="仿宋" w:eastAsia="仿宋" w:cs="仿宋"/>
                <w:color w:val="000000"/>
                <w:kern w:val="0"/>
                <w:sz w:val="24"/>
              </w:rPr>
              <w:t>为区域经济发展提供人才保证</w:t>
            </w:r>
          </w:p>
        </w:tc>
        <w:tc>
          <w:tcPr>
            <w:tcW w:w="2502" w:type="dxa"/>
            <w:vAlign w:val="center"/>
          </w:tcPr>
          <w:p>
            <w:pPr>
              <w:widowControl/>
              <w:jc w:val="left"/>
              <w:textAlignment w:val="center"/>
              <w:rPr>
                <w:rFonts w:ascii="仿宋" w:hAnsi="仿宋" w:eastAsia="仿宋" w:cs="仿宋"/>
                <w:kern w:val="0"/>
                <w:sz w:val="24"/>
              </w:rPr>
            </w:pPr>
            <w:r>
              <w:rPr>
                <w:rFonts w:hint="eastAsia" w:ascii="仿宋" w:hAnsi="仿宋" w:eastAsia="仿宋" w:cs="仿宋"/>
                <w:color w:val="000000"/>
                <w:kern w:val="0"/>
                <w:sz w:val="24"/>
              </w:rPr>
              <w:t>是得8分，否根据情况扣分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sz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734"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社会效益</w:t>
            </w:r>
          </w:p>
          <w:p>
            <w:pPr>
              <w:widowControl/>
              <w:jc w:val="center"/>
              <w:textAlignment w:val="center"/>
              <w:rPr>
                <w:rFonts w:ascii="仿宋" w:hAnsi="仿宋" w:eastAsia="仿宋" w:cs="仿宋"/>
                <w:color w:val="000000"/>
                <w:kern w:val="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8</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体现了党委和政府对基层干部的重视、培养</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能体现得8分，不能不得分</w:t>
            </w:r>
          </w:p>
        </w:tc>
        <w:tc>
          <w:tcPr>
            <w:tcW w:w="654"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600"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社会效益</w:t>
            </w:r>
          </w:p>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8</w:t>
            </w:r>
          </w:p>
        </w:tc>
        <w:tc>
          <w:tcPr>
            <w:tcW w:w="2796"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满足广大基层干部的理论学习需求，促进党员干部与人民群众的关系</w:t>
            </w:r>
          </w:p>
        </w:tc>
        <w:tc>
          <w:tcPr>
            <w:tcW w:w="2502" w:type="dxa"/>
            <w:vAlign w:val="center"/>
          </w:tcPr>
          <w:p>
            <w:pPr>
              <w:widowControl/>
              <w:jc w:val="left"/>
              <w:textAlignment w:val="center"/>
              <w:rPr>
                <w:rFonts w:ascii="仿宋" w:hAnsi="仿宋" w:eastAsia="仿宋" w:cs="仿宋"/>
                <w:color w:val="000000"/>
                <w:sz w:val="24"/>
              </w:rPr>
            </w:pPr>
            <w:r>
              <w:rPr>
                <w:rFonts w:hint="eastAsia" w:ascii="仿宋" w:hAnsi="仿宋" w:eastAsia="仿宋" w:cs="仿宋"/>
                <w:color w:val="000000"/>
                <w:kern w:val="0"/>
                <w:sz w:val="24"/>
              </w:rPr>
              <w:t>是得8分，否根据情况扣分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sz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645"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可持续影响</w:t>
            </w:r>
          </w:p>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8</w:t>
            </w:r>
          </w:p>
        </w:tc>
        <w:tc>
          <w:tcPr>
            <w:tcW w:w="2796" w:type="dxa"/>
            <w:vAlign w:val="center"/>
          </w:tcPr>
          <w:p>
            <w:pPr>
              <w:widowControl/>
              <w:textAlignment w:val="center"/>
              <w:rPr>
                <w:rFonts w:ascii="仿宋" w:hAnsi="仿宋" w:eastAsia="仿宋" w:cs="仿宋"/>
                <w:color w:val="000000"/>
                <w:sz w:val="24"/>
              </w:rPr>
            </w:pPr>
            <w:r>
              <w:rPr>
                <w:rFonts w:hint="eastAsia" w:ascii="仿宋" w:hAnsi="仿宋" w:eastAsia="仿宋" w:cs="仿宋"/>
                <w:color w:val="000000"/>
                <w:kern w:val="0"/>
                <w:sz w:val="24"/>
              </w:rPr>
              <w:t>培训效果反响热烈</w:t>
            </w:r>
          </w:p>
        </w:tc>
        <w:tc>
          <w:tcPr>
            <w:tcW w:w="2502" w:type="dxa"/>
            <w:vAlign w:val="center"/>
          </w:tcPr>
          <w:p>
            <w:pPr>
              <w:widowControl/>
              <w:textAlignment w:val="center"/>
              <w:rPr>
                <w:rFonts w:ascii="仿宋" w:hAnsi="仿宋" w:eastAsia="仿宋" w:cs="仿宋"/>
                <w:color w:val="000000"/>
                <w:sz w:val="24"/>
              </w:rPr>
            </w:pPr>
            <w:r>
              <w:rPr>
                <w:rFonts w:hint="eastAsia" w:ascii="仿宋" w:hAnsi="仿宋" w:eastAsia="仿宋" w:cs="仿宋"/>
                <w:color w:val="000000"/>
                <w:kern w:val="0"/>
                <w:sz w:val="24"/>
              </w:rPr>
              <w:t>是得8分，否根据情况扣分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sz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555"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可持续影响</w:t>
            </w:r>
          </w:p>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sz w:val="24"/>
              </w:rPr>
              <w:t>8</w:t>
            </w:r>
          </w:p>
        </w:tc>
        <w:tc>
          <w:tcPr>
            <w:tcW w:w="2796" w:type="dxa"/>
            <w:vAlign w:val="center"/>
          </w:tcPr>
          <w:p>
            <w:pPr>
              <w:widowControl/>
              <w:textAlignment w:val="center"/>
              <w:rPr>
                <w:rFonts w:ascii="仿宋" w:hAnsi="仿宋" w:eastAsia="仿宋" w:cs="仿宋"/>
                <w:color w:val="000000"/>
                <w:sz w:val="24"/>
              </w:rPr>
            </w:pPr>
            <w:r>
              <w:rPr>
                <w:rFonts w:hint="eastAsia" w:ascii="仿宋" w:hAnsi="仿宋" w:eastAsia="仿宋" w:cs="仿宋"/>
                <w:color w:val="000000"/>
                <w:kern w:val="0"/>
                <w:sz w:val="24"/>
              </w:rPr>
              <w:t>受训干部希望继续举办培训项目、扩大培训范围</w:t>
            </w:r>
          </w:p>
        </w:tc>
        <w:tc>
          <w:tcPr>
            <w:tcW w:w="2502" w:type="dxa"/>
            <w:vAlign w:val="center"/>
          </w:tcPr>
          <w:p>
            <w:pPr>
              <w:widowControl/>
              <w:textAlignment w:val="center"/>
              <w:rPr>
                <w:rFonts w:ascii="仿宋" w:hAnsi="仿宋" w:eastAsia="仿宋" w:cs="仿宋"/>
                <w:color w:val="000000"/>
                <w:sz w:val="24"/>
              </w:rPr>
            </w:pPr>
            <w:r>
              <w:rPr>
                <w:rFonts w:hint="eastAsia" w:ascii="仿宋" w:hAnsi="仿宋" w:eastAsia="仿宋" w:cs="仿宋"/>
                <w:color w:val="000000"/>
                <w:kern w:val="0"/>
                <w:sz w:val="24"/>
              </w:rPr>
              <w:t>希望得8分，不希望不得分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sz w:val="24"/>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600" w:hRule="atLeast"/>
          <w:jc w:val="center"/>
        </w:trPr>
        <w:tc>
          <w:tcPr>
            <w:tcW w:w="1159" w:type="dxa"/>
            <w:vMerge w:val="restart"/>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满意度</w:t>
            </w:r>
          </w:p>
          <w:p>
            <w:pPr>
              <w:jc w:val="center"/>
              <w:rPr>
                <w:rFonts w:ascii="仿宋" w:hAnsi="仿宋" w:eastAsia="仿宋" w:cs="仿宋"/>
                <w:color w:val="000000"/>
                <w:sz w:val="24"/>
              </w:rPr>
            </w:pPr>
            <w:r>
              <w:rPr>
                <w:rFonts w:hint="eastAsia" w:ascii="仿宋" w:hAnsi="仿宋" w:eastAsia="仿宋" w:cs="仿宋"/>
                <w:color w:val="000000"/>
                <w:sz w:val="24"/>
              </w:rPr>
              <w:t>(10)</w:t>
            </w:r>
          </w:p>
        </w:tc>
        <w:tc>
          <w:tcPr>
            <w:tcW w:w="1249" w:type="dxa"/>
            <w:vMerge w:val="restart"/>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满意度</w:t>
            </w:r>
          </w:p>
          <w:p>
            <w:pPr>
              <w:jc w:val="center"/>
              <w:rPr>
                <w:rFonts w:ascii="仿宋" w:hAnsi="仿宋" w:eastAsia="仿宋" w:cs="仿宋"/>
                <w:color w:val="000000"/>
                <w:sz w:val="24"/>
              </w:rPr>
            </w:pPr>
            <w:r>
              <w:rPr>
                <w:rFonts w:hint="eastAsia" w:ascii="仿宋" w:hAnsi="仿宋" w:eastAsia="仿宋" w:cs="仿宋"/>
                <w:color w:val="000000"/>
                <w:sz w:val="24"/>
              </w:rPr>
              <w:t>(10)</w:t>
            </w:r>
          </w:p>
        </w:tc>
        <w:tc>
          <w:tcPr>
            <w:tcW w:w="1274" w:type="dxa"/>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服务对象满意度</w:t>
            </w:r>
          </w:p>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5</w:t>
            </w:r>
          </w:p>
        </w:tc>
        <w:tc>
          <w:tcPr>
            <w:tcW w:w="2796" w:type="dxa"/>
            <w:vAlign w:val="center"/>
          </w:tcPr>
          <w:p>
            <w:pPr>
              <w:widowControl/>
              <w:textAlignment w:val="center"/>
              <w:rPr>
                <w:rFonts w:ascii="仿宋" w:hAnsi="仿宋" w:eastAsia="仿宋" w:cs="仿宋"/>
                <w:color w:val="000000"/>
                <w:sz w:val="24"/>
              </w:rPr>
            </w:pPr>
            <w:r>
              <w:rPr>
                <w:rFonts w:hint="eastAsia" w:ascii="仿宋" w:hAnsi="仿宋" w:eastAsia="仿宋" w:cs="仿宋"/>
                <w:color w:val="000000"/>
                <w:kern w:val="0"/>
                <w:sz w:val="24"/>
              </w:rPr>
              <w:t>受训干部积极参加培训</w:t>
            </w:r>
          </w:p>
        </w:tc>
        <w:tc>
          <w:tcPr>
            <w:tcW w:w="2502" w:type="dxa"/>
            <w:vAlign w:val="center"/>
          </w:tcPr>
          <w:p>
            <w:pPr>
              <w:widowControl/>
              <w:textAlignment w:val="center"/>
              <w:rPr>
                <w:rFonts w:ascii="仿宋" w:hAnsi="仿宋" w:eastAsia="仿宋" w:cs="仿宋"/>
                <w:color w:val="000000"/>
                <w:sz w:val="24"/>
              </w:rPr>
            </w:pPr>
            <w:r>
              <w:rPr>
                <w:rFonts w:hint="eastAsia" w:ascii="仿宋" w:hAnsi="仿宋" w:eastAsia="仿宋" w:cs="仿宋"/>
                <w:color w:val="000000"/>
                <w:kern w:val="0"/>
                <w:sz w:val="24"/>
              </w:rPr>
              <w:t>积极参加得得2分，否则不得分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kern w:val="0"/>
                <w:sz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600" w:hRule="atLeast"/>
          <w:jc w:val="center"/>
        </w:trPr>
        <w:tc>
          <w:tcPr>
            <w:tcW w:w="1159" w:type="dxa"/>
            <w:vMerge w:val="continue"/>
            <w:vAlign w:val="center"/>
          </w:tcPr>
          <w:p>
            <w:pPr>
              <w:jc w:val="center"/>
              <w:rPr>
                <w:rFonts w:ascii="仿宋" w:hAnsi="仿宋" w:eastAsia="仿宋" w:cs="仿宋"/>
                <w:color w:val="000000"/>
                <w:sz w:val="24"/>
              </w:rPr>
            </w:pPr>
          </w:p>
        </w:tc>
        <w:tc>
          <w:tcPr>
            <w:tcW w:w="1249" w:type="dxa"/>
            <w:vMerge w:val="continue"/>
            <w:vAlign w:val="center"/>
          </w:tcPr>
          <w:p>
            <w:pPr>
              <w:jc w:val="center"/>
              <w:rPr>
                <w:rFonts w:ascii="仿宋" w:hAnsi="仿宋" w:eastAsia="仿宋" w:cs="仿宋"/>
                <w:color w:val="000000"/>
                <w:sz w:val="24"/>
              </w:rPr>
            </w:pPr>
          </w:p>
        </w:tc>
        <w:tc>
          <w:tcPr>
            <w:tcW w:w="1274" w:type="dxa"/>
            <w:vAlign w:val="center"/>
          </w:tcPr>
          <w:p>
            <w:pPr>
              <w:widowControl/>
              <w:jc w:val="center"/>
              <w:textAlignment w:val="center"/>
              <w:rPr>
                <w:rFonts w:ascii="仿宋" w:hAnsi="仿宋" w:eastAsia="仿宋" w:cs="仿宋"/>
                <w:color w:val="000000"/>
                <w:kern w:val="0"/>
                <w:sz w:val="24"/>
              </w:rPr>
            </w:pPr>
          </w:p>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服务对象满意度</w:t>
            </w:r>
          </w:p>
          <w:p>
            <w:pPr>
              <w:widowControl/>
              <w:jc w:val="center"/>
              <w:textAlignment w:val="center"/>
              <w:rPr>
                <w:rFonts w:ascii="仿宋" w:hAnsi="仿宋" w:eastAsia="仿宋" w:cs="仿宋"/>
                <w:color w:val="000000"/>
                <w:kern w:val="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5</w:t>
            </w:r>
          </w:p>
        </w:tc>
        <w:tc>
          <w:tcPr>
            <w:tcW w:w="2796"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受训干部对培训教学的满意程度</w:t>
            </w:r>
          </w:p>
        </w:tc>
        <w:tc>
          <w:tcPr>
            <w:tcW w:w="2502" w:type="dxa"/>
            <w:vAlign w:val="center"/>
          </w:tcPr>
          <w:p>
            <w:pPr>
              <w:widowControl/>
              <w:jc w:val="left"/>
              <w:textAlignment w:val="center"/>
              <w:rPr>
                <w:rFonts w:ascii="仿宋" w:hAnsi="仿宋" w:eastAsia="仿宋" w:cs="仿宋"/>
                <w:color w:val="000000"/>
                <w:kern w:val="0"/>
                <w:sz w:val="24"/>
              </w:rPr>
            </w:pPr>
            <w:r>
              <w:rPr>
                <w:rFonts w:hint="eastAsia" w:ascii="仿宋" w:hAnsi="仿宋" w:eastAsia="仿宋" w:cs="仿宋"/>
                <w:color w:val="000000"/>
                <w:kern w:val="0"/>
                <w:sz w:val="24"/>
              </w:rPr>
              <w:t>满意程度95%以上得2分，满意程度80%-95%得1分，满意程度80%以下不得分</w:t>
            </w: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kern w:val="0"/>
                <w:sz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720" w:hRule="atLeast"/>
          <w:jc w:val="center"/>
        </w:trPr>
        <w:tc>
          <w:tcPr>
            <w:tcW w:w="1159" w:type="dxa"/>
            <w:vAlign w:val="center"/>
          </w:tcPr>
          <w:p>
            <w:pPr>
              <w:jc w:val="center"/>
              <w:rPr>
                <w:rFonts w:ascii="仿宋" w:hAnsi="仿宋" w:eastAsia="仿宋" w:cs="仿宋"/>
                <w:color w:val="000000"/>
                <w:sz w:val="24"/>
              </w:rPr>
            </w:pPr>
          </w:p>
        </w:tc>
        <w:tc>
          <w:tcPr>
            <w:tcW w:w="1249" w:type="dxa"/>
            <w:vAlign w:val="center"/>
          </w:tcPr>
          <w:p>
            <w:pPr>
              <w:jc w:val="center"/>
              <w:rPr>
                <w:rFonts w:ascii="仿宋" w:hAnsi="仿宋" w:eastAsia="仿宋" w:cs="仿宋"/>
                <w:color w:val="000000"/>
                <w:sz w:val="24"/>
              </w:rPr>
            </w:pPr>
          </w:p>
        </w:tc>
        <w:tc>
          <w:tcPr>
            <w:tcW w:w="1274" w:type="dxa"/>
            <w:vAlign w:val="center"/>
          </w:tcPr>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100</w:t>
            </w:r>
          </w:p>
        </w:tc>
        <w:tc>
          <w:tcPr>
            <w:tcW w:w="2796" w:type="dxa"/>
            <w:vAlign w:val="center"/>
          </w:tcPr>
          <w:p>
            <w:pPr>
              <w:widowControl/>
              <w:jc w:val="left"/>
              <w:textAlignment w:val="center"/>
              <w:rPr>
                <w:rFonts w:ascii="仿宋" w:hAnsi="仿宋" w:eastAsia="仿宋" w:cs="仿宋"/>
                <w:color w:val="000000"/>
                <w:kern w:val="0"/>
                <w:sz w:val="24"/>
              </w:rPr>
            </w:pPr>
          </w:p>
        </w:tc>
        <w:tc>
          <w:tcPr>
            <w:tcW w:w="2502" w:type="dxa"/>
            <w:vAlign w:val="center"/>
          </w:tcPr>
          <w:p>
            <w:pPr>
              <w:widowControl/>
              <w:jc w:val="left"/>
              <w:textAlignment w:val="center"/>
              <w:rPr>
                <w:rFonts w:ascii="仿宋" w:hAnsi="仿宋" w:eastAsia="仿宋" w:cs="仿宋"/>
                <w:color w:val="000000"/>
                <w:kern w:val="0"/>
                <w:sz w:val="24"/>
              </w:rPr>
            </w:pPr>
          </w:p>
        </w:tc>
        <w:tc>
          <w:tcPr>
            <w:tcW w:w="654" w:type="dxa"/>
            <w:vAlign w:val="center"/>
          </w:tcPr>
          <w:p>
            <w:pPr>
              <w:widowControl/>
              <w:jc w:val="center"/>
              <w:textAlignment w:val="center"/>
              <w:rPr>
                <w:rFonts w:ascii="仿宋" w:hAnsi="仿宋" w:eastAsia="仿宋" w:cs="仿宋"/>
                <w:sz w:val="24"/>
              </w:rPr>
            </w:pPr>
            <w:r>
              <w:rPr>
                <w:rFonts w:hint="eastAsia" w:ascii="仿宋" w:hAnsi="仿宋" w:eastAsia="仿宋" w:cs="仿宋"/>
                <w:kern w:val="0"/>
                <w:sz w:val="24"/>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Ex>
        <w:trPr>
          <w:trHeight w:val="390" w:hRule="atLeast"/>
          <w:jc w:val="center"/>
        </w:trPr>
        <w:tc>
          <w:tcPr>
            <w:tcW w:w="1159" w:type="dxa"/>
            <w:vAlign w:val="center"/>
          </w:tcPr>
          <w:p>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rPr>
              <w:t>合计</w:t>
            </w:r>
          </w:p>
        </w:tc>
        <w:tc>
          <w:tcPr>
            <w:tcW w:w="1249" w:type="dxa"/>
            <w:vAlign w:val="center"/>
          </w:tcPr>
          <w:p>
            <w:pPr>
              <w:jc w:val="center"/>
              <w:rPr>
                <w:rFonts w:ascii="仿宋" w:hAnsi="仿宋" w:eastAsia="仿宋" w:cs="仿宋"/>
                <w:color w:val="000000"/>
                <w:sz w:val="24"/>
              </w:rPr>
            </w:pPr>
          </w:p>
        </w:tc>
        <w:tc>
          <w:tcPr>
            <w:tcW w:w="1274" w:type="dxa"/>
            <w:vAlign w:val="center"/>
          </w:tcPr>
          <w:p>
            <w:pPr>
              <w:jc w:val="center"/>
              <w:rPr>
                <w:rFonts w:ascii="仿宋" w:hAnsi="仿宋" w:eastAsia="仿宋" w:cs="仿宋"/>
                <w:color w:val="000000"/>
                <w:sz w:val="24"/>
              </w:rPr>
            </w:pPr>
          </w:p>
        </w:tc>
        <w:tc>
          <w:tcPr>
            <w:tcW w:w="607" w:type="dxa"/>
            <w:vAlign w:val="center"/>
          </w:tcPr>
          <w:p>
            <w:pPr>
              <w:widowControl/>
              <w:jc w:val="center"/>
              <w:textAlignment w:val="center"/>
              <w:rPr>
                <w:rFonts w:ascii="仿宋" w:hAnsi="仿宋" w:eastAsia="仿宋" w:cs="仿宋"/>
                <w:color w:val="000000"/>
                <w:sz w:val="24"/>
              </w:rPr>
            </w:pPr>
          </w:p>
        </w:tc>
        <w:tc>
          <w:tcPr>
            <w:tcW w:w="2796" w:type="dxa"/>
            <w:vAlign w:val="center"/>
          </w:tcPr>
          <w:p>
            <w:pPr>
              <w:rPr>
                <w:rFonts w:ascii="仿宋" w:hAnsi="仿宋" w:eastAsia="仿宋" w:cs="仿宋"/>
                <w:color w:val="000000"/>
                <w:sz w:val="24"/>
              </w:rPr>
            </w:pPr>
          </w:p>
        </w:tc>
        <w:tc>
          <w:tcPr>
            <w:tcW w:w="2502" w:type="dxa"/>
            <w:vAlign w:val="center"/>
          </w:tcPr>
          <w:p>
            <w:pPr>
              <w:rPr>
                <w:rFonts w:ascii="仿宋" w:hAnsi="仿宋" w:eastAsia="仿宋" w:cs="仿宋"/>
                <w:color w:val="000000"/>
                <w:sz w:val="24"/>
              </w:rPr>
            </w:pPr>
          </w:p>
        </w:tc>
        <w:tc>
          <w:tcPr>
            <w:tcW w:w="654" w:type="dxa"/>
            <w:vAlign w:val="center"/>
          </w:tcPr>
          <w:p>
            <w:pPr>
              <w:widowControl/>
              <w:jc w:val="center"/>
              <w:textAlignment w:val="center"/>
              <w:rPr>
                <w:rFonts w:ascii="仿宋" w:hAnsi="仿宋" w:eastAsia="仿宋" w:cs="仿宋"/>
                <w:sz w:val="24"/>
              </w:rPr>
            </w:pPr>
          </w:p>
        </w:tc>
      </w:tr>
    </w:tbl>
    <w:p>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600" w:lineRule="exact"/>
        <w:jc w:val="left"/>
        <w:rPr>
          <w:rFonts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根据该项目绩效评价情况，围绕绩效评价指标体系，对投入、过程、产出、效果指标进行分析，指标得分100分，失分0分，分解如下：</w:t>
      </w:r>
    </w:p>
    <w:p>
      <w:pPr>
        <w:spacing w:line="600" w:lineRule="exact"/>
        <w:jc w:val="left"/>
        <w:rPr>
          <w:rFonts w:ascii="仿宋" w:hAnsi="仿宋" w:eastAsia="仿宋" w:cs="仿宋"/>
          <w:b/>
          <w:sz w:val="28"/>
          <w:szCs w:val="28"/>
        </w:rPr>
      </w:pPr>
      <w:r>
        <w:rPr>
          <w:rFonts w:hint="eastAsia" w:ascii="仿宋" w:hAnsi="仿宋" w:eastAsia="仿宋" w:cs="仿宋"/>
          <w:b/>
          <w:sz w:val="28"/>
          <w:szCs w:val="28"/>
        </w:rPr>
        <w:t xml:space="preserve"> （一)预算执行情况（满分10分，得分10分）</w:t>
      </w:r>
    </w:p>
    <w:p>
      <w:pPr>
        <w:widowControl/>
        <w:spacing w:line="600" w:lineRule="exact"/>
        <w:ind w:firstLine="640"/>
        <w:jc w:val="left"/>
        <w:rPr>
          <w:rFonts w:ascii="仿宋" w:hAnsi="仿宋" w:eastAsia="仿宋" w:cs="仿宋"/>
          <w:sz w:val="28"/>
          <w:szCs w:val="28"/>
        </w:rPr>
      </w:pPr>
      <w:r>
        <w:rPr>
          <w:rFonts w:hint="eastAsia" w:ascii="仿宋" w:hAnsi="仿宋" w:eastAsia="仿宋" w:cs="仿宋"/>
          <w:sz w:val="28"/>
          <w:szCs w:val="28"/>
        </w:rPr>
        <w:t>1、实际完成情况</w:t>
      </w:r>
    </w:p>
    <w:p>
      <w:pPr>
        <w:spacing w:line="600" w:lineRule="exact"/>
        <w:ind w:firstLine="555"/>
        <w:jc w:val="left"/>
        <w:rPr>
          <w:rFonts w:ascii="仿宋" w:hAnsi="仿宋" w:eastAsia="仿宋" w:cs="仿宋"/>
          <w:sz w:val="28"/>
          <w:szCs w:val="28"/>
        </w:rPr>
      </w:pPr>
      <w:r>
        <w:rPr>
          <w:rFonts w:hint="eastAsia" w:ascii="仿宋" w:hAnsi="仿宋" w:eastAsia="仿宋" w:cs="仿宋"/>
          <w:sz w:val="28"/>
          <w:szCs w:val="28"/>
        </w:rPr>
        <w:t>我单位为了更好地开展项目，提高培训质量，购买书本教材《论党的宣传思想工作》、《习近平谈治国理政》等，实施培训模式创新，开展流动党校“五进”活动，及时组织干部参加培训，举办不同专题的区委党校干部培训班：</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1）3月28日至4月25日，举办学习贯彻党的十九届六中全会精神专题网络培训班，共设置专题课程23门20课时，全区科级干部、中学校级干部、一级科员以上职级公务员、新录用公务员及新调入公务员1000余人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2）5月18日至20日，举办全区两新组织党组织书记培训班，共设置习近平新时代中国特色社会主义思想概论、市区人才政策及重点人才管理、商务楼宇党建工作示范案例分享、我省两新组织党建工作创新案例及启示等专题课程8门16学时，全区两新组织党组织书记约370人参加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3）6月10日至12日，举办全区科级领导干部学习贯彻党的十九届六中全会精神专题研讨班，培训内容主要有深入学习党的十九届六中全会《决议》精神、学习贯彻党的十九届六中全会精神、加快建设现代化国际化美丽省会城市、基层社会治理创新与实践、《中国共产党纪律检查委员会工作条例》、《</w:t>
      </w:r>
      <w:r>
        <w:rPr>
          <w:rFonts w:hint="eastAsia" w:ascii="仿宋" w:hAnsi="仿宋" w:eastAsia="仿宋" w:cs="仿宋"/>
          <w:sz w:val="28"/>
          <w:szCs w:val="28"/>
          <w:lang w:eastAsia="zh-CN"/>
        </w:rPr>
        <w:t>中华人民共和国</w:t>
      </w:r>
      <w:bookmarkStart w:id="0" w:name="_GoBack"/>
      <w:bookmarkEnd w:id="0"/>
      <w:r>
        <w:rPr>
          <w:rFonts w:hint="eastAsia" w:ascii="仿宋" w:hAnsi="仿宋" w:eastAsia="仿宋" w:cs="仿宋"/>
          <w:sz w:val="28"/>
          <w:szCs w:val="28"/>
        </w:rPr>
        <w:t>宪法》等内容，全区科级领导班子成员、6年重点培养期内选调生参加学习。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（4）6月25至27日，举办城市基层干部党建引领基层治理专题培训班，设置了党史</w:t>
      </w:r>
      <w:r>
        <w:rPr>
          <w:rFonts w:hint="eastAsia" w:ascii="仿宋" w:hAnsi="仿宋" w:eastAsia="仿宋" w:cs="仿宋"/>
          <w:sz w:val="28"/>
          <w:szCs w:val="28"/>
          <w:lang w:eastAsia="zh-CN"/>
        </w:rPr>
        <w:t>学习</w:t>
      </w:r>
      <w:r>
        <w:rPr>
          <w:rFonts w:hint="eastAsia" w:ascii="仿宋" w:hAnsi="仿宋" w:eastAsia="仿宋" w:cs="仿宋"/>
          <w:sz w:val="28"/>
          <w:szCs w:val="28"/>
        </w:rPr>
        <w:t>教育、社会治理、应急管理、社会组织工作、基层治理、党建、疫情防控、经济发展等课程，区直部门和事业单位全体干部、国有企业领导人员、街道干部、社区“两委”干部、非公有制经济和社会组织党组织负责人参加培训。</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（5）7月4日至31日，举办全区优秀年轻干部综合素质能力提升培训班，共设置专题课程40门38.5学时，全区科级领导班子成员、6年重点培养期内选调生登录学习。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6）10月12日至11月11日，举办桥西区提升干部综合素质能力专题网络培训班，共设置习近平新时代中国特色社会主义思想、党的十九届六中全会精神、习近平法治思想、党内法规制度、总体国家安全观、网络安全、意识形态、碳达峰碳中和、金融经济、优化营商环境、基层治理、统战工作、人才工作等专题课程54门50学时，全区科级干部、中学校级干部、一级科员以上职级公务员、新录用公务员及新调入公务员1000余人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（7）12月9日至12月24日，举办桥西区学习贯彻习近平新时代中国特色社会主义思想专题网络培训班，共设置专题课程40门38.5学时，全区科级领导班子成员、6年重点培养期内选调生登录学习。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（8）12月21日至25日，举办社区党组织书记专题培训班，共设置课程52门41学时，培训全区社区（村转居）书记152人。</w:t>
      </w:r>
    </w:p>
    <w:p>
      <w:pPr>
        <w:spacing w:line="600" w:lineRule="exact"/>
        <w:ind w:firstLine="480"/>
        <w:rPr>
          <w:rFonts w:ascii="仿宋" w:hAnsi="仿宋" w:eastAsia="仿宋" w:cs="仿宋"/>
          <w:sz w:val="28"/>
          <w:szCs w:val="28"/>
        </w:rPr>
      </w:pPr>
      <w:r>
        <w:rPr>
          <w:rFonts w:hint="eastAsia" w:ascii="仿宋" w:hAnsi="仿宋" w:eastAsia="仿宋" w:cs="仿宋"/>
          <w:sz w:val="28"/>
          <w:szCs w:val="28"/>
        </w:rPr>
        <w:t>该指标满分2分，扣0分，得分2分</w:t>
      </w:r>
      <w:r>
        <w:rPr>
          <w:rFonts w:hint="eastAsia" w:ascii="仿宋" w:hAnsi="仿宋" w:eastAsia="仿宋" w:cs="仿宋"/>
          <w:color w:val="1E1E1E"/>
          <w:sz w:val="28"/>
          <w:szCs w:val="28"/>
          <w:shd w:val="clear" w:color="auto" w:fill="FFFFFF"/>
        </w:rPr>
        <w:t>。</w:t>
      </w:r>
    </w:p>
    <w:p>
      <w:pPr>
        <w:widowControl/>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2、完成及时情况</w:t>
      </w:r>
    </w:p>
    <w:p>
      <w:pPr>
        <w:spacing w:line="600" w:lineRule="exact"/>
        <w:ind w:firstLine="480"/>
        <w:rPr>
          <w:rFonts w:ascii="仿宋" w:hAnsi="仿宋" w:eastAsia="仿宋" w:cs="仿宋"/>
          <w:sz w:val="28"/>
          <w:szCs w:val="28"/>
        </w:rPr>
      </w:pPr>
      <w:r>
        <w:rPr>
          <w:rFonts w:hint="eastAsia" w:ascii="仿宋" w:hAnsi="仿宋" w:eastAsia="仿宋" w:cs="仿宋"/>
          <w:sz w:val="28"/>
          <w:szCs w:val="28"/>
        </w:rPr>
        <w:t>各项工作任务均按计划时间完成。</w:t>
      </w:r>
    </w:p>
    <w:p>
      <w:pPr>
        <w:spacing w:line="600" w:lineRule="exact"/>
        <w:ind w:firstLine="480"/>
        <w:rPr>
          <w:rFonts w:ascii="仿宋" w:hAnsi="仿宋" w:eastAsia="仿宋" w:cs="仿宋"/>
          <w:sz w:val="28"/>
          <w:szCs w:val="28"/>
        </w:rPr>
      </w:pPr>
      <w:r>
        <w:rPr>
          <w:rFonts w:hint="eastAsia" w:ascii="仿宋" w:hAnsi="仿宋" w:eastAsia="仿宋" w:cs="仿宋"/>
          <w:sz w:val="28"/>
          <w:szCs w:val="28"/>
        </w:rPr>
        <w:t>该指标满分8分，扣0分，得分8分</w:t>
      </w:r>
      <w:r>
        <w:rPr>
          <w:rFonts w:hint="eastAsia" w:ascii="仿宋" w:hAnsi="仿宋" w:eastAsia="仿宋" w:cs="仿宋"/>
          <w:color w:val="1E1E1E"/>
          <w:sz w:val="28"/>
          <w:szCs w:val="28"/>
          <w:shd w:val="clear" w:color="auto" w:fill="FFFFFF"/>
        </w:rPr>
        <w:t>。</w:t>
      </w:r>
    </w:p>
    <w:p>
      <w:pPr>
        <w:spacing w:line="600" w:lineRule="exact"/>
        <w:jc w:val="left"/>
        <w:rPr>
          <w:rFonts w:ascii="仿宋" w:hAnsi="仿宋" w:eastAsia="仿宋" w:cs="仿宋"/>
          <w:b/>
          <w:sz w:val="28"/>
          <w:szCs w:val="28"/>
        </w:rPr>
      </w:pPr>
      <w:r>
        <w:rPr>
          <w:rFonts w:hint="eastAsia" w:ascii="仿宋" w:hAnsi="仿宋" w:eastAsia="仿宋" w:cs="仿宋"/>
          <w:b/>
          <w:sz w:val="28"/>
          <w:szCs w:val="28"/>
        </w:rPr>
        <w:t>（二）项目产出（满分40分，得分40分）</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1、数量指标</w:t>
      </w:r>
    </w:p>
    <w:p>
      <w:pPr>
        <w:tabs>
          <w:tab w:val="left" w:pos="1625"/>
        </w:tabs>
        <w:spacing w:line="600" w:lineRule="exact"/>
        <w:rPr>
          <w:rFonts w:ascii="仿宋" w:hAnsi="仿宋" w:eastAsia="仿宋" w:cs="仿宋"/>
          <w:sz w:val="28"/>
          <w:szCs w:val="28"/>
        </w:rPr>
      </w:pPr>
      <w:r>
        <w:rPr>
          <w:rFonts w:hint="eastAsia" w:ascii="仿宋" w:hAnsi="仿宋" w:eastAsia="仿宋" w:cs="仿宋"/>
          <w:sz w:val="28"/>
          <w:szCs w:val="28"/>
        </w:rPr>
        <w:t>2022年我单位受不同单位委托开展的培训班均已顺利完成，受委托开展培训班完成率达到100%。</w:t>
      </w:r>
    </w:p>
    <w:p>
      <w:pPr>
        <w:spacing w:line="600" w:lineRule="exact"/>
        <w:ind w:firstLine="480"/>
        <w:rPr>
          <w:rFonts w:ascii="仿宋" w:hAnsi="仿宋" w:eastAsia="仿宋" w:cs="仿宋"/>
          <w:sz w:val="28"/>
          <w:szCs w:val="28"/>
        </w:rPr>
      </w:pPr>
      <w:r>
        <w:rPr>
          <w:rFonts w:hint="eastAsia" w:ascii="仿宋" w:hAnsi="仿宋" w:eastAsia="仿宋" w:cs="仿宋"/>
          <w:sz w:val="28"/>
          <w:szCs w:val="28"/>
        </w:rPr>
        <w:t>该指标满分10分，扣0分，得分10分</w:t>
      </w:r>
      <w:r>
        <w:rPr>
          <w:rFonts w:hint="eastAsia" w:ascii="仿宋" w:hAnsi="仿宋" w:eastAsia="仿宋" w:cs="仿宋"/>
          <w:color w:val="1E1E1E"/>
          <w:sz w:val="28"/>
          <w:szCs w:val="28"/>
          <w:shd w:val="clear" w:color="auto" w:fill="FFFFFF"/>
        </w:rPr>
        <w:t>。</w:t>
      </w:r>
    </w:p>
    <w:p>
      <w:pPr>
        <w:spacing w:line="600" w:lineRule="exact"/>
        <w:ind w:left="560"/>
        <w:rPr>
          <w:rFonts w:ascii="仿宋" w:hAnsi="仿宋" w:eastAsia="仿宋" w:cs="仿宋"/>
          <w:sz w:val="28"/>
          <w:szCs w:val="28"/>
        </w:rPr>
      </w:pPr>
      <w:r>
        <w:rPr>
          <w:rFonts w:hint="eastAsia" w:ascii="仿宋" w:hAnsi="仿宋" w:eastAsia="仿宋" w:cs="仿宋"/>
          <w:sz w:val="28"/>
          <w:szCs w:val="28"/>
        </w:rPr>
        <w:t>2、质量指标</w:t>
      </w:r>
    </w:p>
    <w:p>
      <w:pPr>
        <w:spacing w:line="600" w:lineRule="exact"/>
        <w:rPr>
          <w:rFonts w:ascii="仿宋" w:hAnsi="仿宋" w:eastAsia="仿宋" w:cs="仿宋"/>
          <w:sz w:val="28"/>
          <w:szCs w:val="28"/>
        </w:rPr>
      </w:pPr>
      <w:r>
        <w:rPr>
          <w:rFonts w:hint="eastAsia" w:ascii="仿宋" w:hAnsi="仿宋" w:eastAsia="仿宋" w:cs="仿宋"/>
          <w:sz w:val="28"/>
          <w:szCs w:val="28"/>
        </w:rPr>
        <w:t>我单位多种形式对培训内容进行宣传，受训学员的知晓率达到了100%。</w:t>
      </w:r>
    </w:p>
    <w:p>
      <w:pPr>
        <w:spacing w:line="600" w:lineRule="exact"/>
        <w:ind w:firstLine="480"/>
        <w:rPr>
          <w:rFonts w:ascii="仿宋" w:hAnsi="仿宋" w:eastAsia="仿宋" w:cs="仿宋"/>
          <w:color w:val="FF0000"/>
          <w:sz w:val="28"/>
          <w:szCs w:val="28"/>
        </w:rPr>
      </w:pPr>
      <w:r>
        <w:rPr>
          <w:rFonts w:hint="eastAsia" w:ascii="仿宋" w:hAnsi="仿宋" w:eastAsia="仿宋" w:cs="仿宋"/>
          <w:sz w:val="28"/>
          <w:szCs w:val="28"/>
        </w:rPr>
        <w:t>该指标满分10分，扣0分，得分10分</w:t>
      </w:r>
      <w:r>
        <w:rPr>
          <w:rFonts w:hint="eastAsia" w:ascii="仿宋" w:hAnsi="仿宋" w:eastAsia="仿宋" w:cs="仿宋"/>
          <w:color w:val="1E1E1E"/>
          <w:sz w:val="28"/>
          <w:szCs w:val="28"/>
          <w:shd w:val="clear" w:color="auto" w:fill="FFFFFF"/>
        </w:rPr>
        <w:t>。</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3、时效性指标</w:t>
      </w:r>
    </w:p>
    <w:p>
      <w:pPr>
        <w:spacing w:line="600" w:lineRule="exact"/>
        <w:ind w:firstLine="555"/>
        <w:jc w:val="left"/>
        <w:rPr>
          <w:rFonts w:ascii="仿宋" w:hAnsi="仿宋" w:eastAsia="仿宋" w:cs="仿宋"/>
          <w:sz w:val="28"/>
          <w:szCs w:val="28"/>
        </w:rPr>
      </w:pPr>
      <w:r>
        <w:rPr>
          <w:rFonts w:hint="eastAsia" w:ascii="仿宋" w:hAnsi="仿宋" w:eastAsia="仿宋" w:cs="仿宋"/>
          <w:sz w:val="28"/>
          <w:szCs w:val="28"/>
        </w:rPr>
        <w:t>我单位按照上级指示，在2022年度及时组织干部参加培训，举办不同专题的区委党校干部培训班：</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1）3月28日至4月25日，举办学习贯彻党的十九届六中全会精神专题网络培训班，共设置专题课程23门20课时，全区科级干部、中学校级干部、一级科员以上职级公务员、新录用公务员及新调入公务员1000余人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2）5月18日至20日，举办全区两新组织党组织书记培训班，共设置习近平新时代中国特色社会主义思想概论、市区人才政策及重点人才管理、商务楼宇党建工作示范案例分享、我省两新组织党建工作创新案例及启示等专题课程8门16学时，全区两新组织党组织书记约370人参加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3）6月10日至12日，举办全区科级领导干部学习贯彻党的十九届六中全会精神专题研讨班，培训内容主要有深入学习党的十九届六中全会《决议》精神、学习贯彻党的十九届六中全会精神、加快建设现代化国际化美丽省会城市、基层社会治理创新与实践、《中国共产党纪律检查委员会工作条例》、《</w:t>
      </w:r>
      <w:r>
        <w:rPr>
          <w:rFonts w:hint="eastAsia" w:ascii="仿宋" w:hAnsi="仿宋" w:eastAsia="仿宋" w:cs="仿宋"/>
          <w:sz w:val="28"/>
          <w:szCs w:val="28"/>
          <w:lang w:eastAsia="zh-CN"/>
        </w:rPr>
        <w:t>中华人民共和国</w:t>
      </w:r>
      <w:r>
        <w:rPr>
          <w:rFonts w:hint="eastAsia" w:ascii="仿宋" w:hAnsi="仿宋" w:eastAsia="仿宋" w:cs="仿宋"/>
          <w:sz w:val="28"/>
          <w:szCs w:val="28"/>
        </w:rPr>
        <w:t>宪法》等内容，全区科级领导班子成员、6年重点培养期内选调生参加学习。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（4）6月25至27日，举办城市基层干部党建引领基层治理专题培训班，设置了党史</w:t>
      </w:r>
      <w:r>
        <w:rPr>
          <w:rFonts w:hint="eastAsia" w:ascii="仿宋" w:hAnsi="仿宋" w:eastAsia="仿宋" w:cs="仿宋"/>
          <w:sz w:val="28"/>
          <w:szCs w:val="28"/>
          <w:lang w:eastAsia="zh-CN"/>
        </w:rPr>
        <w:t>学习</w:t>
      </w:r>
      <w:r>
        <w:rPr>
          <w:rFonts w:hint="eastAsia" w:ascii="仿宋" w:hAnsi="仿宋" w:eastAsia="仿宋" w:cs="仿宋"/>
          <w:sz w:val="28"/>
          <w:szCs w:val="28"/>
        </w:rPr>
        <w:t>教育、社会治理、应急管理、社会组织工作、基层治理、党建、疫情防控、经济发展等课程，区直部门和事业单位全体干部、国有企业领导人员、街道干部、社区“两委”干部、非公有制经济和社会组织党组织负责人参加培训。</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（5）7月4日至31日，举办全区优秀年轻干部综合素质能力提升培训班，共设置专题课程40门38.5学时，全区科级领导班子成员、6年重点培养期内选调生登录学习。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6）10月12日至11月11日，举办桥西区提升干部综合素质能力专题网络培训班，共设置习近平新时代中国特色社会主义思想、党的十九届六中全会精神、习近平法治思想、党内法规制度、总体国家安全观、网络安全、意识形态、碳达峰碳中和、金融经济、优化营商环境、基层治理、统战工作、人才工作等专题课程54门50学时，全区科级干部、中学校级干部、一级科员以上职级公务员、新录用公务员及新调入公务员1000余人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（7）12月9日至12月24日，举办桥西区学习贯彻习近平新时代中国特色社会主义思想专题网络培训班，共设置专题课程40门38.5学时，全区科级领导班子成员、6年重点培养期内选调生登录学习。</w:t>
      </w:r>
    </w:p>
    <w:p>
      <w:pPr>
        <w:spacing w:line="6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（8）12月21日至25日，举办社区党组织书记专题培训班，共设置课程52门41学时，培训全区社区（村转居）书记152人。</w:t>
      </w:r>
    </w:p>
    <w:p>
      <w:pPr>
        <w:widowControl/>
        <w:spacing w:line="580" w:lineRule="exact"/>
        <w:ind w:firstLine="560"/>
        <w:rPr>
          <w:rFonts w:ascii="仿宋" w:hAnsi="仿宋" w:eastAsia="仿宋" w:cs="仿宋"/>
          <w:sz w:val="28"/>
          <w:szCs w:val="28"/>
        </w:rPr>
      </w:pPr>
      <w:r>
        <w:rPr>
          <w:rFonts w:hint="eastAsia" w:ascii="仿宋" w:hAnsi="仿宋" w:eastAsia="仿宋" w:cs="仿宋"/>
          <w:sz w:val="28"/>
          <w:szCs w:val="28"/>
        </w:rPr>
        <w:t>培训轮训班次均按照上级要求按时完成。</w:t>
      </w:r>
    </w:p>
    <w:p>
      <w:pPr>
        <w:spacing w:line="600" w:lineRule="exact"/>
        <w:rPr>
          <w:rFonts w:ascii="仿宋" w:hAnsi="仿宋" w:eastAsia="仿宋" w:cs="仿宋"/>
          <w:color w:val="FF0000"/>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该指标满分10分，扣0分，得分10分</w:t>
      </w:r>
      <w:r>
        <w:rPr>
          <w:rFonts w:hint="eastAsia" w:ascii="仿宋" w:hAnsi="仿宋" w:eastAsia="仿宋" w:cs="仿宋"/>
          <w:color w:val="1E1E1E"/>
          <w:sz w:val="28"/>
          <w:szCs w:val="28"/>
          <w:shd w:val="clear" w:color="auto" w:fill="FFFFFF"/>
        </w:rPr>
        <w:t>。</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4、成本指标</w:t>
      </w:r>
    </w:p>
    <w:p>
      <w:pPr>
        <w:spacing w:line="600" w:lineRule="exact"/>
        <w:ind w:firstLine="560" w:firstLineChars="200"/>
        <w:rPr>
          <w:rFonts w:ascii="仿宋" w:hAnsi="仿宋" w:eastAsia="仿宋" w:cs="仿宋"/>
          <w:sz w:val="28"/>
          <w:szCs w:val="28"/>
        </w:rPr>
      </w:pPr>
      <w:r>
        <w:rPr>
          <w:rFonts w:hint="eastAsia" w:ascii="仿宋" w:hAnsi="仿宋" w:eastAsia="仿宋" w:cs="仿宋"/>
          <w:bCs/>
          <w:sz w:val="28"/>
          <w:szCs w:val="28"/>
        </w:rPr>
        <w:t>项目专项资金的审批、拨付、使用范围符合专项资金管理规定，专款专用、专账记载。</w:t>
      </w:r>
      <w:r>
        <w:rPr>
          <w:rFonts w:hint="eastAsia" w:ascii="仿宋" w:hAnsi="仿宋" w:eastAsia="仿宋" w:cs="仿宋"/>
          <w:sz w:val="28"/>
          <w:szCs w:val="28"/>
        </w:rPr>
        <w:t>经检查，经费支出的凭证附件齐全合规，资金走向清晰，总账、明细账、凭证管理规范，项目支出范围、审批流程合规。专项资金支付符合项目预算批复及合同规定的用途，且不存在截留、挤占、挪用、虚列支出等情况，干部培训经费使用情况与财政拨付金额一致。</w:t>
      </w:r>
    </w:p>
    <w:p>
      <w:pPr>
        <w:spacing w:line="600" w:lineRule="exact"/>
        <w:ind w:firstLine="480"/>
        <w:rPr>
          <w:rFonts w:ascii="仿宋" w:hAnsi="仿宋" w:eastAsia="仿宋" w:cs="仿宋"/>
          <w:sz w:val="28"/>
          <w:szCs w:val="28"/>
          <w:shd w:val="clear" w:color="auto" w:fill="FFFFFF"/>
        </w:rPr>
      </w:pPr>
      <w:r>
        <w:rPr>
          <w:rFonts w:hint="eastAsia" w:ascii="仿宋" w:hAnsi="仿宋" w:eastAsia="仿宋" w:cs="仿宋"/>
          <w:sz w:val="28"/>
          <w:szCs w:val="28"/>
        </w:rPr>
        <w:t>该指标满分10分，扣0分，得分10分</w:t>
      </w:r>
      <w:r>
        <w:rPr>
          <w:rFonts w:hint="eastAsia" w:ascii="仿宋" w:hAnsi="仿宋" w:eastAsia="仿宋" w:cs="仿宋"/>
          <w:sz w:val="28"/>
          <w:szCs w:val="28"/>
          <w:shd w:val="clear" w:color="auto" w:fill="FFFFFF"/>
        </w:rPr>
        <w:t>。</w:t>
      </w:r>
    </w:p>
    <w:p>
      <w:pPr>
        <w:widowControl/>
        <w:spacing w:line="600" w:lineRule="exact"/>
        <w:jc w:val="left"/>
        <w:rPr>
          <w:rFonts w:ascii="仿宋" w:hAnsi="仿宋" w:eastAsia="仿宋" w:cs="仿宋"/>
          <w:bCs/>
          <w:sz w:val="28"/>
          <w:szCs w:val="28"/>
        </w:rPr>
      </w:pPr>
      <w:r>
        <w:rPr>
          <w:rFonts w:hint="eastAsia" w:ascii="仿宋" w:hAnsi="仿宋" w:eastAsia="仿宋" w:cs="仿宋"/>
          <w:b/>
          <w:sz w:val="28"/>
          <w:szCs w:val="28"/>
        </w:rPr>
        <w:t>（三）项目效益（满分40分，得分40分）</w:t>
      </w:r>
    </w:p>
    <w:p>
      <w:pPr>
        <w:spacing w:line="600" w:lineRule="exact"/>
        <w:ind w:firstLine="560" w:firstLineChars="200"/>
        <w:rPr>
          <w:rFonts w:ascii="仿宋" w:hAnsi="仿宋" w:eastAsia="仿宋" w:cs="仿宋"/>
          <w:bCs/>
          <w:sz w:val="28"/>
          <w:szCs w:val="28"/>
        </w:rPr>
      </w:pPr>
      <w:r>
        <w:rPr>
          <w:rFonts w:hint="eastAsia" w:ascii="仿宋" w:hAnsi="仿宋" w:eastAsia="仿宋" w:cs="仿宋"/>
          <w:bCs/>
          <w:sz w:val="28"/>
          <w:szCs w:val="28"/>
        </w:rPr>
        <w:t>1、经济效益</w:t>
      </w:r>
    </w:p>
    <w:p>
      <w:pPr>
        <w:widowControl/>
        <w:spacing w:line="600" w:lineRule="exact"/>
        <w:ind w:firstLine="480"/>
        <w:jc w:val="left"/>
        <w:rPr>
          <w:rFonts w:ascii="仿宋" w:hAnsi="仿宋" w:eastAsia="仿宋" w:cs="仿宋"/>
          <w:color w:val="000000"/>
          <w:sz w:val="28"/>
          <w:szCs w:val="28"/>
        </w:rPr>
      </w:pPr>
      <w:r>
        <w:rPr>
          <w:rFonts w:hint="eastAsia" w:ascii="仿宋" w:hAnsi="仿宋" w:eastAsia="仿宋" w:cs="仿宋"/>
          <w:bCs/>
          <w:color w:val="000000"/>
          <w:sz w:val="28"/>
          <w:szCs w:val="28"/>
        </w:rPr>
        <w:t>区委党校授课内容更加侧重干部队伍政策理论素养,增加了经济领域的培训,为创桥西经济社会发展新辉煌提供经济支持的能力有所提高，干部培训产生的经济效益有所加强。</w:t>
      </w:r>
    </w:p>
    <w:p>
      <w:pPr>
        <w:spacing w:line="600" w:lineRule="exact"/>
        <w:ind w:firstLine="560" w:firstLineChars="200"/>
        <w:rPr>
          <w:rFonts w:ascii="仿宋" w:hAnsi="仿宋" w:eastAsia="仿宋" w:cs="仿宋"/>
          <w:color w:val="1E1E1E"/>
          <w:sz w:val="28"/>
          <w:szCs w:val="28"/>
          <w:shd w:val="clear" w:color="auto" w:fill="FFFFFF"/>
        </w:rPr>
      </w:pPr>
      <w:r>
        <w:rPr>
          <w:rFonts w:hint="eastAsia" w:ascii="仿宋" w:hAnsi="仿宋" w:eastAsia="仿宋" w:cs="仿宋"/>
          <w:sz w:val="28"/>
          <w:szCs w:val="28"/>
        </w:rPr>
        <w:t>该指标满分8分，扣0分，得分8分</w:t>
      </w:r>
      <w:r>
        <w:rPr>
          <w:rFonts w:hint="eastAsia" w:ascii="仿宋" w:hAnsi="仿宋" w:eastAsia="仿宋" w:cs="仿宋"/>
          <w:color w:val="1E1E1E"/>
          <w:sz w:val="28"/>
          <w:szCs w:val="28"/>
          <w:shd w:val="clear" w:color="auto" w:fill="FFFFFF"/>
        </w:rPr>
        <w:t>。</w:t>
      </w:r>
    </w:p>
    <w:p>
      <w:pPr>
        <w:spacing w:line="600" w:lineRule="exact"/>
        <w:ind w:firstLine="560" w:firstLineChars="200"/>
        <w:rPr>
          <w:rFonts w:ascii="仿宋" w:hAnsi="仿宋" w:eastAsia="仿宋" w:cs="仿宋"/>
          <w:bCs/>
          <w:sz w:val="28"/>
          <w:szCs w:val="28"/>
        </w:rPr>
      </w:pPr>
      <w:r>
        <w:rPr>
          <w:rFonts w:hint="eastAsia" w:ascii="仿宋" w:hAnsi="仿宋" w:eastAsia="仿宋" w:cs="仿宋"/>
          <w:bCs/>
          <w:sz w:val="28"/>
          <w:szCs w:val="28"/>
        </w:rPr>
        <w:t>2、社会效益</w:t>
      </w:r>
    </w:p>
    <w:p>
      <w:pPr>
        <w:spacing w:line="600" w:lineRule="exact"/>
        <w:ind w:firstLine="560" w:firstLineChars="200"/>
        <w:rPr>
          <w:rFonts w:ascii="仿宋" w:hAnsi="仿宋" w:eastAsia="仿宋" w:cs="仿宋"/>
          <w:bCs/>
          <w:sz w:val="28"/>
          <w:szCs w:val="28"/>
        </w:rPr>
      </w:pPr>
      <w:r>
        <w:rPr>
          <w:rFonts w:hint="eastAsia" w:ascii="仿宋" w:hAnsi="仿宋" w:eastAsia="仿宋" w:cs="仿宋"/>
          <w:bCs/>
          <w:sz w:val="28"/>
          <w:szCs w:val="28"/>
        </w:rPr>
        <w:t>2022年区委党校干部培训工作坚持把党性教育作为教学的主要内容，积极整合辖区红色资源，打造出“传承红色基因 汇聚复兴伟力”特色党性教育项目，深入开展理想信念、党史国史、革命传统教育，并认真履行党的意识形态工作责任制，创办了“桥西党校”微信公众号，努力打造党员干部学习的“随身课堂”，目前已发布信息60期222篇。扩大党员干部教育培训范围，使党员普遍受教育，更好地为人民群众服务，促进了党员干部与人民群众的关系，推动社会和谐发展。</w:t>
      </w:r>
    </w:p>
    <w:p>
      <w:pPr>
        <w:spacing w:line="600" w:lineRule="exact"/>
        <w:ind w:firstLine="480"/>
        <w:rPr>
          <w:rFonts w:ascii="仿宋" w:hAnsi="仿宋" w:eastAsia="仿宋" w:cs="仿宋"/>
          <w:color w:val="1E1E1E"/>
          <w:sz w:val="28"/>
          <w:szCs w:val="28"/>
          <w:shd w:val="clear" w:color="auto" w:fill="FFFFFF"/>
        </w:rPr>
      </w:pPr>
      <w:r>
        <w:rPr>
          <w:rFonts w:hint="eastAsia" w:ascii="仿宋" w:hAnsi="仿宋" w:eastAsia="仿宋" w:cs="仿宋"/>
          <w:sz w:val="28"/>
          <w:szCs w:val="28"/>
        </w:rPr>
        <w:t>该指标满分16分，扣0分，得分16分</w:t>
      </w:r>
      <w:r>
        <w:rPr>
          <w:rFonts w:hint="eastAsia" w:ascii="仿宋" w:hAnsi="仿宋" w:eastAsia="仿宋" w:cs="仿宋"/>
          <w:color w:val="1E1E1E"/>
          <w:sz w:val="28"/>
          <w:szCs w:val="28"/>
          <w:shd w:val="clear" w:color="auto" w:fill="FFFFFF"/>
        </w:rPr>
        <w:t>。</w:t>
      </w:r>
    </w:p>
    <w:p>
      <w:pPr>
        <w:spacing w:line="600" w:lineRule="exact"/>
        <w:ind w:firstLine="480"/>
        <w:rPr>
          <w:rFonts w:ascii="仿宋" w:hAnsi="仿宋" w:eastAsia="仿宋" w:cs="仿宋"/>
          <w:bCs/>
          <w:sz w:val="28"/>
          <w:szCs w:val="28"/>
        </w:rPr>
      </w:pPr>
      <w:r>
        <w:rPr>
          <w:rFonts w:hint="eastAsia" w:ascii="仿宋" w:hAnsi="仿宋" w:eastAsia="仿宋" w:cs="仿宋"/>
          <w:bCs/>
          <w:sz w:val="28"/>
          <w:szCs w:val="28"/>
        </w:rPr>
        <w:t>3、可持续影响</w:t>
      </w:r>
    </w:p>
    <w:p>
      <w:pPr>
        <w:spacing w:line="600" w:lineRule="exact"/>
        <w:ind w:firstLine="560" w:firstLineChars="200"/>
        <w:rPr>
          <w:rFonts w:ascii="仿宋" w:hAnsi="仿宋" w:eastAsia="仿宋" w:cs="仿宋"/>
          <w:bCs/>
          <w:sz w:val="28"/>
          <w:szCs w:val="28"/>
        </w:rPr>
      </w:pPr>
      <w:r>
        <w:rPr>
          <w:rFonts w:hint="eastAsia" w:ascii="仿宋" w:hAnsi="仿宋" w:eastAsia="仿宋" w:cs="仿宋"/>
          <w:bCs/>
          <w:sz w:val="28"/>
          <w:szCs w:val="28"/>
        </w:rPr>
        <w:t>受训干部参加培训后反响热烈，表示希望党校经常举办培训班，扩大培训范围。通过开展流动党校“五进”活动，扩大党校在基层发挥作用的范围与影响。</w:t>
      </w:r>
    </w:p>
    <w:p>
      <w:pPr>
        <w:spacing w:line="600" w:lineRule="exact"/>
        <w:ind w:firstLine="480"/>
        <w:rPr>
          <w:rFonts w:ascii="仿宋" w:hAnsi="仿宋" w:eastAsia="仿宋" w:cs="仿宋"/>
          <w:color w:val="1E1E1E"/>
          <w:sz w:val="28"/>
          <w:szCs w:val="28"/>
          <w:shd w:val="clear" w:color="auto" w:fill="FFFFFF"/>
        </w:rPr>
      </w:pPr>
      <w:r>
        <w:rPr>
          <w:rFonts w:hint="eastAsia" w:ascii="仿宋" w:hAnsi="仿宋" w:eastAsia="仿宋" w:cs="仿宋"/>
          <w:sz w:val="28"/>
          <w:szCs w:val="28"/>
        </w:rPr>
        <w:t>该指标满分16分，扣0分，得分16分</w:t>
      </w:r>
      <w:r>
        <w:rPr>
          <w:rFonts w:hint="eastAsia" w:ascii="仿宋" w:hAnsi="仿宋" w:eastAsia="仿宋" w:cs="仿宋"/>
          <w:color w:val="1E1E1E"/>
          <w:sz w:val="28"/>
          <w:szCs w:val="28"/>
          <w:shd w:val="clear" w:color="auto" w:fill="FFFFFF"/>
        </w:rPr>
        <w:t>。</w:t>
      </w:r>
    </w:p>
    <w:p>
      <w:pPr>
        <w:spacing w:line="600" w:lineRule="exact"/>
        <w:ind w:firstLine="480"/>
        <w:rPr>
          <w:rFonts w:ascii="仿宋" w:hAnsi="仿宋" w:eastAsia="仿宋" w:cs="仿宋"/>
          <w:b/>
          <w:bCs/>
          <w:sz w:val="28"/>
          <w:szCs w:val="28"/>
        </w:rPr>
      </w:pPr>
      <w:r>
        <w:rPr>
          <w:rFonts w:hint="eastAsia" w:ascii="仿宋" w:hAnsi="仿宋" w:eastAsia="仿宋" w:cs="仿宋"/>
          <w:b/>
          <w:sz w:val="28"/>
          <w:szCs w:val="28"/>
        </w:rPr>
        <w:t>（四)</w:t>
      </w:r>
      <w:r>
        <w:rPr>
          <w:rFonts w:hint="eastAsia" w:ascii="仿宋" w:hAnsi="仿宋" w:eastAsia="仿宋" w:cs="仿宋"/>
          <w:b/>
          <w:bCs/>
          <w:sz w:val="28"/>
          <w:szCs w:val="28"/>
        </w:rPr>
        <w:t xml:space="preserve"> 服务对象满意度</w:t>
      </w:r>
      <w:r>
        <w:rPr>
          <w:rFonts w:hint="eastAsia" w:ascii="仿宋" w:hAnsi="仿宋" w:eastAsia="仿宋" w:cs="仿宋"/>
          <w:b/>
          <w:sz w:val="28"/>
          <w:szCs w:val="28"/>
        </w:rPr>
        <w:t>（满分10分，得分10分）</w:t>
      </w:r>
    </w:p>
    <w:p>
      <w:pPr>
        <w:spacing w:line="600" w:lineRule="exact"/>
        <w:ind w:firstLine="480"/>
        <w:rPr>
          <w:rFonts w:ascii="仿宋" w:hAnsi="仿宋" w:eastAsia="仿宋" w:cs="仿宋"/>
          <w:bCs/>
          <w:sz w:val="28"/>
          <w:szCs w:val="28"/>
        </w:rPr>
      </w:pPr>
      <w:r>
        <w:rPr>
          <w:rFonts w:hint="eastAsia" w:ascii="仿宋" w:hAnsi="仿宋" w:eastAsia="仿宋" w:cs="仿宋"/>
          <w:bCs/>
          <w:sz w:val="28"/>
          <w:szCs w:val="28"/>
        </w:rPr>
        <w:t>受训干部积极响应活动、参加培训。在随机的走访中，受训干部对培训工作都给予了较高的评价，受训干部对培训的内容和形式满意度较高，取得良好的满意程度。</w:t>
      </w:r>
    </w:p>
    <w:p>
      <w:pPr>
        <w:spacing w:line="560" w:lineRule="exact"/>
        <w:ind w:firstLine="560" w:firstLineChars="200"/>
        <w:rPr>
          <w:rFonts w:ascii="仿宋" w:hAnsi="仿宋" w:eastAsia="仿宋" w:cs="仿宋"/>
          <w:color w:val="1E1E1E"/>
          <w:sz w:val="28"/>
          <w:szCs w:val="28"/>
          <w:shd w:val="clear" w:color="auto" w:fill="FFFFFF"/>
        </w:rPr>
      </w:pPr>
      <w:r>
        <w:rPr>
          <w:rFonts w:hint="eastAsia" w:ascii="仿宋" w:hAnsi="仿宋" w:eastAsia="仿宋" w:cs="仿宋"/>
          <w:sz w:val="28"/>
          <w:szCs w:val="28"/>
        </w:rPr>
        <w:t>该指标满分10分，扣0分，得分10分</w:t>
      </w:r>
      <w:r>
        <w:rPr>
          <w:rFonts w:hint="eastAsia" w:ascii="仿宋" w:hAnsi="仿宋" w:eastAsia="仿宋" w:cs="仿宋"/>
          <w:color w:val="1E1E1E"/>
          <w:sz w:val="28"/>
          <w:szCs w:val="28"/>
          <w:shd w:val="clear" w:color="auto" w:fill="FFFFFF"/>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560" w:firstLineChars="200"/>
        <w:rPr>
          <w:rFonts w:ascii="仿宋" w:hAnsi="仿宋" w:eastAsia="仿宋"/>
          <w:sz w:val="32"/>
          <w:szCs w:val="32"/>
        </w:rPr>
      </w:pPr>
      <w:r>
        <w:rPr>
          <w:rFonts w:hint="eastAsia" w:ascii="仿宋" w:hAnsi="仿宋" w:eastAsia="仿宋" w:cs="仿宋"/>
          <w:sz w:val="28"/>
          <w:szCs w:val="28"/>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通过业务数据统计、访谈、调查等方式取得的信息，根据编制的干部培训、流动党校培训工作专项资金绩效评价指标和评分标准，本项目绩效评价得分为100分，绩效评价等级为优秀。</w:t>
      </w:r>
    </w:p>
    <w:p>
      <w:pPr>
        <w:spacing w:line="60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                    表二：综合评分表</w:t>
      </w:r>
    </w:p>
    <w:tbl>
      <w:tblPr>
        <w:tblStyle w:val="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1500"/>
        <w:gridCol w:w="1501"/>
        <w:gridCol w:w="1501"/>
        <w:gridCol w:w="1501"/>
        <w:gridCol w:w="15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00" w:type="dxa"/>
            <w:vAlign w:val="center"/>
          </w:tcPr>
          <w:p>
            <w:pPr>
              <w:spacing w:line="600" w:lineRule="exact"/>
              <w:jc w:val="center"/>
              <w:rPr>
                <w:rFonts w:ascii="仿宋" w:hAnsi="仿宋" w:eastAsia="仿宋" w:cs="仿宋"/>
                <w:sz w:val="24"/>
              </w:rPr>
            </w:pPr>
            <w:r>
              <w:rPr>
                <w:rFonts w:hint="eastAsia" w:ascii="仿宋" w:hAnsi="仿宋" w:eastAsia="仿宋" w:cs="仿宋"/>
                <w:sz w:val="24"/>
              </w:rPr>
              <w:t>指标</w:t>
            </w:r>
          </w:p>
        </w:tc>
        <w:tc>
          <w:tcPr>
            <w:tcW w:w="1500" w:type="dxa"/>
            <w:vAlign w:val="center"/>
          </w:tcPr>
          <w:p>
            <w:pPr>
              <w:spacing w:line="600" w:lineRule="exact"/>
              <w:jc w:val="center"/>
              <w:rPr>
                <w:rFonts w:ascii="仿宋" w:hAnsi="仿宋" w:eastAsia="仿宋" w:cs="仿宋"/>
                <w:sz w:val="24"/>
              </w:rPr>
            </w:pPr>
            <w:r>
              <w:rPr>
                <w:rFonts w:hint="eastAsia" w:ascii="仿宋" w:hAnsi="仿宋" w:eastAsia="仿宋" w:cs="仿宋"/>
                <w:sz w:val="24"/>
              </w:rPr>
              <w:t>预算执行情况</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项目产出</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项目效益</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满意度</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00" w:type="dxa"/>
            <w:vAlign w:val="center"/>
          </w:tcPr>
          <w:p>
            <w:pPr>
              <w:spacing w:line="600" w:lineRule="exact"/>
              <w:jc w:val="center"/>
              <w:rPr>
                <w:rFonts w:ascii="仿宋" w:hAnsi="仿宋" w:eastAsia="仿宋" w:cs="仿宋"/>
                <w:sz w:val="24"/>
              </w:rPr>
            </w:pPr>
            <w:r>
              <w:rPr>
                <w:rFonts w:hint="eastAsia" w:ascii="仿宋" w:hAnsi="仿宋" w:eastAsia="仿宋" w:cs="仿宋"/>
                <w:sz w:val="24"/>
              </w:rPr>
              <w:t>权重</w:t>
            </w:r>
          </w:p>
        </w:tc>
        <w:tc>
          <w:tcPr>
            <w:tcW w:w="1500" w:type="dxa"/>
            <w:vAlign w:val="center"/>
          </w:tcPr>
          <w:p>
            <w:pPr>
              <w:spacing w:line="600" w:lineRule="exact"/>
              <w:jc w:val="center"/>
              <w:rPr>
                <w:rFonts w:ascii="仿宋" w:hAnsi="仿宋" w:eastAsia="仿宋" w:cs="仿宋"/>
                <w:sz w:val="24"/>
              </w:rPr>
            </w:pPr>
            <w:r>
              <w:rPr>
                <w:rFonts w:hint="eastAsia" w:ascii="仿宋" w:hAnsi="仿宋" w:eastAsia="仿宋" w:cs="仿宋"/>
                <w:sz w:val="24"/>
              </w:rPr>
              <w:t>10%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40%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40%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10%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00" w:type="dxa"/>
            <w:vAlign w:val="center"/>
          </w:tcPr>
          <w:p>
            <w:pPr>
              <w:spacing w:line="600" w:lineRule="exact"/>
              <w:jc w:val="center"/>
              <w:rPr>
                <w:rFonts w:ascii="仿宋" w:hAnsi="仿宋" w:eastAsia="仿宋" w:cs="仿宋"/>
                <w:sz w:val="24"/>
              </w:rPr>
            </w:pPr>
            <w:r>
              <w:rPr>
                <w:rFonts w:hint="eastAsia" w:ascii="仿宋" w:hAnsi="仿宋" w:eastAsia="仿宋" w:cs="仿宋"/>
                <w:sz w:val="24"/>
              </w:rPr>
              <w:t>分值</w:t>
            </w:r>
          </w:p>
        </w:tc>
        <w:tc>
          <w:tcPr>
            <w:tcW w:w="1500" w:type="dxa"/>
            <w:vAlign w:val="center"/>
          </w:tcPr>
          <w:p>
            <w:pPr>
              <w:spacing w:line="600" w:lineRule="exact"/>
              <w:jc w:val="center"/>
              <w:rPr>
                <w:rFonts w:ascii="仿宋" w:hAnsi="仿宋" w:eastAsia="仿宋" w:cs="仿宋"/>
                <w:sz w:val="24"/>
              </w:rPr>
            </w:pPr>
            <w:r>
              <w:rPr>
                <w:rFonts w:hint="eastAsia" w:ascii="仿宋" w:hAnsi="仿宋" w:eastAsia="仿宋" w:cs="仿宋"/>
                <w:sz w:val="24"/>
              </w:rPr>
              <w:t>10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40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40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10</w:t>
            </w:r>
          </w:p>
        </w:tc>
        <w:tc>
          <w:tcPr>
            <w:tcW w:w="1501" w:type="dxa"/>
            <w:vAlign w:val="center"/>
          </w:tcPr>
          <w:p>
            <w:pPr>
              <w:spacing w:line="600" w:lineRule="exact"/>
              <w:jc w:val="center"/>
              <w:rPr>
                <w:rFonts w:ascii="仿宋" w:hAnsi="仿宋" w:eastAsia="仿宋" w:cs="仿宋"/>
                <w:sz w:val="24"/>
              </w:rPr>
            </w:pPr>
            <w:r>
              <w:rPr>
                <w:rFonts w:hint="eastAsia" w:ascii="仿宋" w:hAnsi="仿宋" w:eastAsia="仿宋" w:cs="仿宋"/>
                <w:sz w:val="24"/>
              </w:rPr>
              <w:t>100</w:t>
            </w: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560" w:firstLineChars="200"/>
        <w:rPr>
          <w:rFonts w:ascii="楷体" w:hAnsi="楷体" w:eastAsia="楷体"/>
          <w:bCs/>
          <w:sz w:val="32"/>
          <w:szCs w:val="32"/>
        </w:rPr>
      </w:pPr>
      <w:r>
        <w:rPr>
          <w:rFonts w:hint="eastAsia" w:ascii="仿宋" w:hAnsi="仿宋" w:eastAsia="仿宋" w:cs="仿宋"/>
          <w:bCs/>
          <w:sz w:val="28"/>
          <w:szCs w:val="28"/>
        </w:rPr>
        <w:t>培训内容有待进一步丰富创新，在经济领域的培训内容较少，为桥西区经济发展建言献策，提供人才支持的能力有待提高。</w:t>
      </w:r>
    </w:p>
    <w:p>
      <w:pPr>
        <w:numPr>
          <w:ilvl w:val="0"/>
          <w:numId w:val="4"/>
        </w:numPr>
        <w:spacing w:line="560" w:lineRule="exact"/>
        <w:ind w:firstLine="640" w:firstLineChars="200"/>
        <w:rPr>
          <w:rFonts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rPr>
          <w:rFonts w:ascii="楷体" w:hAnsi="楷体" w:eastAsia="楷体"/>
          <w:bCs/>
          <w:sz w:val="32"/>
          <w:szCs w:val="32"/>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在进一步加强理论、思想教育的同时也要注重经济领域相关内容的培训，为桥西区经济发展提供更大的助力。</w:t>
      </w:r>
      <w:r>
        <w:rPr>
          <w:rFonts w:hint="eastAsia" w:ascii="仿宋" w:hAnsi="仿宋" w:eastAsia="仿宋" w:cs="仿宋"/>
          <w:color w:val="1E1E1E"/>
          <w:sz w:val="28"/>
          <w:szCs w:val="28"/>
          <w:shd w:val="clear" w:color="auto" w:fill="FFFFFF"/>
        </w:rPr>
        <w:t>按照区委要求，对标先进，挖掘潜力，提升水平，以奋发有为的精神状态完成好各项工作任务。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600" w:lineRule="exact"/>
        <w:ind w:firstLine="2520" w:firstLineChars="900"/>
        <w:rPr>
          <w:rFonts w:ascii="仿宋" w:hAnsi="仿宋" w:eastAsia="仿宋" w:cs="仿宋"/>
          <w:b/>
          <w:bCs/>
          <w:sz w:val="28"/>
          <w:szCs w:val="28"/>
        </w:rPr>
      </w:pPr>
      <w:r>
        <w:rPr>
          <w:rFonts w:hint="eastAsia" w:ascii="仿宋" w:hAnsi="仿宋" w:eastAsia="仿宋" w:cs="仿宋"/>
          <w:sz w:val="28"/>
          <w:szCs w:val="28"/>
        </w:rPr>
        <w:t>表三：评价工作组人员名单签字表</w:t>
      </w:r>
    </w:p>
    <w:tbl>
      <w:tblPr>
        <w:tblStyle w:val="5"/>
        <w:tblW w:w="93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6"/>
        <w:gridCol w:w="3232"/>
        <w:gridCol w:w="1541"/>
        <w:gridCol w:w="1720"/>
        <w:gridCol w:w="1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1076" w:type="dxa"/>
            <w:vAlign w:val="center"/>
          </w:tcPr>
          <w:p>
            <w:pPr>
              <w:spacing w:line="600" w:lineRule="exact"/>
              <w:jc w:val="center"/>
              <w:rPr>
                <w:rFonts w:ascii="仿宋" w:hAnsi="仿宋" w:eastAsia="仿宋" w:cs="仿宋"/>
                <w:sz w:val="24"/>
              </w:rPr>
            </w:pPr>
            <w:r>
              <w:rPr>
                <w:rFonts w:hint="eastAsia" w:ascii="仿宋" w:hAnsi="仿宋" w:eastAsia="仿宋" w:cs="仿宋"/>
                <w:sz w:val="24"/>
              </w:rPr>
              <w:t>姓名</w:t>
            </w:r>
          </w:p>
        </w:tc>
        <w:tc>
          <w:tcPr>
            <w:tcW w:w="3232" w:type="dxa"/>
            <w:vAlign w:val="center"/>
          </w:tcPr>
          <w:p>
            <w:pPr>
              <w:spacing w:line="600" w:lineRule="exact"/>
              <w:jc w:val="center"/>
              <w:rPr>
                <w:rFonts w:ascii="仿宋" w:hAnsi="仿宋" w:eastAsia="仿宋" w:cs="仿宋"/>
                <w:sz w:val="24"/>
              </w:rPr>
            </w:pPr>
            <w:r>
              <w:rPr>
                <w:rFonts w:hint="eastAsia" w:ascii="仿宋" w:hAnsi="仿宋" w:eastAsia="仿宋" w:cs="仿宋"/>
                <w:sz w:val="24"/>
              </w:rPr>
              <w:t>工作单位</w:t>
            </w:r>
          </w:p>
        </w:tc>
        <w:tc>
          <w:tcPr>
            <w:tcW w:w="1541" w:type="dxa"/>
            <w:vAlign w:val="center"/>
          </w:tcPr>
          <w:p>
            <w:pPr>
              <w:spacing w:line="600" w:lineRule="exact"/>
              <w:jc w:val="center"/>
              <w:rPr>
                <w:rFonts w:ascii="仿宋" w:hAnsi="仿宋" w:eastAsia="仿宋" w:cs="仿宋"/>
                <w:sz w:val="24"/>
              </w:rPr>
            </w:pPr>
            <w:r>
              <w:rPr>
                <w:rFonts w:hint="eastAsia" w:ascii="仿宋" w:hAnsi="仿宋" w:eastAsia="仿宋" w:cs="仿宋"/>
                <w:sz w:val="24"/>
              </w:rPr>
              <w:t>职务</w:t>
            </w:r>
          </w:p>
        </w:tc>
        <w:tc>
          <w:tcPr>
            <w:tcW w:w="1720" w:type="dxa"/>
            <w:vAlign w:val="center"/>
          </w:tcPr>
          <w:p>
            <w:pPr>
              <w:spacing w:line="600" w:lineRule="exact"/>
              <w:jc w:val="center"/>
              <w:rPr>
                <w:rFonts w:ascii="仿宋" w:hAnsi="仿宋" w:eastAsia="仿宋" w:cs="仿宋"/>
                <w:sz w:val="24"/>
              </w:rPr>
            </w:pPr>
            <w:r>
              <w:rPr>
                <w:rFonts w:hint="eastAsia" w:ascii="仿宋" w:hAnsi="仿宋" w:eastAsia="仿宋" w:cs="仿宋"/>
                <w:sz w:val="24"/>
              </w:rPr>
              <w:t>职级</w:t>
            </w:r>
          </w:p>
        </w:tc>
        <w:tc>
          <w:tcPr>
            <w:tcW w:w="1735" w:type="dxa"/>
            <w:vAlign w:val="center"/>
          </w:tcPr>
          <w:p>
            <w:pPr>
              <w:spacing w:line="600" w:lineRule="exact"/>
              <w:jc w:val="center"/>
              <w:rPr>
                <w:rFonts w:ascii="仿宋" w:hAnsi="仿宋" w:eastAsia="仿宋" w:cs="仿宋"/>
                <w:sz w:val="24"/>
              </w:rPr>
            </w:pPr>
            <w:r>
              <w:rPr>
                <w:rFonts w:hint="eastAsia" w:ascii="仿宋" w:hAnsi="仿宋" w:eastAsia="仿宋" w:cs="仿宋"/>
                <w:sz w:val="24"/>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986" w:hRule="atLeast"/>
          <w:jc w:val="center"/>
        </w:trPr>
        <w:tc>
          <w:tcPr>
            <w:tcW w:w="1076" w:type="dxa"/>
            <w:vAlign w:val="center"/>
          </w:tcPr>
          <w:p>
            <w:pPr>
              <w:spacing w:line="600" w:lineRule="exact"/>
              <w:jc w:val="center"/>
              <w:rPr>
                <w:rFonts w:ascii="仿宋" w:hAnsi="仿宋" w:eastAsia="仿宋" w:cs="仿宋"/>
                <w:sz w:val="24"/>
              </w:rPr>
            </w:pPr>
            <w:r>
              <w:rPr>
                <w:rFonts w:hint="eastAsia" w:ascii="仿宋" w:hAnsi="仿宋" w:eastAsia="仿宋" w:cs="仿宋"/>
                <w:sz w:val="24"/>
              </w:rPr>
              <w:t>王仲亮</w:t>
            </w:r>
          </w:p>
        </w:tc>
        <w:tc>
          <w:tcPr>
            <w:tcW w:w="3232" w:type="dxa"/>
            <w:vAlign w:val="center"/>
          </w:tcPr>
          <w:p>
            <w:pPr>
              <w:spacing w:line="600" w:lineRule="exact"/>
              <w:jc w:val="center"/>
              <w:rPr>
                <w:rFonts w:ascii="仿宋" w:hAnsi="仿宋" w:eastAsia="仿宋" w:cs="仿宋"/>
                <w:sz w:val="24"/>
              </w:rPr>
            </w:pPr>
            <w:r>
              <w:rPr>
                <w:rFonts w:hint="eastAsia" w:ascii="仿宋" w:hAnsi="仿宋" w:eastAsia="仿宋" w:cs="仿宋"/>
                <w:sz w:val="24"/>
              </w:rPr>
              <w:t>中共石家庄市桥西区委党校</w:t>
            </w:r>
          </w:p>
        </w:tc>
        <w:tc>
          <w:tcPr>
            <w:tcW w:w="1541" w:type="dxa"/>
            <w:vAlign w:val="center"/>
          </w:tcPr>
          <w:p>
            <w:pPr>
              <w:spacing w:line="600" w:lineRule="exact"/>
              <w:jc w:val="center"/>
              <w:rPr>
                <w:rFonts w:ascii="仿宋" w:hAnsi="仿宋" w:eastAsia="仿宋" w:cs="仿宋"/>
                <w:sz w:val="24"/>
              </w:rPr>
            </w:pPr>
            <w:r>
              <w:rPr>
                <w:rFonts w:hint="eastAsia" w:ascii="仿宋" w:hAnsi="仿宋" w:eastAsia="仿宋" w:cs="仿宋"/>
                <w:sz w:val="24"/>
              </w:rPr>
              <w:t>常务副校长</w:t>
            </w:r>
          </w:p>
        </w:tc>
        <w:tc>
          <w:tcPr>
            <w:tcW w:w="1720" w:type="dxa"/>
            <w:vAlign w:val="center"/>
          </w:tcPr>
          <w:p>
            <w:pPr>
              <w:spacing w:line="600" w:lineRule="exact"/>
              <w:jc w:val="center"/>
              <w:rPr>
                <w:rFonts w:ascii="仿宋" w:hAnsi="仿宋" w:eastAsia="仿宋" w:cs="仿宋"/>
                <w:sz w:val="24"/>
              </w:rPr>
            </w:pPr>
            <w:r>
              <w:rPr>
                <w:rFonts w:hint="eastAsia" w:ascii="仿宋" w:hAnsi="仿宋" w:eastAsia="仿宋" w:cs="仿宋"/>
                <w:sz w:val="24"/>
              </w:rPr>
              <w:t>一级主任科员</w:t>
            </w:r>
          </w:p>
        </w:tc>
        <w:tc>
          <w:tcPr>
            <w:tcW w:w="1735" w:type="dxa"/>
            <w:vAlign w:val="center"/>
          </w:tcPr>
          <w:p>
            <w:pPr>
              <w:spacing w:line="600" w:lineRule="exact"/>
              <w:jc w:val="center"/>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840" w:hRule="atLeast"/>
          <w:jc w:val="center"/>
        </w:trPr>
        <w:tc>
          <w:tcPr>
            <w:tcW w:w="1076" w:type="dxa"/>
            <w:vAlign w:val="center"/>
          </w:tcPr>
          <w:p>
            <w:pPr>
              <w:spacing w:line="600" w:lineRule="exact"/>
              <w:jc w:val="center"/>
              <w:rPr>
                <w:rFonts w:ascii="仿宋" w:hAnsi="仿宋" w:eastAsia="仿宋" w:cs="仿宋"/>
                <w:sz w:val="24"/>
              </w:rPr>
            </w:pPr>
            <w:r>
              <w:rPr>
                <w:rFonts w:hint="eastAsia" w:ascii="仿宋" w:hAnsi="仿宋" w:eastAsia="仿宋" w:cs="仿宋"/>
                <w:sz w:val="24"/>
              </w:rPr>
              <w:t>刘蓉</w:t>
            </w:r>
          </w:p>
        </w:tc>
        <w:tc>
          <w:tcPr>
            <w:tcW w:w="3232" w:type="dxa"/>
            <w:vAlign w:val="center"/>
          </w:tcPr>
          <w:p>
            <w:pPr>
              <w:spacing w:line="600" w:lineRule="exact"/>
              <w:jc w:val="center"/>
              <w:rPr>
                <w:rFonts w:ascii="仿宋" w:hAnsi="仿宋" w:eastAsia="仿宋" w:cs="仿宋"/>
                <w:sz w:val="24"/>
              </w:rPr>
            </w:pPr>
            <w:r>
              <w:rPr>
                <w:rFonts w:hint="eastAsia" w:ascii="仿宋" w:hAnsi="仿宋" w:eastAsia="仿宋" w:cs="仿宋"/>
                <w:sz w:val="24"/>
              </w:rPr>
              <w:t>中共石家庄市桥西区委党校</w:t>
            </w:r>
          </w:p>
        </w:tc>
        <w:tc>
          <w:tcPr>
            <w:tcW w:w="1541" w:type="dxa"/>
            <w:vAlign w:val="center"/>
          </w:tcPr>
          <w:p>
            <w:pPr>
              <w:spacing w:line="600" w:lineRule="exact"/>
              <w:jc w:val="center"/>
              <w:rPr>
                <w:rFonts w:ascii="仿宋" w:hAnsi="仿宋" w:eastAsia="仿宋" w:cs="仿宋"/>
                <w:sz w:val="24"/>
              </w:rPr>
            </w:pPr>
            <w:r>
              <w:rPr>
                <w:rFonts w:hint="eastAsia" w:ascii="仿宋" w:hAnsi="仿宋" w:eastAsia="仿宋" w:cs="仿宋"/>
                <w:sz w:val="24"/>
              </w:rPr>
              <w:t>财务</w:t>
            </w:r>
          </w:p>
        </w:tc>
        <w:tc>
          <w:tcPr>
            <w:tcW w:w="1720" w:type="dxa"/>
            <w:vAlign w:val="center"/>
          </w:tcPr>
          <w:p>
            <w:pPr>
              <w:spacing w:line="600" w:lineRule="exact"/>
              <w:jc w:val="center"/>
              <w:rPr>
                <w:rFonts w:ascii="仿宋" w:hAnsi="仿宋" w:eastAsia="仿宋" w:cs="仿宋"/>
                <w:sz w:val="24"/>
              </w:rPr>
            </w:pPr>
            <w:r>
              <w:rPr>
                <w:rFonts w:hint="eastAsia" w:ascii="仿宋" w:hAnsi="仿宋" w:eastAsia="仿宋" w:cs="仿宋"/>
                <w:sz w:val="24"/>
              </w:rPr>
              <w:t>职员</w:t>
            </w:r>
          </w:p>
        </w:tc>
        <w:tc>
          <w:tcPr>
            <w:tcW w:w="1735" w:type="dxa"/>
            <w:vAlign w:val="center"/>
          </w:tcPr>
          <w:p>
            <w:pPr>
              <w:spacing w:line="600" w:lineRule="exact"/>
              <w:jc w:val="center"/>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0" w:hRule="atLeast"/>
          <w:jc w:val="center"/>
        </w:trPr>
        <w:tc>
          <w:tcPr>
            <w:tcW w:w="1076" w:type="dxa"/>
            <w:vAlign w:val="center"/>
          </w:tcPr>
          <w:p>
            <w:pPr>
              <w:spacing w:line="600" w:lineRule="exact"/>
              <w:jc w:val="center"/>
              <w:rPr>
                <w:rFonts w:ascii="仿宋" w:hAnsi="仿宋" w:eastAsia="仿宋" w:cs="仿宋"/>
                <w:sz w:val="24"/>
              </w:rPr>
            </w:pPr>
            <w:r>
              <w:rPr>
                <w:rFonts w:hint="eastAsia" w:ascii="仿宋" w:hAnsi="仿宋" w:eastAsia="仿宋" w:cs="仿宋"/>
                <w:sz w:val="24"/>
              </w:rPr>
              <w:t>封  丽</w:t>
            </w:r>
          </w:p>
        </w:tc>
        <w:tc>
          <w:tcPr>
            <w:tcW w:w="3232" w:type="dxa"/>
            <w:vAlign w:val="center"/>
          </w:tcPr>
          <w:p>
            <w:pPr>
              <w:spacing w:line="600" w:lineRule="exact"/>
              <w:jc w:val="center"/>
              <w:rPr>
                <w:rFonts w:ascii="仿宋" w:hAnsi="仿宋" w:eastAsia="仿宋" w:cs="仿宋"/>
                <w:sz w:val="24"/>
              </w:rPr>
            </w:pPr>
            <w:r>
              <w:rPr>
                <w:rFonts w:hint="eastAsia" w:ascii="仿宋" w:hAnsi="仿宋" w:eastAsia="仿宋" w:cs="仿宋"/>
                <w:sz w:val="24"/>
              </w:rPr>
              <w:t>河北方舟会计师事务所</w:t>
            </w:r>
          </w:p>
        </w:tc>
        <w:tc>
          <w:tcPr>
            <w:tcW w:w="1541" w:type="dxa"/>
            <w:vAlign w:val="center"/>
          </w:tcPr>
          <w:p>
            <w:pPr>
              <w:spacing w:line="600" w:lineRule="exact"/>
              <w:jc w:val="center"/>
              <w:rPr>
                <w:rFonts w:ascii="仿宋" w:hAnsi="仿宋" w:eastAsia="仿宋" w:cs="仿宋"/>
                <w:sz w:val="24"/>
              </w:rPr>
            </w:pPr>
            <w:r>
              <w:rPr>
                <w:rFonts w:hint="eastAsia" w:ascii="仿宋" w:hAnsi="仿宋" w:eastAsia="仿宋" w:cs="仿宋"/>
                <w:sz w:val="24"/>
              </w:rPr>
              <w:t>项目经理</w:t>
            </w:r>
          </w:p>
        </w:tc>
        <w:tc>
          <w:tcPr>
            <w:tcW w:w="1720" w:type="dxa"/>
            <w:vAlign w:val="center"/>
          </w:tcPr>
          <w:p>
            <w:pPr>
              <w:spacing w:line="600" w:lineRule="exact"/>
              <w:jc w:val="center"/>
              <w:rPr>
                <w:rFonts w:ascii="仿宋" w:hAnsi="仿宋" w:eastAsia="仿宋" w:cs="仿宋"/>
                <w:sz w:val="24"/>
              </w:rPr>
            </w:pPr>
            <w:r>
              <w:rPr>
                <w:rFonts w:hint="eastAsia" w:ascii="仿宋" w:hAnsi="仿宋" w:eastAsia="仿宋" w:cs="仿宋"/>
                <w:sz w:val="24"/>
              </w:rPr>
              <w:t>注册会计师</w:t>
            </w:r>
          </w:p>
        </w:tc>
        <w:tc>
          <w:tcPr>
            <w:tcW w:w="1735" w:type="dxa"/>
            <w:vAlign w:val="center"/>
          </w:tcPr>
          <w:p>
            <w:pPr>
              <w:spacing w:line="600" w:lineRule="exact"/>
              <w:jc w:val="center"/>
              <w:rPr>
                <w:rFonts w:ascii="仿宋" w:hAnsi="仿宋" w:eastAsia="仿宋" w:cs="仿宋"/>
                <w:sz w:val="24"/>
              </w:rPr>
            </w:pPr>
          </w:p>
        </w:tc>
      </w:tr>
    </w:tbl>
    <w:p>
      <w:pPr>
        <w:adjustRightInd w:val="0"/>
        <w:snapToGrid w:val="0"/>
        <w:spacing w:line="560" w:lineRule="exact"/>
        <w:rPr>
          <w:rFonts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1026" o:spt="202" type="#_x0000_t202" style="position:absolute;left:0pt;margin-top:0pt;height:144pt;width:144pt;mso-position-horizontal:center;mso-position-horizontal-relative:margin;mso-wrap-style:none;z-index:10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BCdjLkrgEAAFgD&#10;AAAOAAAAAAAAAAEAIAAAAB4BAABkcnMvZTJvRG9jLnhtbFBLBQYAAAAABgAGAFkBAAA+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417D335"/>
    <w:multiLevelType w:val="singleLevel"/>
    <w:tmpl w:val="6417D335"/>
    <w:lvl w:ilvl="0" w:tentative="0">
      <w:start w:val="2"/>
      <w:numFmt w:val="chineseCounting"/>
      <w:suff w:val="nothing"/>
      <w:lvlText w:val="（%1）"/>
      <w:lvlJc w:val="left"/>
    </w:lvl>
  </w:abstractNum>
  <w:abstractNum w:abstractNumId="3">
    <w:nsid w:val="641911F6"/>
    <w:multiLevelType w:val="singleLevel"/>
    <w:tmpl w:val="641911F6"/>
    <w:lvl w:ilvl="0" w:tentative="0">
      <w:start w:val="2"/>
      <w:numFmt w:val="chineseCounting"/>
      <w:suff w:val="nothing"/>
      <w:lvlText w:val="（%1）"/>
      <w:lvlJc w:val="left"/>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1"/>
  </w:compat>
  <w:rsids>
    <w:rsidRoot w:val="0EBD2122"/>
    <w:rsid w:val="000B0260"/>
    <w:rsid w:val="007E6C1F"/>
    <w:rsid w:val="00881FBF"/>
    <w:rsid w:val="00956A93"/>
    <w:rsid w:val="009E575C"/>
    <w:rsid w:val="00AF167E"/>
    <w:rsid w:val="00AF566A"/>
    <w:rsid w:val="00B478EA"/>
    <w:rsid w:val="00B6553A"/>
    <w:rsid w:val="00BC6576"/>
    <w:rsid w:val="00C35B3F"/>
    <w:rsid w:val="00CE06BA"/>
    <w:rsid w:val="00F441CC"/>
    <w:rsid w:val="01B104CA"/>
    <w:rsid w:val="01C900EB"/>
    <w:rsid w:val="02106AB0"/>
    <w:rsid w:val="025B5E97"/>
    <w:rsid w:val="02B43A28"/>
    <w:rsid w:val="046F331E"/>
    <w:rsid w:val="07956271"/>
    <w:rsid w:val="09721397"/>
    <w:rsid w:val="0BB63BED"/>
    <w:rsid w:val="0EB97A43"/>
    <w:rsid w:val="0EBD2122"/>
    <w:rsid w:val="0F214EAE"/>
    <w:rsid w:val="11B71E6A"/>
    <w:rsid w:val="1AAF0063"/>
    <w:rsid w:val="1BE140DE"/>
    <w:rsid w:val="248C197D"/>
    <w:rsid w:val="252959AF"/>
    <w:rsid w:val="277A6671"/>
    <w:rsid w:val="289C786F"/>
    <w:rsid w:val="292D35B7"/>
    <w:rsid w:val="2BFB3876"/>
    <w:rsid w:val="33EB6CFF"/>
    <w:rsid w:val="35A12947"/>
    <w:rsid w:val="37387040"/>
    <w:rsid w:val="37A93051"/>
    <w:rsid w:val="3B625C0A"/>
    <w:rsid w:val="3CEE1963"/>
    <w:rsid w:val="432B6E01"/>
    <w:rsid w:val="446F7CA1"/>
    <w:rsid w:val="4B2F0EBB"/>
    <w:rsid w:val="4B74651A"/>
    <w:rsid w:val="4C9C27FE"/>
    <w:rsid w:val="4E7E7F0B"/>
    <w:rsid w:val="512260B4"/>
    <w:rsid w:val="52BD6ACB"/>
    <w:rsid w:val="55537534"/>
    <w:rsid w:val="561A74F1"/>
    <w:rsid w:val="597244E8"/>
    <w:rsid w:val="59AA682C"/>
    <w:rsid w:val="5EB71C30"/>
    <w:rsid w:val="6672374D"/>
    <w:rsid w:val="66AF0CE5"/>
    <w:rsid w:val="68B54EFB"/>
    <w:rsid w:val="6AC537CF"/>
    <w:rsid w:val="6BC36886"/>
    <w:rsid w:val="6E5B14A6"/>
    <w:rsid w:val="711B255E"/>
    <w:rsid w:val="7BB51E06"/>
    <w:rsid w:val="7C387F7C"/>
    <w:rsid w:val="7D6C660F"/>
    <w:rsid w:val="7FE83423"/>
  </w:rsids>
  <m:mathPr>
    <m:lMargin m:val="0"/>
    <m:mathFont m:val="Cambria Math"/>
    <m:rMargin m:val="0"/>
    <m:wrapIndent m:val="1440"/>
    <m:brkBin m:val="before"/>
    <m:brkBinSub m:val="--"/>
    <m:defJc m:val="centerGroup"/>
    <m:intLim m:val="subSup"/>
    <m:naryLim m:val="undOvr"/>
    <m:smallFrac m:val=""/>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907</Words>
  <Characters>5174</Characters>
  <Lines>43</Lines>
  <Paragraphs>12</Paragraphs>
  <ScaleCrop>false</ScaleCrop>
  <LinksUpToDate>false</LinksUpToDate>
  <CharactersWithSpaces>6069</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2022-01-19T07:24:00Z</cp:lastPrinted>
  <dcterms:modified xsi:type="dcterms:W3CDTF">2024-06-20T08:28:31Z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