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黑体" w:hAnsi="黑体" w:eastAsia="黑体" w:cs="黑体"/>
          <w:b/>
          <w:color w:val="000000"/>
          <w:sz w:val="44"/>
          <w:lang w:eastAsia="zh-CN"/>
        </w:rPr>
      </w:pPr>
      <w:r>
        <w:rPr>
          <w:rFonts w:ascii="黑体" w:hAnsi="黑体" w:eastAsia="黑体" w:cs="黑体"/>
          <w:b/>
          <w:color w:val="000000"/>
          <w:sz w:val="44"/>
        </w:rPr>
        <w:t>2022年部门所属单位预算信息公开目录</w:t>
      </w:r>
    </w:p>
    <w:p>
      <w:pPr>
        <w:jc w:val="center"/>
        <w:outlineLvl w:val="0"/>
        <w:rPr>
          <w:rFonts w:hint="eastAsia" w:ascii="黑体" w:hAnsi="黑体" w:eastAsia="黑体" w:cs="黑体"/>
          <w:b/>
          <w:color w:val="000000"/>
          <w:sz w:val="44"/>
          <w:lang w:eastAsia="zh-CN"/>
        </w:rPr>
      </w:pPr>
    </w:p>
    <w:p>
      <w:pPr>
        <w:pStyle w:val="7"/>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一、石家庄市桥西区长兴街道办事处本级收支预算</w:t>
      </w:r>
      <w:r>
        <w:tab/>
      </w:r>
      <w:r>
        <w:rPr>
          <w:rFonts w:hint="eastAsia"/>
          <w:lang w:val="en-US" w:eastAsia="zh-CN"/>
        </w:rPr>
        <w:t>1</w:t>
      </w:r>
      <w:r>
        <w:rPr>
          <w:rFonts w:hint="eastAsia"/>
        </w:rPr>
        <w:fldChar w:fldCharType="end"/>
      </w:r>
    </w:p>
    <w:p>
      <w:pPr>
        <w:rPr>
          <w:rFonts w:hint="eastAsia" w:eastAsia="方正仿宋_GBK"/>
          <w:color w:val="000000"/>
          <w:sz w:val="28"/>
          <w:lang w:eastAsia="zh-CN"/>
        </w:rPr>
      </w:pPr>
    </w:p>
    <w:p>
      <w:pPr>
        <w:pStyle w:val="7"/>
        <w:tabs>
          <w:tab w:val="right" w:leader="dot" w:pos="14562"/>
        </w:tabs>
      </w:pPr>
    </w:p>
    <w:p>
      <w:r>
        <w:fldChar w:fldCharType="end"/>
      </w:r>
    </w:p>
    <w:p>
      <w:r>
        <w:br w:type="page"/>
      </w:r>
    </w:p>
    <w:p>
      <w:pPr>
        <w:jc w:val="center"/>
        <w:outlineLvl w:val="3"/>
        <w:rPr>
          <w:rFonts w:hint="eastAsia" w:ascii="方正小标宋_GBK" w:hAnsi="方正小标宋_GBK" w:eastAsia="方正小标宋_GBK" w:cs="方正小标宋_GBK"/>
          <w:color w:val="000000"/>
          <w:sz w:val="44"/>
          <w:lang w:eastAsia="zh-CN"/>
        </w:rPr>
      </w:pPr>
      <w:bookmarkStart w:id="0" w:name="_Toc_4_4_0000000019"/>
      <w:r>
        <w:rPr>
          <w:rFonts w:ascii="方正小标宋_GBK" w:hAnsi="方正小标宋_GBK" w:eastAsia="方正小标宋_GBK" w:cs="方正小标宋_GBK"/>
          <w:color w:val="000000"/>
          <w:sz w:val="44"/>
        </w:rPr>
        <w:t>一、石家庄市桥西区长兴街道办事处本级收支预算</w:t>
      </w:r>
      <w:bookmarkEnd w:id="0"/>
    </w:p>
    <w:p>
      <w:pPr>
        <w:jc w:val="center"/>
        <w:outlineLvl w:val="1"/>
      </w:pPr>
      <w:bookmarkStart w:id="1"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514</w:t>
            </w:r>
            <w:r>
              <w:rPr>
                <w:rFonts w:hint="eastAsia"/>
                <w:lang w:val="en-US" w:eastAsia="zh-CN"/>
              </w:rPr>
              <w:t>001</w:t>
            </w:r>
            <w:r>
              <w:t>石家庄市桥西区长兴街道办事处</w:t>
            </w:r>
            <w:r>
              <w:rPr>
                <w:rFonts w:hint="eastAsia"/>
                <w:lang w:eastAsia="zh-CN"/>
              </w:rPr>
              <w:t>本级</w:t>
            </w:r>
          </w:p>
        </w:tc>
        <w:tc>
          <w:tcPr>
            <w:tcW w:w="2126" w:type="dxa"/>
            <w:tcBorders>
              <w:top w:val="single" w:color="FFFFFF" w:sz="6" w:space="0"/>
              <w:left w:val="single" w:color="FFFFFF" w:sz="6" w:space="0"/>
              <w:right w:val="single" w:color="FFFFFF" w:sz="6" w:space="0"/>
            </w:tcBorders>
            <w:vAlign w:val="center"/>
          </w:tcPr>
          <w:p>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1299.61</w:t>
            </w:r>
          </w:p>
        </w:tc>
        <w:tc>
          <w:tcPr>
            <w:tcW w:w="4535" w:type="dxa"/>
            <w:vAlign w:val="center"/>
          </w:tcPr>
          <w:p>
            <w:pPr>
              <w:pStyle w:val="13"/>
            </w:pPr>
            <w:r>
              <w:t>一、一般公共服务支出</w:t>
            </w:r>
          </w:p>
        </w:tc>
        <w:tc>
          <w:tcPr>
            <w:tcW w:w="2126" w:type="dxa"/>
            <w:vAlign w:val="center"/>
          </w:tcPr>
          <w:p>
            <w:pPr>
              <w:pStyle w:val="12"/>
            </w:pPr>
            <w:r>
              <w:t>1044.29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81.33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1299.61</w:t>
            </w:r>
          </w:p>
        </w:tc>
        <w:tc>
          <w:tcPr>
            <w:tcW w:w="4535" w:type="dxa"/>
            <w:vAlign w:val="center"/>
          </w:tcPr>
          <w:p>
            <w:pPr>
              <w:pStyle w:val="15"/>
            </w:pPr>
            <w:r>
              <w:t>本年支出合计</w:t>
            </w:r>
          </w:p>
        </w:tc>
        <w:tc>
          <w:tcPr>
            <w:tcW w:w="2126" w:type="dxa"/>
            <w:vAlign w:val="center"/>
          </w:tcPr>
          <w:p>
            <w:pPr>
              <w:pStyle w:val="16"/>
            </w:pPr>
            <w:r>
              <w:t>1299.61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1299.61</w:t>
            </w:r>
          </w:p>
        </w:tc>
        <w:tc>
          <w:tcPr>
            <w:tcW w:w="4535" w:type="dxa"/>
            <w:vAlign w:val="center"/>
          </w:tcPr>
          <w:p>
            <w:pPr>
              <w:pStyle w:val="15"/>
            </w:pPr>
            <w:r>
              <w:t>支出总计</w:t>
            </w:r>
          </w:p>
        </w:tc>
        <w:tc>
          <w:tcPr>
            <w:tcW w:w="2126" w:type="dxa"/>
            <w:vAlign w:val="center"/>
          </w:tcPr>
          <w:p>
            <w:pPr>
              <w:pStyle w:val="16"/>
            </w:pPr>
            <w:r>
              <w:t>1299.61</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2"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rPr>
                <w:rFonts w:hint="eastAsia"/>
                <w:lang w:eastAsia="zh-CN"/>
              </w:rPr>
              <w:t>514001</w:t>
            </w:r>
            <w:r>
              <w:t>石家庄市桥西区长兴街道办事处</w:t>
            </w:r>
            <w:r>
              <w:rPr>
                <w:rFonts w:hint="eastAsia"/>
                <w:lang w:eastAsia="zh-CN"/>
              </w:rPr>
              <w:t>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1299.61</w:t>
            </w:r>
          </w:p>
        </w:tc>
        <w:tc>
          <w:tcPr>
            <w:tcW w:w="1134" w:type="dxa"/>
            <w:vAlign w:val="center"/>
          </w:tcPr>
          <w:p>
            <w:pPr>
              <w:pStyle w:val="16"/>
            </w:pPr>
            <w:r>
              <w:t>1299.61</w:t>
            </w:r>
          </w:p>
        </w:tc>
        <w:tc>
          <w:tcPr>
            <w:tcW w:w="1134" w:type="dxa"/>
            <w:vAlign w:val="center"/>
          </w:tcPr>
          <w:p>
            <w:pPr>
              <w:pStyle w:val="16"/>
            </w:pPr>
            <w:r>
              <w:t>1299.61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1044.29</w:t>
            </w:r>
          </w:p>
        </w:tc>
        <w:tc>
          <w:tcPr>
            <w:tcW w:w="1134" w:type="dxa"/>
            <w:vAlign w:val="center"/>
          </w:tcPr>
          <w:p>
            <w:pPr>
              <w:pStyle w:val="12"/>
            </w:pPr>
            <w:r>
              <w:t>1044.29</w:t>
            </w:r>
          </w:p>
        </w:tc>
        <w:tc>
          <w:tcPr>
            <w:tcW w:w="1134" w:type="dxa"/>
            <w:vAlign w:val="center"/>
          </w:tcPr>
          <w:p>
            <w:pPr>
              <w:pStyle w:val="12"/>
            </w:pPr>
            <w:r>
              <w:t>1044.29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1044.29</w:t>
            </w:r>
          </w:p>
        </w:tc>
        <w:tc>
          <w:tcPr>
            <w:tcW w:w="1134" w:type="dxa"/>
            <w:vAlign w:val="center"/>
          </w:tcPr>
          <w:p>
            <w:pPr>
              <w:pStyle w:val="12"/>
            </w:pPr>
            <w:r>
              <w:t>1044.29</w:t>
            </w:r>
          </w:p>
        </w:tc>
        <w:tc>
          <w:tcPr>
            <w:tcW w:w="1134" w:type="dxa"/>
            <w:vAlign w:val="center"/>
          </w:tcPr>
          <w:p>
            <w:pPr>
              <w:pStyle w:val="12"/>
            </w:pPr>
            <w:r>
              <w:t>1044.29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868.15</w:t>
            </w:r>
          </w:p>
        </w:tc>
        <w:tc>
          <w:tcPr>
            <w:tcW w:w="1134" w:type="dxa"/>
            <w:vAlign w:val="center"/>
          </w:tcPr>
          <w:p>
            <w:pPr>
              <w:pStyle w:val="12"/>
            </w:pPr>
            <w:r>
              <w:t>868.15</w:t>
            </w:r>
          </w:p>
        </w:tc>
        <w:tc>
          <w:tcPr>
            <w:tcW w:w="1134" w:type="dxa"/>
            <w:vAlign w:val="center"/>
          </w:tcPr>
          <w:p>
            <w:pPr>
              <w:pStyle w:val="12"/>
            </w:pPr>
            <w:r>
              <w:t>868.15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2010399</w:t>
            </w:r>
          </w:p>
        </w:tc>
        <w:tc>
          <w:tcPr>
            <w:tcW w:w="1559" w:type="dxa"/>
            <w:vAlign w:val="center"/>
          </w:tcPr>
          <w:p>
            <w:pPr>
              <w:pStyle w:val="13"/>
            </w:pPr>
            <w:r>
              <w:t>其他政府办公厅（室）及相关机构事务支出</w:t>
            </w:r>
          </w:p>
        </w:tc>
        <w:tc>
          <w:tcPr>
            <w:tcW w:w="1134" w:type="dxa"/>
            <w:vAlign w:val="center"/>
          </w:tcPr>
          <w:p>
            <w:pPr>
              <w:pStyle w:val="12"/>
            </w:pPr>
            <w:r>
              <w:t>176.14</w:t>
            </w:r>
          </w:p>
        </w:tc>
        <w:tc>
          <w:tcPr>
            <w:tcW w:w="1134" w:type="dxa"/>
            <w:vAlign w:val="center"/>
          </w:tcPr>
          <w:p>
            <w:pPr>
              <w:pStyle w:val="12"/>
            </w:pPr>
            <w:r>
              <w:t>176.14</w:t>
            </w:r>
          </w:p>
        </w:tc>
        <w:tc>
          <w:tcPr>
            <w:tcW w:w="1134" w:type="dxa"/>
            <w:vAlign w:val="center"/>
          </w:tcPr>
          <w:p>
            <w:pPr>
              <w:pStyle w:val="12"/>
            </w:pPr>
            <w:r>
              <w:t>176.14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104.35</w:t>
            </w:r>
          </w:p>
        </w:tc>
        <w:tc>
          <w:tcPr>
            <w:tcW w:w="1134" w:type="dxa"/>
            <w:vAlign w:val="center"/>
          </w:tcPr>
          <w:p>
            <w:pPr>
              <w:pStyle w:val="12"/>
            </w:pPr>
            <w:r>
              <w:t>104.35</w:t>
            </w:r>
          </w:p>
        </w:tc>
        <w:tc>
          <w:tcPr>
            <w:tcW w:w="1134" w:type="dxa"/>
            <w:vAlign w:val="center"/>
          </w:tcPr>
          <w:p>
            <w:pPr>
              <w:pStyle w:val="12"/>
            </w:pPr>
            <w:r>
              <w:t>104.35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104.35</w:t>
            </w:r>
          </w:p>
        </w:tc>
        <w:tc>
          <w:tcPr>
            <w:tcW w:w="1134" w:type="dxa"/>
            <w:vAlign w:val="center"/>
          </w:tcPr>
          <w:p>
            <w:pPr>
              <w:pStyle w:val="12"/>
            </w:pPr>
            <w:r>
              <w:t>104.35</w:t>
            </w:r>
          </w:p>
        </w:tc>
        <w:tc>
          <w:tcPr>
            <w:tcW w:w="1134" w:type="dxa"/>
            <w:vAlign w:val="center"/>
          </w:tcPr>
          <w:p>
            <w:pPr>
              <w:pStyle w:val="12"/>
            </w:pPr>
            <w:r>
              <w:t>104.35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26.02</w:t>
            </w:r>
          </w:p>
        </w:tc>
        <w:tc>
          <w:tcPr>
            <w:tcW w:w="1134" w:type="dxa"/>
            <w:vAlign w:val="center"/>
          </w:tcPr>
          <w:p>
            <w:pPr>
              <w:pStyle w:val="12"/>
            </w:pPr>
            <w:r>
              <w:t>26.02</w:t>
            </w:r>
          </w:p>
        </w:tc>
        <w:tc>
          <w:tcPr>
            <w:tcW w:w="1134" w:type="dxa"/>
            <w:vAlign w:val="center"/>
          </w:tcPr>
          <w:p>
            <w:pPr>
              <w:pStyle w:val="12"/>
            </w:pPr>
            <w:r>
              <w:t>26.02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66.21</w:t>
            </w:r>
          </w:p>
        </w:tc>
        <w:tc>
          <w:tcPr>
            <w:tcW w:w="1134" w:type="dxa"/>
            <w:vAlign w:val="center"/>
          </w:tcPr>
          <w:p>
            <w:pPr>
              <w:pStyle w:val="12"/>
            </w:pPr>
            <w:r>
              <w:t>66.21</w:t>
            </w:r>
          </w:p>
        </w:tc>
        <w:tc>
          <w:tcPr>
            <w:tcW w:w="1134" w:type="dxa"/>
            <w:vAlign w:val="center"/>
          </w:tcPr>
          <w:p>
            <w:pPr>
              <w:pStyle w:val="12"/>
            </w:pPr>
            <w:r>
              <w:t>66.21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12.11</w:t>
            </w:r>
          </w:p>
        </w:tc>
        <w:tc>
          <w:tcPr>
            <w:tcW w:w="1134" w:type="dxa"/>
            <w:vAlign w:val="center"/>
          </w:tcPr>
          <w:p>
            <w:pPr>
              <w:pStyle w:val="12"/>
            </w:pPr>
            <w:r>
              <w:t>12.11</w:t>
            </w:r>
          </w:p>
        </w:tc>
        <w:tc>
          <w:tcPr>
            <w:tcW w:w="1134" w:type="dxa"/>
            <w:vAlign w:val="center"/>
          </w:tcPr>
          <w:p>
            <w:pPr>
              <w:pStyle w:val="12"/>
            </w:pPr>
            <w:r>
              <w:t>12.11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69.65</w:t>
            </w:r>
          </w:p>
        </w:tc>
        <w:tc>
          <w:tcPr>
            <w:tcW w:w="1134" w:type="dxa"/>
            <w:vAlign w:val="center"/>
          </w:tcPr>
          <w:p>
            <w:pPr>
              <w:pStyle w:val="12"/>
            </w:pPr>
            <w:r>
              <w:t>69.65</w:t>
            </w:r>
          </w:p>
        </w:tc>
        <w:tc>
          <w:tcPr>
            <w:tcW w:w="1134" w:type="dxa"/>
            <w:vAlign w:val="center"/>
          </w:tcPr>
          <w:p>
            <w:pPr>
              <w:pStyle w:val="12"/>
            </w:pPr>
            <w:r>
              <w:t>69.65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69.65</w:t>
            </w:r>
          </w:p>
        </w:tc>
        <w:tc>
          <w:tcPr>
            <w:tcW w:w="1134" w:type="dxa"/>
            <w:vAlign w:val="center"/>
          </w:tcPr>
          <w:p>
            <w:pPr>
              <w:pStyle w:val="12"/>
            </w:pPr>
            <w:r>
              <w:t>69.65</w:t>
            </w:r>
          </w:p>
        </w:tc>
        <w:tc>
          <w:tcPr>
            <w:tcW w:w="1134" w:type="dxa"/>
            <w:vAlign w:val="center"/>
          </w:tcPr>
          <w:p>
            <w:pPr>
              <w:pStyle w:val="12"/>
            </w:pPr>
            <w:r>
              <w:t>69.65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69.65</w:t>
            </w:r>
          </w:p>
        </w:tc>
        <w:tc>
          <w:tcPr>
            <w:tcW w:w="1134" w:type="dxa"/>
            <w:vAlign w:val="center"/>
          </w:tcPr>
          <w:p>
            <w:pPr>
              <w:pStyle w:val="12"/>
            </w:pPr>
            <w:r>
              <w:t>69.65</w:t>
            </w:r>
          </w:p>
        </w:tc>
        <w:tc>
          <w:tcPr>
            <w:tcW w:w="1134" w:type="dxa"/>
            <w:vAlign w:val="center"/>
          </w:tcPr>
          <w:p>
            <w:pPr>
              <w:pStyle w:val="12"/>
            </w:pPr>
            <w:r>
              <w:t>69.65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81.33</w:t>
            </w:r>
          </w:p>
        </w:tc>
        <w:tc>
          <w:tcPr>
            <w:tcW w:w="1134" w:type="dxa"/>
            <w:vAlign w:val="center"/>
          </w:tcPr>
          <w:p>
            <w:pPr>
              <w:pStyle w:val="12"/>
            </w:pPr>
            <w:r>
              <w:t>81.33</w:t>
            </w:r>
          </w:p>
        </w:tc>
        <w:tc>
          <w:tcPr>
            <w:tcW w:w="1134" w:type="dxa"/>
            <w:vAlign w:val="center"/>
          </w:tcPr>
          <w:p>
            <w:pPr>
              <w:pStyle w:val="12"/>
            </w:pPr>
            <w:r>
              <w:t>81.33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81.33</w:t>
            </w:r>
          </w:p>
        </w:tc>
        <w:tc>
          <w:tcPr>
            <w:tcW w:w="1134" w:type="dxa"/>
            <w:vAlign w:val="center"/>
          </w:tcPr>
          <w:p>
            <w:pPr>
              <w:pStyle w:val="12"/>
            </w:pPr>
            <w:r>
              <w:t>81.33</w:t>
            </w:r>
          </w:p>
        </w:tc>
        <w:tc>
          <w:tcPr>
            <w:tcW w:w="1134" w:type="dxa"/>
            <w:vAlign w:val="center"/>
          </w:tcPr>
          <w:p>
            <w:pPr>
              <w:pStyle w:val="12"/>
            </w:pPr>
            <w:r>
              <w:t>81.33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81.33</w:t>
            </w:r>
          </w:p>
        </w:tc>
        <w:tc>
          <w:tcPr>
            <w:tcW w:w="1134" w:type="dxa"/>
            <w:vAlign w:val="center"/>
          </w:tcPr>
          <w:p>
            <w:pPr>
              <w:pStyle w:val="12"/>
            </w:pPr>
            <w:r>
              <w:t>81.33</w:t>
            </w:r>
          </w:p>
        </w:tc>
        <w:tc>
          <w:tcPr>
            <w:tcW w:w="1134" w:type="dxa"/>
            <w:vAlign w:val="center"/>
          </w:tcPr>
          <w:p>
            <w:pPr>
              <w:pStyle w:val="12"/>
            </w:pPr>
            <w:r>
              <w:t>81.33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rPr>
                <w:rFonts w:hint="eastAsia"/>
                <w:lang w:eastAsia="zh-CN"/>
              </w:rPr>
              <w:t>514001</w:t>
            </w:r>
            <w:r>
              <w:t>石家庄市桥西区长兴街道办事处</w:t>
            </w:r>
            <w:r>
              <w:rPr>
                <w:rFonts w:hint="eastAsia"/>
                <w:lang w:eastAsia="zh-CN"/>
              </w:rPr>
              <w:t>本级</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1299.61</w:t>
            </w:r>
          </w:p>
        </w:tc>
        <w:tc>
          <w:tcPr>
            <w:tcW w:w="1361" w:type="dxa"/>
            <w:vAlign w:val="center"/>
          </w:tcPr>
          <w:p>
            <w:pPr>
              <w:pStyle w:val="16"/>
            </w:pPr>
            <w:r>
              <w:t>1123.47</w:t>
            </w:r>
          </w:p>
        </w:tc>
        <w:tc>
          <w:tcPr>
            <w:tcW w:w="1361" w:type="dxa"/>
            <w:vAlign w:val="center"/>
          </w:tcPr>
          <w:p>
            <w:pPr>
              <w:pStyle w:val="16"/>
            </w:pPr>
            <w:r>
              <w:t>176.14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1044.29</w:t>
            </w:r>
          </w:p>
        </w:tc>
        <w:tc>
          <w:tcPr>
            <w:tcW w:w="1361" w:type="dxa"/>
            <w:vAlign w:val="center"/>
          </w:tcPr>
          <w:p>
            <w:pPr>
              <w:pStyle w:val="12"/>
            </w:pPr>
            <w:r>
              <w:t>868.15</w:t>
            </w:r>
          </w:p>
        </w:tc>
        <w:tc>
          <w:tcPr>
            <w:tcW w:w="1361" w:type="dxa"/>
            <w:vAlign w:val="center"/>
          </w:tcPr>
          <w:p>
            <w:pPr>
              <w:pStyle w:val="12"/>
            </w:pPr>
            <w:r>
              <w:t>176.14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1044.29</w:t>
            </w:r>
          </w:p>
        </w:tc>
        <w:tc>
          <w:tcPr>
            <w:tcW w:w="1361" w:type="dxa"/>
            <w:vAlign w:val="center"/>
          </w:tcPr>
          <w:p>
            <w:pPr>
              <w:pStyle w:val="12"/>
            </w:pPr>
            <w:r>
              <w:t>868.15</w:t>
            </w:r>
          </w:p>
        </w:tc>
        <w:tc>
          <w:tcPr>
            <w:tcW w:w="1361" w:type="dxa"/>
            <w:vAlign w:val="center"/>
          </w:tcPr>
          <w:p>
            <w:pPr>
              <w:pStyle w:val="12"/>
            </w:pPr>
            <w:r>
              <w:t>176.14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868.15</w:t>
            </w:r>
          </w:p>
        </w:tc>
        <w:tc>
          <w:tcPr>
            <w:tcW w:w="1361" w:type="dxa"/>
            <w:vAlign w:val="center"/>
          </w:tcPr>
          <w:p>
            <w:pPr>
              <w:pStyle w:val="12"/>
            </w:pPr>
            <w:r>
              <w:t>868.15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2010399</w:t>
            </w:r>
          </w:p>
        </w:tc>
        <w:tc>
          <w:tcPr>
            <w:tcW w:w="4535" w:type="dxa"/>
            <w:vAlign w:val="center"/>
          </w:tcPr>
          <w:p>
            <w:pPr>
              <w:pStyle w:val="13"/>
            </w:pPr>
            <w:r>
              <w:t>其他政府办公厅（室）及相关机构事务支出</w:t>
            </w:r>
          </w:p>
        </w:tc>
        <w:tc>
          <w:tcPr>
            <w:tcW w:w="1361" w:type="dxa"/>
            <w:vAlign w:val="center"/>
          </w:tcPr>
          <w:p>
            <w:pPr>
              <w:pStyle w:val="12"/>
            </w:pPr>
            <w:r>
              <w:t>176.14</w:t>
            </w:r>
          </w:p>
        </w:tc>
        <w:tc>
          <w:tcPr>
            <w:tcW w:w="1361" w:type="dxa"/>
            <w:vAlign w:val="center"/>
          </w:tcPr>
          <w:p>
            <w:pPr>
              <w:pStyle w:val="12"/>
            </w:pPr>
          </w:p>
        </w:tc>
        <w:tc>
          <w:tcPr>
            <w:tcW w:w="1361" w:type="dxa"/>
            <w:vAlign w:val="center"/>
          </w:tcPr>
          <w:p>
            <w:pPr>
              <w:pStyle w:val="12"/>
            </w:pPr>
            <w:r>
              <w:t>176.14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104.35</w:t>
            </w:r>
          </w:p>
        </w:tc>
        <w:tc>
          <w:tcPr>
            <w:tcW w:w="1361" w:type="dxa"/>
            <w:vAlign w:val="center"/>
          </w:tcPr>
          <w:p>
            <w:pPr>
              <w:pStyle w:val="12"/>
            </w:pPr>
            <w:r>
              <w:t>104.35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104.35</w:t>
            </w:r>
          </w:p>
        </w:tc>
        <w:tc>
          <w:tcPr>
            <w:tcW w:w="1361" w:type="dxa"/>
            <w:vAlign w:val="center"/>
          </w:tcPr>
          <w:p>
            <w:pPr>
              <w:pStyle w:val="12"/>
            </w:pPr>
            <w:r>
              <w:t>104.35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26.02</w:t>
            </w:r>
          </w:p>
        </w:tc>
        <w:tc>
          <w:tcPr>
            <w:tcW w:w="1361" w:type="dxa"/>
            <w:vAlign w:val="center"/>
          </w:tcPr>
          <w:p>
            <w:pPr>
              <w:pStyle w:val="12"/>
            </w:pPr>
            <w:r>
              <w:t>26.02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66.21</w:t>
            </w:r>
          </w:p>
        </w:tc>
        <w:tc>
          <w:tcPr>
            <w:tcW w:w="1361" w:type="dxa"/>
            <w:vAlign w:val="center"/>
          </w:tcPr>
          <w:p>
            <w:pPr>
              <w:pStyle w:val="12"/>
            </w:pPr>
            <w:r>
              <w:t>66.21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12.11</w:t>
            </w:r>
          </w:p>
        </w:tc>
        <w:tc>
          <w:tcPr>
            <w:tcW w:w="1361" w:type="dxa"/>
            <w:vAlign w:val="center"/>
          </w:tcPr>
          <w:p>
            <w:pPr>
              <w:pStyle w:val="12"/>
            </w:pPr>
            <w:r>
              <w:t>12.11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69.65</w:t>
            </w:r>
          </w:p>
        </w:tc>
        <w:tc>
          <w:tcPr>
            <w:tcW w:w="1361" w:type="dxa"/>
            <w:vAlign w:val="center"/>
          </w:tcPr>
          <w:p>
            <w:pPr>
              <w:pStyle w:val="12"/>
            </w:pPr>
            <w:r>
              <w:t>69.65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69.65</w:t>
            </w:r>
          </w:p>
        </w:tc>
        <w:tc>
          <w:tcPr>
            <w:tcW w:w="1361" w:type="dxa"/>
            <w:vAlign w:val="center"/>
          </w:tcPr>
          <w:p>
            <w:pPr>
              <w:pStyle w:val="12"/>
            </w:pPr>
            <w:r>
              <w:t>69.65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69.65</w:t>
            </w:r>
          </w:p>
        </w:tc>
        <w:tc>
          <w:tcPr>
            <w:tcW w:w="1361" w:type="dxa"/>
            <w:vAlign w:val="center"/>
          </w:tcPr>
          <w:p>
            <w:pPr>
              <w:pStyle w:val="12"/>
            </w:pPr>
            <w:r>
              <w:t>69.65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81.33</w:t>
            </w:r>
          </w:p>
        </w:tc>
        <w:tc>
          <w:tcPr>
            <w:tcW w:w="1361" w:type="dxa"/>
            <w:vAlign w:val="center"/>
          </w:tcPr>
          <w:p>
            <w:pPr>
              <w:pStyle w:val="12"/>
            </w:pPr>
            <w:r>
              <w:t>81.33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81.33</w:t>
            </w:r>
          </w:p>
        </w:tc>
        <w:tc>
          <w:tcPr>
            <w:tcW w:w="1361" w:type="dxa"/>
            <w:vAlign w:val="center"/>
          </w:tcPr>
          <w:p>
            <w:pPr>
              <w:pStyle w:val="12"/>
            </w:pPr>
            <w:r>
              <w:t>81.33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81.33</w:t>
            </w:r>
          </w:p>
        </w:tc>
        <w:tc>
          <w:tcPr>
            <w:tcW w:w="1361" w:type="dxa"/>
            <w:vAlign w:val="center"/>
          </w:tcPr>
          <w:p>
            <w:pPr>
              <w:pStyle w:val="12"/>
            </w:pPr>
            <w:r>
              <w:t>81.33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4"/>
      <w:r>
        <w:rPr>
          <w:rFonts w:ascii="方正小标宋_GBK" w:hAnsi="方正小标宋_GBK" w:eastAsia="方正小标宋_GBK" w:cs="方正小标宋_GBK"/>
          <w:color w:val="000000"/>
          <w:sz w:val="36"/>
        </w:rPr>
        <w:t>单位预算财政拨款收支总表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rPr>
                <w:rFonts w:hint="eastAsia"/>
                <w:lang w:eastAsia="zh-CN"/>
              </w:rPr>
              <w:t>514001</w:t>
            </w:r>
            <w:r>
              <w:t>石家庄市桥西区长兴街道办事处</w:t>
            </w:r>
            <w:r>
              <w:rPr>
                <w:rFonts w:hint="eastAsia"/>
                <w:lang w:eastAsia="zh-CN"/>
              </w:rPr>
              <w:t>本级</w:t>
            </w:r>
          </w:p>
        </w:tc>
        <w:tc>
          <w:tcPr>
            <w:tcW w:w="3402" w:type="dxa"/>
            <w:tcBorders>
              <w:top w:val="single" w:color="FFFFFF" w:sz="6" w:space="0"/>
              <w:left w:val="single" w:color="FFFFFF" w:sz="6" w:space="0"/>
              <w:right w:val="single" w:color="FFFFFF" w:sz="6" w:space="0"/>
            </w:tcBorders>
            <w:vAlign w:val="center"/>
          </w:tcPr>
          <w:p>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1299.61</w:t>
            </w:r>
          </w:p>
        </w:tc>
        <w:tc>
          <w:tcPr>
            <w:tcW w:w="3402" w:type="dxa"/>
            <w:vAlign w:val="center"/>
          </w:tcPr>
          <w:p>
            <w:pPr>
              <w:pStyle w:val="13"/>
            </w:pPr>
            <w:r>
              <w:t>一、一般公共服务支出</w:t>
            </w:r>
          </w:p>
        </w:tc>
        <w:tc>
          <w:tcPr>
            <w:tcW w:w="1474" w:type="dxa"/>
            <w:vAlign w:val="center"/>
          </w:tcPr>
          <w:p>
            <w:pPr>
              <w:pStyle w:val="12"/>
            </w:pPr>
            <w:r>
              <w:t>1044.29</w:t>
            </w:r>
          </w:p>
        </w:tc>
        <w:tc>
          <w:tcPr>
            <w:tcW w:w="1474" w:type="dxa"/>
            <w:vAlign w:val="center"/>
          </w:tcPr>
          <w:p>
            <w:pPr>
              <w:pStyle w:val="12"/>
            </w:pPr>
            <w:r>
              <w:t>1044.29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104.35</w:t>
            </w:r>
          </w:p>
        </w:tc>
        <w:tc>
          <w:tcPr>
            <w:tcW w:w="1474" w:type="dxa"/>
            <w:vAlign w:val="center"/>
          </w:tcPr>
          <w:p>
            <w:pPr>
              <w:pStyle w:val="12"/>
            </w:pPr>
            <w:r>
              <w:t>104.35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69.65</w:t>
            </w:r>
          </w:p>
        </w:tc>
        <w:tc>
          <w:tcPr>
            <w:tcW w:w="1474" w:type="dxa"/>
            <w:vAlign w:val="center"/>
          </w:tcPr>
          <w:p>
            <w:pPr>
              <w:pStyle w:val="12"/>
            </w:pPr>
            <w:r>
              <w:t>69.65</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81.33</w:t>
            </w:r>
          </w:p>
        </w:tc>
        <w:tc>
          <w:tcPr>
            <w:tcW w:w="1474" w:type="dxa"/>
            <w:vAlign w:val="center"/>
          </w:tcPr>
          <w:p>
            <w:pPr>
              <w:pStyle w:val="12"/>
            </w:pPr>
            <w:r>
              <w:t>81.33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1299.61</w:t>
            </w:r>
          </w:p>
        </w:tc>
        <w:tc>
          <w:tcPr>
            <w:tcW w:w="3402" w:type="dxa"/>
            <w:vAlign w:val="center"/>
          </w:tcPr>
          <w:p>
            <w:pPr>
              <w:pStyle w:val="15"/>
            </w:pPr>
            <w:r>
              <w:t>本年支出合计</w:t>
            </w:r>
          </w:p>
        </w:tc>
        <w:tc>
          <w:tcPr>
            <w:tcW w:w="1474" w:type="dxa"/>
            <w:vAlign w:val="center"/>
          </w:tcPr>
          <w:p>
            <w:pPr>
              <w:pStyle w:val="16"/>
            </w:pPr>
            <w:r>
              <w:t>1299.61</w:t>
            </w:r>
          </w:p>
        </w:tc>
        <w:tc>
          <w:tcPr>
            <w:tcW w:w="1474" w:type="dxa"/>
            <w:vAlign w:val="center"/>
          </w:tcPr>
          <w:p>
            <w:pPr>
              <w:pStyle w:val="16"/>
            </w:pPr>
            <w:r>
              <w:t>1299.61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1299.61</w:t>
            </w:r>
          </w:p>
        </w:tc>
        <w:tc>
          <w:tcPr>
            <w:tcW w:w="3402" w:type="dxa"/>
            <w:vAlign w:val="center"/>
          </w:tcPr>
          <w:p>
            <w:pPr>
              <w:pStyle w:val="15"/>
            </w:pPr>
            <w:r>
              <w:t>支出总计</w:t>
            </w:r>
          </w:p>
        </w:tc>
        <w:tc>
          <w:tcPr>
            <w:tcW w:w="1474" w:type="dxa"/>
            <w:vAlign w:val="center"/>
          </w:tcPr>
          <w:p>
            <w:pPr>
              <w:pStyle w:val="16"/>
            </w:pPr>
            <w:r>
              <w:t>1299.61</w:t>
            </w:r>
          </w:p>
        </w:tc>
        <w:tc>
          <w:tcPr>
            <w:tcW w:w="1474" w:type="dxa"/>
            <w:vAlign w:val="center"/>
          </w:tcPr>
          <w:p>
            <w:pPr>
              <w:pStyle w:val="16"/>
            </w:pPr>
            <w:r>
              <w:t>1299.61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5"/>
      <w:r>
        <w:rPr>
          <w:rFonts w:ascii="方正小标宋_GBK" w:hAnsi="方正小标宋_GBK" w:eastAsia="方正小标宋_GBK" w:cs="方正小标宋_GBK"/>
          <w:color w:val="000000"/>
          <w:sz w:val="36"/>
        </w:rPr>
        <w:t>单位预算一般公共预算财政拨款支出表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eastAsia="zh-CN"/>
              </w:rPr>
              <w:t>514001</w:t>
            </w:r>
            <w:r>
              <w:t>石家庄市桥西区长兴街道办事处</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1299.61</w:t>
            </w:r>
          </w:p>
        </w:tc>
        <w:tc>
          <w:tcPr>
            <w:tcW w:w="2551" w:type="dxa"/>
            <w:vAlign w:val="center"/>
          </w:tcPr>
          <w:p>
            <w:pPr>
              <w:pStyle w:val="16"/>
            </w:pPr>
            <w:r>
              <w:t>1123.47</w:t>
            </w:r>
          </w:p>
        </w:tc>
        <w:tc>
          <w:tcPr>
            <w:tcW w:w="2551" w:type="dxa"/>
            <w:vAlign w:val="center"/>
          </w:tcPr>
          <w:p>
            <w:pPr>
              <w:pStyle w:val="16"/>
            </w:pPr>
            <w:r>
              <w:t>176.14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1044.29</w:t>
            </w:r>
          </w:p>
        </w:tc>
        <w:tc>
          <w:tcPr>
            <w:tcW w:w="2551" w:type="dxa"/>
            <w:vAlign w:val="center"/>
          </w:tcPr>
          <w:p>
            <w:pPr>
              <w:pStyle w:val="12"/>
            </w:pPr>
            <w:r>
              <w:t>868.15</w:t>
            </w:r>
          </w:p>
        </w:tc>
        <w:tc>
          <w:tcPr>
            <w:tcW w:w="2551" w:type="dxa"/>
            <w:vAlign w:val="center"/>
          </w:tcPr>
          <w:p>
            <w:pPr>
              <w:pStyle w:val="12"/>
            </w:pPr>
            <w:r>
              <w:t>176.14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1044.29</w:t>
            </w:r>
          </w:p>
        </w:tc>
        <w:tc>
          <w:tcPr>
            <w:tcW w:w="2551" w:type="dxa"/>
            <w:vAlign w:val="center"/>
          </w:tcPr>
          <w:p>
            <w:pPr>
              <w:pStyle w:val="12"/>
            </w:pPr>
            <w:r>
              <w:t>868.15</w:t>
            </w:r>
          </w:p>
        </w:tc>
        <w:tc>
          <w:tcPr>
            <w:tcW w:w="2551" w:type="dxa"/>
            <w:vAlign w:val="center"/>
          </w:tcPr>
          <w:p>
            <w:pPr>
              <w:pStyle w:val="12"/>
            </w:pPr>
            <w:r>
              <w:t>176.14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868.15</w:t>
            </w:r>
          </w:p>
        </w:tc>
        <w:tc>
          <w:tcPr>
            <w:tcW w:w="2551" w:type="dxa"/>
            <w:vAlign w:val="center"/>
          </w:tcPr>
          <w:p>
            <w:pPr>
              <w:pStyle w:val="12"/>
            </w:pPr>
            <w:r>
              <w:t>868.15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2010399</w:t>
            </w:r>
          </w:p>
        </w:tc>
        <w:tc>
          <w:tcPr>
            <w:tcW w:w="4535" w:type="dxa"/>
            <w:vAlign w:val="center"/>
          </w:tcPr>
          <w:p>
            <w:pPr>
              <w:pStyle w:val="13"/>
            </w:pPr>
            <w:r>
              <w:t>其他政府办公厅（室）及相关机构事务支出</w:t>
            </w:r>
          </w:p>
        </w:tc>
        <w:tc>
          <w:tcPr>
            <w:tcW w:w="2551" w:type="dxa"/>
            <w:vAlign w:val="center"/>
          </w:tcPr>
          <w:p>
            <w:pPr>
              <w:pStyle w:val="12"/>
            </w:pPr>
            <w:r>
              <w:t>176.14</w:t>
            </w:r>
          </w:p>
        </w:tc>
        <w:tc>
          <w:tcPr>
            <w:tcW w:w="2551" w:type="dxa"/>
            <w:vAlign w:val="center"/>
          </w:tcPr>
          <w:p>
            <w:pPr>
              <w:pStyle w:val="12"/>
            </w:pPr>
          </w:p>
        </w:tc>
        <w:tc>
          <w:tcPr>
            <w:tcW w:w="2551" w:type="dxa"/>
            <w:vAlign w:val="center"/>
          </w:tcPr>
          <w:p>
            <w:pPr>
              <w:pStyle w:val="12"/>
            </w:pPr>
            <w:r>
              <w:t>176.14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104.35</w:t>
            </w:r>
          </w:p>
        </w:tc>
        <w:tc>
          <w:tcPr>
            <w:tcW w:w="2551" w:type="dxa"/>
            <w:vAlign w:val="center"/>
          </w:tcPr>
          <w:p>
            <w:pPr>
              <w:pStyle w:val="12"/>
            </w:pPr>
            <w:r>
              <w:t>104.35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104.35</w:t>
            </w:r>
          </w:p>
        </w:tc>
        <w:tc>
          <w:tcPr>
            <w:tcW w:w="2551" w:type="dxa"/>
            <w:vAlign w:val="center"/>
          </w:tcPr>
          <w:p>
            <w:pPr>
              <w:pStyle w:val="12"/>
            </w:pPr>
            <w:r>
              <w:t>104.35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26.02</w:t>
            </w:r>
          </w:p>
        </w:tc>
        <w:tc>
          <w:tcPr>
            <w:tcW w:w="2551" w:type="dxa"/>
            <w:vAlign w:val="center"/>
          </w:tcPr>
          <w:p>
            <w:pPr>
              <w:pStyle w:val="12"/>
            </w:pPr>
            <w:r>
              <w:t>26.02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66.21</w:t>
            </w:r>
          </w:p>
        </w:tc>
        <w:tc>
          <w:tcPr>
            <w:tcW w:w="2551" w:type="dxa"/>
            <w:vAlign w:val="center"/>
          </w:tcPr>
          <w:p>
            <w:pPr>
              <w:pStyle w:val="12"/>
            </w:pPr>
            <w:r>
              <w:t>66.21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12.11</w:t>
            </w:r>
          </w:p>
        </w:tc>
        <w:tc>
          <w:tcPr>
            <w:tcW w:w="2551" w:type="dxa"/>
            <w:vAlign w:val="center"/>
          </w:tcPr>
          <w:p>
            <w:pPr>
              <w:pStyle w:val="12"/>
            </w:pPr>
            <w:r>
              <w:t>12.11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69.65</w:t>
            </w:r>
          </w:p>
        </w:tc>
        <w:tc>
          <w:tcPr>
            <w:tcW w:w="2551" w:type="dxa"/>
            <w:vAlign w:val="center"/>
          </w:tcPr>
          <w:p>
            <w:pPr>
              <w:pStyle w:val="12"/>
            </w:pPr>
            <w:r>
              <w:t>69.65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69.65</w:t>
            </w:r>
          </w:p>
        </w:tc>
        <w:tc>
          <w:tcPr>
            <w:tcW w:w="2551" w:type="dxa"/>
            <w:vAlign w:val="center"/>
          </w:tcPr>
          <w:p>
            <w:pPr>
              <w:pStyle w:val="12"/>
            </w:pPr>
            <w:r>
              <w:t>69.65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69.65</w:t>
            </w:r>
          </w:p>
        </w:tc>
        <w:tc>
          <w:tcPr>
            <w:tcW w:w="2551" w:type="dxa"/>
            <w:vAlign w:val="center"/>
          </w:tcPr>
          <w:p>
            <w:pPr>
              <w:pStyle w:val="12"/>
            </w:pPr>
            <w:r>
              <w:t>69.65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81.33</w:t>
            </w:r>
          </w:p>
        </w:tc>
        <w:tc>
          <w:tcPr>
            <w:tcW w:w="2551" w:type="dxa"/>
            <w:vAlign w:val="center"/>
          </w:tcPr>
          <w:p>
            <w:pPr>
              <w:pStyle w:val="12"/>
            </w:pPr>
            <w:r>
              <w:t>81.33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81.33</w:t>
            </w:r>
          </w:p>
        </w:tc>
        <w:tc>
          <w:tcPr>
            <w:tcW w:w="2551" w:type="dxa"/>
            <w:vAlign w:val="center"/>
          </w:tcPr>
          <w:p>
            <w:pPr>
              <w:pStyle w:val="12"/>
            </w:pPr>
            <w:r>
              <w:t>81.33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81.33</w:t>
            </w:r>
          </w:p>
        </w:tc>
        <w:tc>
          <w:tcPr>
            <w:tcW w:w="2551" w:type="dxa"/>
            <w:vAlign w:val="center"/>
          </w:tcPr>
          <w:p>
            <w:pPr>
              <w:pStyle w:val="12"/>
            </w:pPr>
            <w:r>
              <w:t>81.33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6"/>
      <w:r>
        <w:rPr>
          <w:rFonts w:ascii="方正小标宋_GBK" w:hAnsi="方正小标宋_GBK" w:eastAsia="方正小标宋_GBK" w:cs="方正小标宋_GBK"/>
          <w:color w:val="000000"/>
          <w:sz w:val="36"/>
        </w:rPr>
        <w:t>单位预算一般公共预算财政拨款基本支出表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eastAsia="zh-CN"/>
              </w:rPr>
              <w:t>514001</w:t>
            </w:r>
            <w:r>
              <w:t>石家庄市桥西区长兴街道办事处</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1123.47</w:t>
            </w:r>
          </w:p>
        </w:tc>
        <w:tc>
          <w:tcPr>
            <w:tcW w:w="2551" w:type="dxa"/>
            <w:vAlign w:val="center"/>
          </w:tcPr>
          <w:p>
            <w:pPr>
              <w:pStyle w:val="16"/>
              <w:rPr>
                <w:rFonts w:hint="eastAsia" w:eastAsia="方正书宋_GBK"/>
                <w:lang w:eastAsia="zh-CN"/>
              </w:rPr>
            </w:pPr>
            <w:r>
              <w:t>1032.6</w:t>
            </w:r>
            <w:r>
              <w:rPr>
                <w:rFonts w:hint="eastAsia"/>
                <w:lang w:val="en-US" w:eastAsia="zh-CN"/>
              </w:rPr>
              <w:t>0</w:t>
            </w:r>
          </w:p>
        </w:tc>
        <w:tc>
          <w:tcPr>
            <w:tcW w:w="2551" w:type="dxa"/>
            <w:vAlign w:val="center"/>
          </w:tcPr>
          <w:p>
            <w:pPr>
              <w:pStyle w:val="16"/>
            </w:pPr>
            <w:r>
              <w:t>90.87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939.81</w:t>
            </w:r>
          </w:p>
        </w:tc>
        <w:tc>
          <w:tcPr>
            <w:tcW w:w="2551" w:type="dxa"/>
            <w:vAlign w:val="center"/>
          </w:tcPr>
          <w:p>
            <w:pPr>
              <w:pStyle w:val="12"/>
              <w:rPr>
                <w:rFonts w:hint="eastAsia" w:eastAsia="方正书宋_GBK"/>
                <w:lang w:eastAsia="zh-CN"/>
              </w:rPr>
            </w:pPr>
            <w:r>
              <w:t>939.8</w:t>
            </w:r>
            <w:r>
              <w:rPr>
                <w:rFonts w:hint="eastAsia"/>
                <w:lang w:val="en-US" w:eastAsia="zh-CN"/>
              </w:rPr>
              <w:t>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216.06</w:t>
            </w:r>
          </w:p>
        </w:tc>
        <w:tc>
          <w:tcPr>
            <w:tcW w:w="2551" w:type="dxa"/>
            <w:vAlign w:val="center"/>
          </w:tcPr>
          <w:p>
            <w:pPr>
              <w:pStyle w:val="12"/>
            </w:pPr>
            <w:r>
              <w:t>216.06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136.23</w:t>
            </w:r>
          </w:p>
        </w:tc>
        <w:tc>
          <w:tcPr>
            <w:tcW w:w="2551" w:type="dxa"/>
            <w:vAlign w:val="center"/>
          </w:tcPr>
          <w:p>
            <w:pPr>
              <w:pStyle w:val="12"/>
              <w:rPr>
                <w:rFonts w:hint="eastAsia" w:eastAsia="方正书宋_GBK"/>
                <w:lang w:eastAsia="zh-CN"/>
              </w:rPr>
            </w:pPr>
            <w:r>
              <w:t>136.2</w:t>
            </w:r>
            <w:r>
              <w:rPr>
                <w:rFonts w:hint="eastAsia"/>
                <w:lang w:val="en-US" w:eastAsia="zh-CN"/>
              </w:rPr>
              <w:t>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6.36</w:t>
            </w:r>
          </w:p>
        </w:tc>
        <w:tc>
          <w:tcPr>
            <w:tcW w:w="2551" w:type="dxa"/>
            <w:vAlign w:val="center"/>
          </w:tcPr>
          <w:p>
            <w:pPr>
              <w:pStyle w:val="12"/>
            </w:pPr>
            <w:r>
              <w:t>6.36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132.79</w:t>
            </w:r>
          </w:p>
        </w:tc>
        <w:tc>
          <w:tcPr>
            <w:tcW w:w="2551" w:type="dxa"/>
            <w:vAlign w:val="center"/>
          </w:tcPr>
          <w:p>
            <w:pPr>
              <w:pStyle w:val="12"/>
            </w:pPr>
            <w:r>
              <w:t>132.79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66.21</w:t>
            </w:r>
          </w:p>
        </w:tc>
        <w:tc>
          <w:tcPr>
            <w:tcW w:w="2551" w:type="dxa"/>
            <w:vAlign w:val="center"/>
          </w:tcPr>
          <w:p>
            <w:pPr>
              <w:pStyle w:val="12"/>
            </w:pPr>
            <w:r>
              <w:t>66.21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12.11</w:t>
            </w:r>
          </w:p>
        </w:tc>
        <w:tc>
          <w:tcPr>
            <w:tcW w:w="2551" w:type="dxa"/>
            <w:vAlign w:val="center"/>
          </w:tcPr>
          <w:p>
            <w:pPr>
              <w:pStyle w:val="12"/>
            </w:pPr>
            <w:r>
              <w:t>12.11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69.65</w:t>
            </w:r>
          </w:p>
        </w:tc>
        <w:tc>
          <w:tcPr>
            <w:tcW w:w="2551" w:type="dxa"/>
            <w:vAlign w:val="center"/>
          </w:tcPr>
          <w:p>
            <w:pPr>
              <w:pStyle w:val="12"/>
            </w:pPr>
            <w:r>
              <w:t>69.65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4.45</w:t>
            </w:r>
          </w:p>
        </w:tc>
        <w:tc>
          <w:tcPr>
            <w:tcW w:w="2551" w:type="dxa"/>
            <w:vAlign w:val="center"/>
          </w:tcPr>
          <w:p>
            <w:pPr>
              <w:pStyle w:val="12"/>
            </w:pPr>
            <w:r>
              <w:t>4.45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81.33</w:t>
            </w:r>
          </w:p>
        </w:tc>
        <w:tc>
          <w:tcPr>
            <w:tcW w:w="2551" w:type="dxa"/>
            <w:vAlign w:val="center"/>
          </w:tcPr>
          <w:p>
            <w:pPr>
              <w:pStyle w:val="12"/>
            </w:pPr>
            <w:r>
              <w:t>81.33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214.61</w:t>
            </w:r>
          </w:p>
        </w:tc>
        <w:tc>
          <w:tcPr>
            <w:tcW w:w="2551" w:type="dxa"/>
            <w:vAlign w:val="center"/>
          </w:tcPr>
          <w:p>
            <w:pPr>
              <w:pStyle w:val="12"/>
            </w:pPr>
            <w:r>
              <w:t>214.61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90.87</w:t>
            </w:r>
          </w:p>
        </w:tc>
        <w:tc>
          <w:tcPr>
            <w:tcW w:w="2551" w:type="dxa"/>
            <w:vAlign w:val="center"/>
          </w:tcPr>
          <w:p>
            <w:pPr>
              <w:pStyle w:val="12"/>
            </w:pPr>
          </w:p>
        </w:tc>
        <w:tc>
          <w:tcPr>
            <w:tcW w:w="2551" w:type="dxa"/>
            <w:vAlign w:val="center"/>
          </w:tcPr>
          <w:p>
            <w:pPr>
              <w:pStyle w:val="12"/>
            </w:pPr>
            <w:r>
              <w:t>90.87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10.84</w:t>
            </w:r>
          </w:p>
        </w:tc>
        <w:tc>
          <w:tcPr>
            <w:tcW w:w="2551" w:type="dxa"/>
            <w:vAlign w:val="center"/>
          </w:tcPr>
          <w:p>
            <w:pPr>
              <w:pStyle w:val="12"/>
            </w:pPr>
          </w:p>
        </w:tc>
        <w:tc>
          <w:tcPr>
            <w:tcW w:w="2551" w:type="dxa"/>
            <w:vAlign w:val="center"/>
          </w:tcPr>
          <w:p>
            <w:pPr>
              <w:pStyle w:val="12"/>
            </w:pPr>
            <w:r>
              <w:t>10.84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0.96</w:t>
            </w:r>
          </w:p>
        </w:tc>
        <w:tc>
          <w:tcPr>
            <w:tcW w:w="2551" w:type="dxa"/>
            <w:vAlign w:val="center"/>
          </w:tcPr>
          <w:p>
            <w:pPr>
              <w:pStyle w:val="12"/>
            </w:pPr>
          </w:p>
        </w:tc>
        <w:tc>
          <w:tcPr>
            <w:tcW w:w="2551" w:type="dxa"/>
            <w:vAlign w:val="center"/>
          </w:tcPr>
          <w:p>
            <w:pPr>
              <w:pStyle w:val="12"/>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5.12</w:t>
            </w:r>
          </w:p>
        </w:tc>
        <w:tc>
          <w:tcPr>
            <w:tcW w:w="2551" w:type="dxa"/>
            <w:vAlign w:val="center"/>
          </w:tcPr>
          <w:p>
            <w:pPr>
              <w:pStyle w:val="12"/>
            </w:pPr>
          </w:p>
        </w:tc>
        <w:tc>
          <w:tcPr>
            <w:tcW w:w="2551" w:type="dxa"/>
            <w:vAlign w:val="center"/>
          </w:tcPr>
          <w:p>
            <w:pPr>
              <w:pStyle w:val="12"/>
            </w:pPr>
            <w:r>
              <w:t>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27.24</w:t>
            </w:r>
          </w:p>
        </w:tc>
        <w:tc>
          <w:tcPr>
            <w:tcW w:w="2551" w:type="dxa"/>
            <w:vAlign w:val="center"/>
          </w:tcPr>
          <w:p>
            <w:pPr>
              <w:pStyle w:val="12"/>
            </w:pPr>
          </w:p>
        </w:tc>
        <w:tc>
          <w:tcPr>
            <w:tcW w:w="2551" w:type="dxa"/>
            <w:vAlign w:val="center"/>
          </w:tcPr>
          <w:p>
            <w:pPr>
              <w:pStyle w:val="12"/>
            </w:pPr>
            <w:r>
              <w:t>27.24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5.29</w:t>
            </w:r>
          </w:p>
        </w:tc>
        <w:tc>
          <w:tcPr>
            <w:tcW w:w="2551" w:type="dxa"/>
            <w:vAlign w:val="center"/>
          </w:tcPr>
          <w:p>
            <w:pPr>
              <w:pStyle w:val="12"/>
            </w:pPr>
          </w:p>
        </w:tc>
        <w:tc>
          <w:tcPr>
            <w:tcW w:w="2551" w:type="dxa"/>
            <w:vAlign w:val="center"/>
          </w:tcPr>
          <w:p>
            <w:pPr>
              <w:pStyle w:val="12"/>
            </w:pPr>
            <w:r>
              <w:t>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30209</w:t>
            </w:r>
          </w:p>
        </w:tc>
        <w:tc>
          <w:tcPr>
            <w:tcW w:w="4535" w:type="dxa"/>
            <w:vAlign w:val="center"/>
          </w:tcPr>
          <w:p>
            <w:pPr>
              <w:pStyle w:val="13"/>
            </w:pPr>
            <w:r>
              <w:t>物业管理费</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2.40</w:t>
            </w:r>
          </w:p>
        </w:tc>
        <w:tc>
          <w:tcPr>
            <w:tcW w:w="2551" w:type="dxa"/>
            <w:vAlign w:val="center"/>
          </w:tcPr>
          <w:p>
            <w:pPr>
              <w:pStyle w:val="12"/>
            </w:pPr>
          </w:p>
        </w:tc>
        <w:tc>
          <w:tcPr>
            <w:tcW w:w="2551"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0.85</w:t>
            </w:r>
          </w:p>
        </w:tc>
        <w:tc>
          <w:tcPr>
            <w:tcW w:w="2551" w:type="dxa"/>
            <w:vAlign w:val="center"/>
          </w:tcPr>
          <w:p>
            <w:pPr>
              <w:pStyle w:val="12"/>
            </w:pPr>
          </w:p>
        </w:tc>
        <w:tc>
          <w:tcPr>
            <w:tcW w:w="2551" w:type="dxa"/>
            <w:vAlign w:val="center"/>
          </w:tcPr>
          <w:p>
            <w:pPr>
              <w:pStyle w:val="12"/>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30214</w:t>
            </w:r>
          </w:p>
        </w:tc>
        <w:tc>
          <w:tcPr>
            <w:tcW w:w="4535" w:type="dxa"/>
            <w:vAlign w:val="center"/>
          </w:tcPr>
          <w:p>
            <w:pPr>
              <w:pStyle w:val="13"/>
            </w:pPr>
            <w:r>
              <w:t>租赁费</w:t>
            </w:r>
          </w:p>
        </w:tc>
        <w:tc>
          <w:tcPr>
            <w:tcW w:w="2551" w:type="dxa"/>
            <w:vAlign w:val="center"/>
          </w:tcPr>
          <w:p>
            <w:pPr>
              <w:pStyle w:val="12"/>
            </w:pPr>
            <w:r>
              <w:t>3.36</w:t>
            </w:r>
          </w:p>
        </w:tc>
        <w:tc>
          <w:tcPr>
            <w:tcW w:w="2551" w:type="dxa"/>
            <w:vAlign w:val="center"/>
          </w:tcPr>
          <w:p>
            <w:pPr>
              <w:pStyle w:val="12"/>
            </w:pPr>
          </w:p>
        </w:tc>
        <w:tc>
          <w:tcPr>
            <w:tcW w:w="2551" w:type="dxa"/>
            <w:vAlign w:val="center"/>
          </w:tcPr>
          <w:p>
            <w:pPr>
              <w:pStyle w:val="12"/>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6.05</w:t>
            </w:r>
          </w:p>
        </w:tc>
        <w:tc>
          <w:tcPr>
            <w:tcW w:w="2551" w:type="dxa"/>
            <w:vAlign w:val="center"/>
          </w:tcPr>
          <w:p>
            <w:pPr>
              <w:pStyle w:val="12"/>
            </w:pPr>
          </w:p>
        </w:tc>
        <w:tc>
          <w:tcPr>
            <w:tcW w:w="2551" w:type="dxa"/>
            <w:vAlign w:val="center"/>
          </w:tcPr>
          <w:p>
            <w:pPr>
              <w:pStyle w:val="12"/>
            </w:pPr>
            <w:r>
              <w:t>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4.16</w:t>
            </w:r>
          </w:p>
        </w:tc>
        <w:tc>
          <w:tcPr>
            <w:tcW w:w="2551" w:type="dxa"/>
            <w:vAlign w:val="center"/>
          </w:tcPr>
          <w:p>
            <w:pPr>
              <w:pStyle w:val="12"/>
            </w:pPr>
          </w:p>
        </w:tc>
        <w:tc>
          <w:tcPr>
            <w:tcW w:w="2551" w:type="dxa"/>
            <w:vAlign w:val="center"/>
          </w:tcPr>
          <w:p>
            <w:pPr>
              <w:pStyle w:val="12"/>
            </w:pPr>
            <w:r>
              <w:t>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3.60</w:t>
            </w:r>
          </w:p>
        </w:tc>
        <w:tc>
          <w:tcPr>
            <w:tcW w:w="2551" w:type="dxa"/>
            <w:vAlign w:val="center"/>
          </w:tcPr>
          <w:p>
            <w:pPr>
              <w:pStyle w:val="12"/>
            </w:pPr>
          </w:p>
        </w:tc>
        <w:tc>
          <w:tcPr>
            <w:tcW w:w="2551" w:type="dxa"/>
            <w:vAlign w:val="center"/>
          </w:tcPr>
          <w:p>
            <w:pPr>
              <w:pStyle w:val="1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13.02</w:t>
            </w:r>
          </w:p>
        </w:tc>
        <w:tc>
          <w:tcPr>
            <w:tcW w:w="2551" w:type="dxa"/>
            <w:vAlign w:val="center"/>
          </w:tcPr>
          <w:p>
            <w:pPr>
              <w:pStyle w:val="12"/>
            </w:pPr>
          </w:p>
        </w:tc>
        <w:tc>
          <w:tcPr>
            <w:tcW w:w="2551" w:type="dxa"/>
            <w:vAlign w:val="center"/>
          </w:tcPr>
          <w:p>
            <w:pPr>
              <w:pStyle w:val="12"/>
            </w:pPr>
            <w:r>
              <w:t>13.02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3.48</w:t>
            </w:r>
          </w:p>
        </w:tc>
        <w:tc>
          <w:tcPr>
            <w:tcW w:w="2551" w:type="dxa"/>
            <w:vAlign w:val="center"/>
          </w:tcPr>
          <w:p>
            <w:pPr>
              <w:pStyle w:val="12"/>
            </w:pPr>
          </w:p>
        </w:tc>
        <w:tc>
          <w:tcPr>
            <w:tcW w:w="2551" w:type="dxa"/>
            <w:vAlign w:val="center"/>
          </w:tcPr>
          <w:p>
            <w:pPr>
              <w:pStyle w:val="12"/>
            </w:pPr>
            <w:r>
              <w:t>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92.80</w:t>
            </w:r>
          </w:p>
        </w:tc>
        <w:tc>
          <w:tcPr>
            <w:tcW w:w="2551" w:type="dxa"/>
            <w:vAlign w:val="center"/>
          </w:tcPr>
          <w:p>
            <w:pPr>
              <w:pStyle w:val="12"/>
            </w:pPr>
            <w:r>
              <w:t>92.80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22.74</w:t>
            </w:r>
          </w:p>
        </w:tc>
        <w:tc>
          <w:tcPr>
            <w:tcW w:w="2551" w:type="dxa"/>
            <w:vAlign w:val="center"/>
          </w:tcPr>
          <w:p>
            <w:pPr>
              <w:pStyle w:val="12"/>
            </w:pPr>
            <w:r>
              <w:t>22.74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0.92</w:t>
            </w:r>
          </w:p>
        </w:tc>
        <w:tc>
          <w:tcPr>
            <w:tcW w:w="2551" w:type="dxa"/>
            <w:vAlign w:val="center"/>
          </w:tcPr>
          <w:p>
            <w:pPr>
              <w:pStyle w:val="12"/>
            </w:pPr>
            <w:r>
              <w:t>0.92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0.05</w:t>
            </w:r>
          </w:p>
        </w:tc>
        <w:tc>
          <w:tcPr>
            <w:tcW w:w="2551" w:type="dxa"/>
            <w:vAlign w:val="center"/>
          </w:tcPr>
          <w:p>
            <w:pPr>
              <w:pStyle w:val="12"/>
            </w:pPr>
            <w:r>
              <w:t>0.05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2"/>
            </w:pPr>
            <w:r>
              <w:t>69.09</w:t>
            </w:r>
          </w:p>
        </w:tc>
        <w:tc>
          <w:tcPr>
            <w:tcW w:w="2551" w:type="dxa"/>
            <w:vAlign w:val="center"/>
          </w:tcPr>
          <w:p>
            <w:pPr>
              <w:pStyle w:val="12"/>
            </w:pPr>
            <w:r>
              <w:t>69.09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7"/>
      <w:r>
        <w:rPr>
          <w:rFonts w:ascii="方正小标宋_GBK" w:hAnsi="方正小标宋_GBK" w:eastAsia="方正小标宋_GBK" w:cs="方正小标宋_GBK"/>
          <w:color w:val="000000"/>
          <w:sz w:val="36"/>
        </w:rPr>
        <w:t>单位预算政府基金预算财政拨款支出表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eastAsia="zh-CN"/>
              </w:rPr>
              <w:t>514001</w:t>
            </w:r>
            <w:r>
              <w:t>石家庄市桥西区长兴街道办事处</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8" w:name="_Toc_2_2_0000000008"/>
      <w:r>
        <w:rPr>
          <w:rFonts w:ascii="方正小标宋_GBK" w:hAnsi="方正小标宋_GBK" w:eastAsia="方正小标宋_GBK" w:cs="方正小标宋_GBK"/>
          <w:color w:val="000000"/>
          <w:sz w:val="36"/>
        </w:rPr>
        <w:t>单位预算国有资本经营预算财政拨款支出表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eastAsia="zh-CN"/>
              </w:rPr>
              <w:t>514001</w:t>
            </w:r>
            <w:r>
              <w:t>石家庄市桥西区长兴街道办事处</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9" w:name="_Toc_2_2_0000000009"/>
      <w:r>
        <w:rPr>
          <w:rFonts w:ascii="方正小标宋_GBK" w:hAnsi="方正小标宋_GBK" w:eastAsia="方正小标宋_GBK" w:cs="方正小标宋_GBK"/>
          <w:color w:val="000000"/>
          <w:sz w:val="36"/>
        </w:rPr>
        <w:t>单位预算财政拨款“三公”经费支出表</w:t>
      </w:r>
      <w:bookmarkEnd w:id="9"/>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rPr>
                <w:rFonts w:hint="eastAsia"/>
                <w:lang w:eastAsia="zh-CN"/>
              </w:rPr>
              <w:t>514001</w:t>
            </w:r>
            <w:r>
              <w:t>石家庄市桥西区长兴街道办事处</w:t>
            </w:r>
            <w:r>
              <w:rPr>
                <w:rFonts w:hint="eastAsia"/>
                <w:lang w:eastAsia="zh-CN"/>
              </w:rPr>
              <w:t>本级</w:t>
            </w:r>
          </w:p>
        </w:tc>
        <w:tc>
          <w:tcPr>
            <w:tcW w:w="2381" w:type="dxa"/>
            <w:tcBorders>
              <w:top w:val="single" w:color="FFFFFF" w:sz="6" w:space="0"/>
              <w:left w:val="single" w:color="FFFFFF" w:sz="6" w:space="0"/>
              <w:right w:val="single" w:color="FFFFFF" w:sz="6" w:space="0"/>
            </w:tcBorders>
            <w:vAlign w:val="center"/>
          </w:tcPr>
          <w:p>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3.60</w:t>
            </w:r>
          </w:p>
        </w:tc>
        <w:tc>
          <w:tcPr>
            <w:tcW w:w="2381" w:type="dxa"/>
            <w:vAlign w:val="center"/>
          </w:tcPr>
          <w:p>
            <w:pPr>
              <w:pStyle w:val="16"/>
            </w:pPr>
            <w:r>
              <w:t>3.60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3.60</w:t>
            </w:r>
          </w:p>
        </w:tc>
        <w:tc>
          <w:tcPr>
            <w:tcW w:w="2381" w:type="dxa"/>
            <w:vAlign w:val="center"/>
          </w:tcPr>
          <w:p>
            <w:pPr>
              <w:pStyle w:val="12"/>
            </w:pPr>
            <w:r>
              <w:t>3.60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3.60</w:t>
            </w:r>
          </w:p>
        </w:tc>
        <w:tc>
          <w:tcPr>
            <w:tcW w:w="2381" w:type="dxa"/>
            <w:vAlign w:val="center"/>
          </w:tcPr>
          <w:p>
            <w:pPr>
              <w:pStyle w:val="12"/>
            </w:pPr>
            <w:r>
              <w:t>3.60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3.60</w:t>
            </w:r>
          </w:p>
        </w:tc>
        <w:tc>
          <w:tcPr>
            <w:tcW w:w="2381" w:type="dxa"/>
            <w:vAlign w:val="center"/>
          </w:tcPr>
          <w:p>
            <w:pPr>
              <w:pStyle w:val="12"/>
            </w:pPr>
            <w:r>
              <w:t>3.60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石家庄市桥西区长兴街道办事处2022年部门预算信息公开情况说明</w:t>
      </w:r>
    </w:p>
    <w:p>
      <w:pPr>
        <w:jc w:val="center"/>
        <w:outlineLvl w:val="4"/>
      </w:pPr>
      <w:r>
        <w:rPr>
          <w:rFonts w:ascii="方正小标宋_GBK" w:hAnsi="方正小标宋_GBK" w:eastAsia="方正小标宋_GBK" w:cs="方正小标宋_GBK"/>
          <w:color w:val="000000"/>
          <w:sz w:val="44"/>
        </w:rPr>
        <w:t>石家庄市桥西区长兴街道办事处本级2022年单位预算信息公开情况说明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val="en-US" w:eastAsia="zh-CN"/>
        </w:rPr>
        <w:t>中华人民共和国</w:t>
      </w:r>
      <w:bookmarkStart w:id="10" w:name="_GoBack"/>
      <w:bookmarkEnd w:id="10"/>
      <w:r>
        <w:rPr>
          <w:rFonts w:eastAsia="方正仿宋_GBK"/>
          <w:color w:val="000000"/>
          <w:sz w:val="28"/>
        </w:rPr>
        <w:t>预算法》、《地方预决算公开操作规程》和《关于进一步推进预算公开工作的实施意见》规定，现将石家庄市桥西区长兴街道办事处本级2022年单位预算公开如下：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8"/>
      </w:pPr>
      <w:r>
        <w:t>根据《石家庄市桥西区人民政府长兴街道办事处职能配置、内设机构和人员编制规定》，石家庄市桥西区人民政府长兴街道办事处主要职责是：</w:t>
      </w:r>
    </w:p>
    <w:p>
      <w:pPr>
        <w:pStyle w:val="18"/>
      </w:pPr>
      <w:r>
        <w:t>（一）宣传贯彻执行党的路线方针政策和党中央、上级党组织的决议。贯彻执行法律、法规、规章和上级人民代表大会及其常务委员会决议及上级政府的决定、命令，依法管理辖区公共事务。</w:t>
      </w:r>
    </w:p>
    <w:p>
      <w:pPr>
        <w:pStyle w:val="18"/>
      </w:pPr>
      <w:r>
        <w:t>（二）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pPr>
        <w:pStyle w:val="18"/>
      </w:pPr>
      <w:r>
        <w:t>（三）负责办理上级人大常委会交办的监督、选举以及其他工作，做好人大代表工作，联系选民、反映群众意见和要求。</w:t>
      </w:r>
    </w:p>
    <w:p>
      <w:pPr>
        <w:pStyle w:val="18"/>
      </w:pPr>
      <w:r>
        <w:t>（四）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pPr>
        <w:pStyle w:val="18"/>
      </w:pPr>
      <w:r>
        <w:t>（五）街道党工委领导群团组织，加强指导和规范，支持和保证群团组织依照国家法律法规以及各自章程履行职责。坚持党管武装的根本原则和制度，协调各方力量，对街道人民武装工作实行统一领导。</w:t>
      </w:r>
    </w:p>
    <w:p>
      <w:pPr>
        <w:pStyle w:val="18"/>
      </w:pPr>
      <w:r>
        <w:t>（六）指导居民委员会等基层群众性自治组织建设，健全自治平台。组织动员社区居民、单位和社会力量参与社区治理，整合辖区内社会力量，形成社区共治合力，为社区发展服务。对社区工作者队伍进行教育管理。</w:t>
      </w:r>
    </w:p>
    <w:p>
      <w:pPr>
        <w:pStyle w:val="18"/>
      </w:pPr>
      <w:r>
        <w:t>（七）按照管理权限，对街道机关及所属单位干部进行教育、培训、选拔、考核和监督，对上级政府职能部门派出机构的工作考核和主要负责同志任免提出意见</w:t>
      </w:r>
    </w:p>
    <w:p>
      <w:pPr>
        <w:pStyle w:val="18"/>
      </w:pPr>
      <w:r>
        <w:t>(八)组织维护辖区安全稳定，协调推动社会治安综合治理做好应急管理、民族宗教工作，承担民兵、预备役、征兵、退役军人服务、拥军优属、防范邪教等工作。</w:t>
      </w:r>
    </w:p>
    <w:p>
      <w:pPr>
        <w:pStyle w:val="18"/>
      </w:pPr>
      <w:r>
        <w:t>(九)组织开展群众性文化、体育、科普活动，开展法治宣传和社会公德教育，推动社区公益事业发展。维护老年人、妇女未成年人、残疾人等合法权益。</w:t>
      </w:r>
    </w:p>
    <w:p>
      <w:pPr>
        <w:pStyle w:val="18"/>
      </w:pPr>
      <w:r>
        <w:t>(十)参与辖区设施规划、建设和验收，综合管理、统筹调度和考核督办涉及辖区的公共事务，按照有关规定统筹使用下沉到街道社区的人财物等资源。</w:t>
      </w:r>
    </w:p>
    <w:p>
      <w:pPr>
        <w:pStyle w:val="18"/>
        <w:rPr>
          <w:rFonts w:hint="eastAsia"/>
          <w:lang w:val="uk-UA" w:eastAsia="zh-CN"/>
        </w:rPr>
      </w:pPr>
      <w:r>
        <w:t>(十一)承办上级党委、人大、政府交办的其他事项。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石家庄市桥西区长兴街道办事处本级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按照预算管理有关规定，目前我单位预算的编制实行综合预算管理，即全部收入和支出都反映在预算中。石家庄市桥西区长兴街道办事处机关及所属事业单位的收支包含在单位预算中。</w:t>
      </w:r>
    </w:p>
    <w:p>
      <w:pPr>
        <w:pStyle w:val="19"/>
      </w:pPr>
      <w:r>
        <w:t>1、收入说明</w:t>
      </w:r>
    </w:p>
    <w:p>
      <w:pPr>
        <w:pStyle w:val="19"/>
      </w:pPr>
      <w:r>
        <w:t>反映本单位当年全部收入。2022年预算收入1299.61万元，其中：一般公共预算收入1299.61万元，基金预算收入0万元，财政专户核拨收入0万元，其他来源收入0万元。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收支预算总表支出栏、基本支出表、项目支出表按经济分类和支出功能分类科目编制，反映年度单位预算中支出预算的总体情况。 桥西区长兴街道办事处2022年支出预算1299.61万元，其中基本支出1123.47万元，包括人员经费1032.6</w:t>
      </w:r>
      <w:r>
        <w:rPr>
          <w:rFonts w:hint="eastAsia"/>
          <w:lang w:val="en-US" w:eastAsia="zh-CN"/>
        </w:rPr>
        <w:t>0</w:t>
      </w:r>
      <w:r>
        <w:t>万元和日常公用经费90.87万元；项目支出176.14万元，主要为党员活动经费、社区工作经费、维稳经费、综合事务专项经费、武装工作经费、团组织阵地建设；其他支出0万元。</w:t>
      </w:r>
    </w:p>
    <w:p>
      <w:pPr>
        <w:pStyle w:val="19"/>
      </w:pPr>
      <w:r>
        <w:t>3、比上年增减情况</w:t>
      </w:r>
    </w:p>
    <w:p>
      <w:pPr>
        <w:pStyle w:val="19"/>
      </w:pPr>
      <w:r>
        <w:t>2022年预算收支安排1299.61万元，较2021年预算增加232.17万元，其中：基本支出增加了250.91万元，主要为机构改革，人员经费增加；项目支出减少18.74万元，主要为减少村级组织运转经费。</w:t>
      </w:r>
    </w:p>
    <w:p>
      <w:pPr>
        <w:spacing w:before="10" w:after="10"/>
        <w:ind w:firstLine="640"/>
        <w:outlineLvl w:val="5"/>
      </w:pPr>
      <w:r>
        <w:rPr>
          <w:rFonts w:ascii="黑体" w:hAnsi="黑体" w:eastAsia="黑体" w:cs="黑体"/>
          <w:color w:val="000000"/>
          <w:sz w:val="32"/>
        </w:rPr>
        <w:t>三、机关运行经费安排情况</w:t>
      </w:r>
    </w:p>
    <w:p>
      <w:pPr>
        <w:pStyle w:val="20"/>
      </w:pPr>
      <w:r>
        <w:t>2022年，我街道运行经费共计安排90.87万元，主要用于日常维修、办公用房水电费、办公用房取暖费、办公用房物业管理费等日常运行支出。</w:t>
      </w:r>
    </w:p>
    <w:p>
      <w:pPr>
        <w:pStyle w:val="28"/>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1"/>
      </w:pPr>
      <w:r>
        <w:t>2022年，桥西区长兴街道办事处“三公”经费财政拨款预算3.60万元，其中：因公出国（境）费0万元，与上年持平，无增减变化，主要原因为年初没有安排因公出国费；公务用车购置及运维费3.60万元（</w:t>
      </w:r>
      <w:r>
        <w:rPr>
          <w:rFonts w:hint="eastAsia"/>
          <w:lang w:eastAsia="zh-CN"/>
        </w:rPr>
        <w:t>其中，</w:t>
      </w:r>
      <w:r>
        <w:t>公务用车购置</w:t>
      </w:r>
      <w:r>
        <w:rPr>
          <w:rFonts w:hint="eastAsia"/>
          <w:lang w:eastAsia="zh-CN"/>
        </w:rPr>
        <w:t>费</w:t>
      </w:r>
      <w:r>
        <w:rPr>
          <w:rFonts w:hint="eastAsia"/>
          <w:lang w:val="en-US" w:eastAsia="zh-CN"/>
        </w:rPr>
        <w:t>0万元，</w:t>
      </w:r>
      <w:r>
        <w:t>与上年持平，无增减变化，公务用车运维费</w:t>
      </w:r>
      <w:r>
        <w:rPr>
          <w:rFonts w:hint="eastAsia"/>
          <w:lang w:val="en-US" w:eastAsia="zh-CN"/>
        </w:rPr>
        <w:t>3.6万元，</w:t>
      </w:r>
      <w:r>
        <w:t>与上年持平，无增减变化，原因是公务用车数量无变化）；公务接待费0万元，与上年持平，无增减变化，原因是厉行节俭，未安排公务接待费。</w:t>
      </w:r>
    </w:p>
    <w:p>
      <w:pPr>
        <w:numPr>
          <w:ilvl w:val="0"/>
          <w:numId w:val="1"/>
        </w:numPr>
        <w:ind w:firstLine="640"/>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ind w:firstLine="643" w:firstLineChars="20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2"/>
      </w:pPr>
      <w:r>
        <w:t>2022年街道工作总体思路是：坚持以习近平新时代中国特色社会主义思想为指导，深入贯彻落实市第十一次党代会、区第十次党代会精神，聚焦全面实施“十区战略”，加大经济工作力度，做优城市环境，改善空气质量，保障改善民生，促进社会稳定，为建设现代化、国际化、幸福美丽桥西区贡献长兴力量。</w:t>
      </w:r>
    </w:p>
    <w:p>
      <w:pPr>
        <w:spacing w:line="500" w:lineRule="exact"/>
        <w:ind w:firstLine="560"/>
      </w:pPr>
      <w:r>
        <w:rPr>
          <w:rFonts w:eastAsia="方正仿宋_GBK"/>
          <w:color w:val="000000"/>
          <w:sz w:val="28"/>
        </w:rPr>
        <w:t>（二）分项绩效目标</w:t>
      </w:r>
    </w:p>
    <w:p>
      <w:pPr>
        <w:pStyle w:val="23"/>
      </w:pPr>
      <w:r>
        <w:t>（一）全面提升综合经济实力 ，加快建设现代化标杆城区。</w:t>
      </w:r>
    </w:p>
    <w:p>
      <w:pPr>
        <w:pStyle w:val="23"/>
      </w:pPr>
      <w:r>
        <w:t>（二）加快建设国际化标杆城区，打造宜居宜业宜游的美丽新家园。</w:t>
      </w:r>
    </w:p>
    <w:p>
      <w:pPr>
        <w:pStyle w:val="23"/>
      </w:pPr>
      <w:r>
        <w:t>（三）着力提升精细化管理能力，坚决打赢生态环境治理攻坚战。</w:t>
      </w:r>
    </w:p>
    <w:p>
      <w:pPr>
        <w:pStyle w:val="23"/>
      </w:pPr>
      <w:r>
        <w:t>（四）继续以“惠民生”为主线，办好民生实事。</w:t>
      </w:r>
    </w:p>
    <w:p>
      <w:pPr>
        <w:pStyle w:val="23"/>
      </w:pPr>
      <w:r>
        <w:t>（五）坚持改革创新、精细治理，全面提升社会综合治理能力。</w:t>
      </w:r>
    </w:p>
    <w:p>
      <w:pPr>
        <w:spacing w:line="500" w:lineRule="exact"/>
        <w:ind w:firstLine="560"/>
      </w:pPr>
      <w:r>
        <w:rPr>
          <w:rFonts w:eastAsia="方正仿宋_GBK"/>
          <w:color w:val="000000"/>
          <w:sz w:val="28"/>
        </w:rPr>
        <w:t>（三）工作保障措施</w:t>
      </w:r>
    </w:p>
    <w:p>
      <w:pPr>
        <w:pStyle w:val="24"/>
      </w:pPr>
      <w:r>
        <w:t>一是“智慧长兴”。继续按照做强街道、做实网格、做活社区的思路，探索“微网格”管理模式将人民调解员、安全监督员、环保监督员、治安巡逻员、物业管理员的功能纳入网格，紧紧抓住国家加快5G商用步伐和加强人工智能、物联网等新型基础设施建设的有利契机，积极开展辖区管理、民生服务等信息数据的综合采集分析，推进互联网与政务管理服务深度融合，实现感知、分析、服务“三位一体”的智慧辖区管理，打造“智慧长兴”。</w:t>
      </w:r>
    </w:p>
    <w:p>
      <w:pPr>
        <w:pStyle w:val="24"/>
      </w:pPr>
      <w:r>
        <w:t>二是“平安长兴”。积极探索信访代办制。积极学习浙江等地先进经验，通过在街道、村（居）两级以及社会服务组织建立代办服务站将为民服务的触角向更深层延伸；提升社区综治中心工作水平。计划为7个社区增配巡防和现代化安防装备，建立1个法治宣传主题广场，对2个治安乱点进行整治，增加社区巡防频次，提高群众的安全感；充分发挥德治先导的作用。大力开展道德模范、最美人物等评选、宣传活动，加强对社会公德、职业道德、家庭美德、个人品德建设，提升群众整体道德素养，努力营造崇德向善的社会氛围，打造“平安长兴”。</w:t>
      </w:r>
    </w:p>
    <w:p>
      <w:pPr>
        <w:pStyle w:val="24"/>
      </w:pPr>
      <w:r>
        <w:t>三是“人文长兴”。推行“一居一品”，进一步提高社区软硬件建设，加大社区管理创新和特色创建，结合实际分别打造西兴社区养老示范点、景祥党建示范点、石获南路政务服务示范点、西王历史文化示范点，整合资金和政策，对上级覆盖不到的老旧小区全面进行提升。</w:t>
      </w:r>
    </w:p>
    <w:p>
      <w:pPr>
        <w:pStyle w:val="24"/>
      </w:pPr>
      <w:r>
        <w:t>四是“宜居长兴”。文化体育项目入楼入院，打造“十分钟健身圈”。利用空闲地增设形式多样的健身器材、针对老旧健身器材进行改造升级，通过“一地多用”的模式，为居民提供多样化的健身场地；“红色物业”破解老旧小区治理难题。重点推选1—2个市级金牌红色物业。在“四强一高”、“5+3模式”引领下，加大对实力雄厚的物业企业引进力度，探索实施“打包连片、以大带小”承接模式，分期分批推广“红色物业”，尽快实现辖区居民自治和产权单位管理不到位的老旧小区全覆盖，全面提升社区治理水平，有效破解老旧小区治理难题。</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cs="方正楷体_GBK" w:eastAsiaTheme="minorEastAsia"/>
          <w:b/>
          <w:color w:val="000000"/>
          <w:sz w:val="32"/>
          <w:lang w:eastAsia="zh-CN"/>
        </w:rPr>
        <w:t>二</w:t>
      </w:r>
      <w:r>
        <w:rPr>
          <w:rFonts w:ascii="方正楷体_GBK" w:hAnsi="方正楷体_GBK" w:eastAsia="方正楷体_GBK" w:cs="方正楷体_GBK"/>
          <w:b/>
          <w:color w:val="000000"/>
          <w:sz w:val="32"/>
        </w:rPr>
        <w:t>部分  预算项目绩效目标</w:t>
      </w: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pPr>
      <w:r>
        <w:rPr>
          <w:rFonts w:ascii="方正仿宋_GBK" w:hAnsi="方正仿宋_GBK" w:eastAsia="方正仿宋_GBK" w:cs="方正仿宋_GBK"/>
          <w:b/>
          <w:color w:val="000000"/>
          <w:sz w:val="28"/>
        </w:rPr>
        <w:t>1、办公用房租赁费绩效目标表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1.主要用于办公用房租赁费支出，保障办公正常运转。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2835" w:type="dxa"/>
            <w:vAlign w:val="center"/>
          </w:tcPr>
          <w:p>
            <w:pPr>
              <w:pStyle w:val="13"/>
            </w:pPr>
            <w:r>
              <w:t>租赁办公用房面积</w:t>
            </w:r>
          </w:p>
        </w:tc>
        <w:tc>
          <w:tcPr>
            <w:tcW w:w="2551" w:type="dxa"/>
            <w:vAlign w:val="center"/>
          </w:tcPr>
          <w:p>
            <w:pPr>
              <w:pStyle w:val="13"/>
            </w:pPr>
            <w:r>
              <w:t>1706平方米</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租赁办公用房质量情况</w:t>
            </w:r>
          </w:p>
        </w:tc>
        <w:tc>
          <w:tcPr>
            <w:tcW w:w="2835" w:type="dxa"/>
            <w:vAlign w:val="center"/>
          </w:tcPr>
          <w:p>
            <w:pPr>
              <w:pStyle w:val="13"/>
            </w:pPr>
            <w:r>
              <w:t>办公用房内各项设施齐全，运转正常</w:t>
            </w:r>
          </w:p>
        </w:tc>
        <w:tc>
          <w:tcPr>
            <w:tcW w:w="2551" w:type="dxa"/>
            <w:vAlign w:val="center"/>
          </w:tcPr>
          <w:p>
            <w:pPr>
              <w:pStyle w:val="13"/>
            </w:pPr>
            <w:r>
              <w:t>设施齐全，正常运转</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租赁合同签订时效</w:t>
            </w:r>
          </w:p>
        </w:tc>
        <w:tc>
          <w:tcPr>
            <w:tcW w:w="2835" w:type="dxa"/>
            <w:vAlign w:val="center"/>
          </w:tcPr>
          <w:p>
            <w:pPr>
              <w:pStyle w:val="13"/>
            </w:pPr>
            <w:r>
              <w:t>办公用房租赁合同签订时效性</w:t>
            </w:r>
          </w:p>
        </w:tc>
        <w:tc>
          <w:tcPr>
            <w:tcW w:w="2551" w:type="dxa"/>
            <w:vAlign w:val="center"/>
          </w:tcPr>
          <w:p>
            <w:pPr>
              <w:pStyle w:val="13"/>
            </w:pPr>
            <w:r>
              <w:t>在合同签订的日期内</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单位面积办公用房年度租赁费</w:t>
            </w:r>
          </w:p>
        </w:tc>
        <w:tc>
          <w:tcPr>
            <w:tcW w:w="2835" w:type="dxa"/>
            <w:vAlign w:val="center"/>
          </w:tcPr>
          <w:p>
            <w:pPr>
              <w:pStyle w:val="13"/>
            </w:pPr>
            <w:r>
              <w:t>每平方米办公用房年度租赁费</w:t>
            </w:r>
          </w:p>
        </w:tc>
        <w:tc>
          <w:tcPr>
            <w:tcW w:w="2551" w:type="dxa"/>
            <w:vAlign w:val="center"/>
          </w:tcPr>
          <w:p>
            <w:pPr>
              <w:pStyle w:val="13"/>
            </w:pPr>
            <w:r>
              <w:t>≤0.05万元/平方米</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保障办公人数</w:t>
            </w:r>
          </w:p>
        </w:tc>
        <w:tc>
          <w:tcPr>
            <w:tcW w:w="2835" w:type="dxa"/>
            <w:vAlign w:val="center"/>
          </w:tcPr>
          <w:p>
            <w:pPr>
              <w:pStyle w:val="13"/>
            </w:pPr>
            <w:r>
              <w:t>租赁办公用房保障办公需要的人数</w:t>
            </w:r>
          </w:p>
        </w:tc>
        <w:tc>
          <w:tcPr>
            <w:tcW w:w="2551" w:type="dxa"/>
            <w:vAlign w:val="center"/>
          </w:tcPr>
          <w:p>
            <w:pPr>
              <w:pStyle w:val="13"/>
            </w:pPr>
            <w:r>
              <w:t>≥50人</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办公用房使用人员满意程度</w:t>
            </w:r>
          </w:p>
        </w:tc>
        <w:tc>
          <w:tcPr>
            <w:tcW w:w="2551" w:type="dxa"/>
            <w:vAlign w:val="center"/>
          </w:tcPr>
          <w:p>
            <w:pPr>
              <w:pStyle w:val="13"/>
            </w:pPr>
            <w:r>
              <w:t>≥90%</w:t>
            </w:r>
          </w:p>
        </w:tc>
        <w:tc>
          <w:tcPr>
            <w:tcW w:w="2268" w:type="dxa"/>
            <w:vAlign w:val="center"/>
          </w:tcPr>
          <w:p>
            <w:pPr>
              <w:pStyle w:val="13"/>
            </w:pPr>
            <w:r>
              <w:t>相关政策文件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2、社区工作经费绩效目标表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1.主要用于做好社区经费保障工作，保障社区办公正常运转。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保障社区办公人数</w:t>
            </w:r>
          </w:p>
        </w:tc>
        <w:tc>
          <w:tcPr>
            <w:tcW w:w="2835" w:type="dxa"/>
            <w:vAlign w:val="center"/>
          </w:tcPr>
          <w:p>
            <w:pPr>
              <w:pStyle w:val="13"/>
            </w:pPr>
            <w:r>
              <w:t>保障社区办公人数</w:t>
            </w:r>
          </w:p>
        </w:tc>
        <w:tc>
          <w:tcPr>
            <w:tcW w:w="2551" w:type="dxa"/>
            <w:vAlign w:val="center"/>
          </w:tcPr>
          <w:p>
            <w:pPr>
              <w:pStyle w:val="13"/>
            </w:pPr>
            <w:r>
              <w:t>≥34人</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2835" w:type="dxa"/>
            <w:vAlign w:val="center"/>
          </w:tcPr>
          <w:p>
            <w:pPr>
              <w:pStyle w:val="13"/>
            </w:pPr>
            <w:r>
              <w:t>社区各项日常工作保障率</w:t>
            </w:r>
          </w:p>
        </w:tc>
        <w:tc>
          <w:tcPr>
            <w:tcW w:w="2551" w:type="dxa"/>
            <w:vAlign w:val="center"/>
          </w:tcPr>
          <w:p>
            <w:pPr>
              <w:pStyle w:val="13"/>
            </w:pPr>
            <w:r>
              <w:t>≥100%</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及时保障社区各项日常办公需要</w:t>
            </w:r>
          </w:p>
        </w:tc>
        <w:tc>
          <w:tcPr>
            <w:tcW w:w="2551" w:type="dxa"/>
            <w:vAlign w:val="center"/>
          </w:tcPr>
          <w:p>
            <w:pPr>
              <w:pStyle w:val="13"/>
            </w:pPr>
            <w:r>
              <w:t>及时保障</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2835" w:type="dxa"/>
            <w:vAlign w:val="center"/>
          </w:tcPr>
          <w:p>
            <w:pPr>
              <w:pStyle w:val="13"/>
            </w:pPr>
            <w:r>
              <w:t>办公费、水电费、交通费、会议费、工会经费、招待费及其他公用经费的支出</w:t>
            </w:r>
          </w:p>
        </w:tc>
        <w:tc>
          <w:tcPr>
            <w:tcW w:w="2551" w:type="dxa"/>
            <w:vAlign w:val="center"/>
          </w:tcPr>
          <w:p>
            <w:pPr>
              <w:pStyle w:val="13"/>
            </w:pPr>
            <w:r>
              <w:t>按统一规定执行</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维持单位正常运转</w:t>
            </w:r>
          </w:p>
        </w:tc>
        <w:tc>
          <w:tcPr>
            <w:tcW w:w="2835" w:type="dxa"/>
            <w:vAlign w:val="center"/>
          </w:tcPr>
          <w:p>
            <w:pPr>
              <w:pStyle w:val="13"/>
            </w:pPr>
            <w:r>
              <w:t>保障社区日常办公需要，维持单位正常运转</w:t>
            </w:r>
          </w:p>
        </w:tc>
        <w:tc>
          <w:tcPr>
            <w:tcW w:w="2551" w:type="dxa"/>
            <w:vAlign w:val="center"/>
          </w:tcPr>
          <w:p>
            <w:pPr>
              <w:pStyle w:val="13"/>
            </w:pPr>
            <w:r>
              <w:t>维持单位正常运转</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社区提供群众服务的满意程度</w:t>
            </w:r>
          </w:p>
        </w:tc>
        <w:tc>
          <w:tcPr>
            <w:tcW w:w="2551" w:type="dxa"/>
            <w:vAlign w:val="center"/>
          </w:tcPr>
          <w:p>
            <w:pPr>
              <w:pStyle w:val="13"/>
            </w:pPr>
            <w:r>
              <w:t>≥90%</w:t>
            </w:r>
          </w:p>
        </w:tc>
        <w:tc>
          <w:tcPr>
            <w:tcW w:w="2268" w:type="dxa"/>
            <w:vAlign w:val="center"/>
          </w:tcPr>
          <w:p>
            <w:pPr>
              <w:pStyle w:val="13"/>
            </w:pPr>
            <w:r>
              <w:t>相关政策文件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3、团组织阵地建设经费绩效目标表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1.主要用于做好团组织建设经费保障工作，保障办公正常运转。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2835" w:type="dxa"/>
            <w:vAlign w:val="center"/>
          </w:tcPr>
          <w:p>
            <w:pPr>
              <w:pStyle w:val="13"/>
            </w:pPr>
            <w:r>
              <w:t>保障团组织建设办公人数</w:t>
            </w:r>
          </w:p>
        </w:tc>
        <w:tc>
          <w:tcPr>
            <w:tcW w:w="2551" w:type="dxa"/>
            <w:vAlign w:val="center"/>
          </w:tcPr>
          <w:p>
            <w:pPr>
              <w:pStyle w:val="13"/>
            </w:pPr>
            <w:r>
              <w:t>≥2人</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2835" w:type="dxa"/>
            <w:vAlign w:val="center"/>
          </w:tcPr>
          <w:p>
            <w:pPr>
              <w:pStyle w:val="13"/>
            </w:pPr>
            <w:r>
              <w:t>各项团组织建设工作保障率</w:t>
            </w:r>
          </w:p>
        </w:tc>
        <w:tc>
          <w:tcPr>
            <w:tcW w:w="2551" w:type="dxa"/>
            <w:vAlign w:val="center"/>
          </w:tcPr>
          <w:p>
            <w:pPr>
              <w:pStyle w:val="13"/>
            </w:pPr>
            <w:r>
              <w:t>≥100%</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及时保障团组织建设各项日常办公需要</w:t>
            </w:r>
          </w:p>
        </w:tc>
        <w:tc>
          <w:tcPr>
            <w:tcW w:w="2551" w:type="dxa"/>
            <w:vAlign w:val="center"/>
          </w:tcPr>
          <w:p>
            <w:pPr>
              <w:pStyle w:val="13"/>
            </w:pPr>
            <w:r>
              <w:t>及时保障</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2835" w:type="dxa"/>
            <w:vAlign w:val="center"/>
          </w:tcPr>
          <w:p>
            <w:pPr>
              <w:pStyle w:val="13"/>
            </w:pPr>
            <w:r>
              <w:t>办公费、水电费、交通费、会议费、工会经费、招待费及其他公用经费的支出</w:t>
            </w:r>
          </w:p>
        </w:tc>
        <w:tc>
          <w:tcPr>
            <w:tcW w:w="2551" w:type="dxa"/>
            <w:vAlign w:val="center"/>
          </w:tcPr>
          <w:p>
            <w:pPr>
              <w:pStyle w:val="13"/>
            </w:pPr>
            <w:r>
              <w:t>按统一规定执行</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维持单位正常运转</w:t>
            </w:r>
          </w:p>
        </w:tc>
        <w:tc>
          <w:tcPr>
            <w:tcW w:w="2835" w:type="dxa"/>
            <w:vAlign w:val="center"/>
          </w:tcPr>
          <w:p>
            <w:pPr>
              <w:pStyle w:val="13"/>
            </w:pPr>
            <w:r>
              <w:t>保障团组织建设办公需要，维持单位正常运转</w:t>
            </w:r>
          </w:p>
        </w:tc>
        <w:tc>
          <w:tcPr>
            <w:tcW w:w="2551" w:type="dxa"/>
            <w:vAlign w:val="center"/>
          </w:tcPr>
          <w:p>
            <w:pPr>
              <w:pStyle w:val="13"/>
            </w:pPr>
            <w:r>
              <w:t>维持单位正常运转</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提供服务的满意程度</w:t>
            </w:r>
          </w:p>
        </w:tc>
        <w:tc>
          <w:tcPr>
            <w:tcW w:w="2551" w:type="dxa"/>
            <w:vAlign w:val="center"/>
          </w:tcPr>
          <w:p>
            <w:pPr>
              <w:pStyle w:val="13"/>
            </w:pPr>
            <w:r>
              <w:t>≥90%</w:t>
            </w:r>
          </w:p>
        </w:tc>
        <w:tc>
          <w:tcPr>
            <w:tcW w:w="2268" w:type="dxa"/>
            <w:vAlign w:val="center"/>
          </w:tcPr>
          <w:p>
            <w:pPr>
              <w:pStyle w:val="13"/>
            </w:pPr>
            <w:r>
              <w:t>相关政策文件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1.主要用于维护社会稳定，缓解信访压力。</w:t>
            </w:r>
          </w:p>
          <w:p>
            <w:pPr>
              <w:pStyle w:val="13"/>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信访案件受理数</w:t>
            </w:r>
          </w:p>
        </w:tc>
        <w:tc>
          <w:tcPr>
            <w:tcW w:w="2835" w:type="dxa"/>
            <w:vAlign w:val="center"/>
          </w:tcPr>
          <w:p>
            <w:pPr>
              <w:pStyle w:val="13"/>
            </w:pPr>
            <w:r>
              <w:t>全年受理信访案件的数量</w:t>
            </w:r>
          </w:p>
        </w:tc>
        <w:tc>
          <w:tcPr>
            <w:tcW w:w="2551" w:type="dxa"/>
            <w:vAlign w:val="center"/>
          </w:tcPr>
          <w:p>
            <w:pPr>
              <w:pStyle w:val="13"/>
            </w:pPr>
            <w:r>
              <w:t>≥50个</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信访案件的受理率</w:t>
            </w:r>
          </w:p>
        </w:tc>
        <w:tc>
          <w:tcPr>
            <w:tcW w:w="2835" w:type="dxa"/>
            <w:vAlign w:val="center"/>
          </w:tcPr>
          <w:p>
            <w:pPr>
              <w:pStyle w:val="13"/>
            </w:pPr>
            <w:r>
              <w:t>受理的信访案件占全部案件的比例</w:t>
            </w:r>
          </w:p>
        </w:tc>
        <w:tc>
          <w:tcPr>
            <w:tcW w:w="2551" w:type="dxa"/>
            <w:vAlign w:val="center"/>
          </w:tcPr>
          <w:p>
            <w:pPr>
              <w:pStyle w:val="13"/>
            </w:pPr>
            <w:r>
              <w:t>≥100%</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及时保障处理维稳案件需要</w:t>
            </w:r>
          </w:p>
        </w:tc>
        <w:tc>
          <w:tcPr>
            <w:tcW w:w="2551" w:type="dxa"/>
            <w:vAlign w:val="center"/>
          </w:tcPr>
          <w:p>
            <w:pPr>
              <w:pStyle w:val="13"/>
            </w:pPr>
            <w:r>
              <w:t>及时保障</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维稳经费支出</w:t>
            </w:r>
          </w:p>
        </w:tc>
        <w:tc>
          <w:tcPr>
            <w:tcW w:w="2835" w:type="dxa"/>
            <w:vAlign w:val="center"/>
          </w:tcPr>
          <w:p>
            <w:pPr>
              <w:pStyle w:val="13"/>
            </w:pPr>
            <w:r>
              <w:t>办公费及其他公用经费的支出</w:t>
            </w:r>
          </w:p>
        </w:tc>
        <w:tc>
          <w:tcPr>
            <w:tcW w:w="2551" w:type="dxa"/>
            <w:vAlign w:val="center"/>
          </w:tcPr>
          <w:p>
            <w:pPr>
              <w:pStyle w:val="13"/>
            </w:pPr>
            <w:r>
              <w:t>按统一规定执行</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信访案件按期答复率</w:t>
            </w:r>
          </w:p>
        </w:tc>
        <w:tc>
          <w:tcPr>
            <w:tcW w:w="2835" w:type="dxa"/>
            <w:vAlign w:val="center"/>
          </w:tcPr>
          <w:p>
            <w:pPr>
              <w:pStyle w:val="13"/>
            </w:pPr>
            <w:r>
              <w:t>按期答复的信访案件占总案件的比例</w:t>
            </w:r>
          </w:p>
        </w:tc>
        <w:tc>
          <w:tcPr>
            <w:tcW w:w="2551" w:type="dxa"/>
            <w:vAlign w:val="center"/>
          </w:tcPr>
          <w:p>
            <w:pPr>
              <w:pStyle w:val="13"/>
            </w:pPr>
            <w:r>
              <w:t>≥100%</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服务对象对工作的满意程度</w:t>
            </w:r>
          </w:p>
        </w:tc>
        <w:tc>
          <w:tcPr>
            <w:tcW w:w="2835" w:type="dxa"/>
            <w:vAlign w:val="center"/>
          </w:tcPr>
          <w:p>
            <w:pPr>
              <w:pStyle w:val="13"/>
            </w:pPr>
            <w:r>
              <w:t>服务对象对工作的满意程度</w:t>
            </w:r>
          </w:p>
        </w:tc>
        <w:tc>
          <w:tcPr>
            <w:tcW w:w="2551" w:type="dxa"/>
            <w:vAlign w:val="center"/>
          </w:tcPr>
          <w:p>
            <w:pPr>
              <w:pStyle w:val="13"/>
            </w:pPr>
            <w:r>
              <w:t>≥90%</w:t>
            </w:r>
          </w:p>
        </w:tc>
        <w:tc>
          <w:tcPr>
            <w:tcW w:w="2268" w:type="dxa"/>
            <w:vAlign w:val="center"/>
          </w:tcPr>
          <w:p>
            <w:pPr>
              <w:pStyle w:val="13"/>
            </w:pPr>
            <w:r>
              <w:t>相关政策文件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5、武装工作经费绩效目标表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1.主要用于保障武装部征兵工作及民兵训练的正常开展。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2835" w:type="dxa"/>
            <w:vAlign w:val="center"/>
          </w:tcPr>
          <w:p>
            <w:pPr>
              <w:pStyle w:val="13"/>
            </w:pPr>
            <w:r>
              <w:t>保障武装工作办公人数</w:t>
            </w:r>
          </w:p>
        </w:tc>
        <w:tc>
          <w:tcPr>
            <w:tcW w:w="2551" w:type="dxa"/>
            <w:vAlign w:val="center"/>
          </w:tcPr>
          <w:p>
            <w:pPr>
              <w:pStyle w:val="13"/>
            </w:pPr>
            <w:r>
              <w:t>≥40人</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2835" w:type="dxa"/>
            <w:vAlign w:val="center"/>
          </w:tcPr>
          <w:p>
            <w:pPr>
              <w:pStyle w:val="13"/>
            </w:pPr>
            <w:r>
              <w:t>各项武装工作保障率</w:t>
            </w:r>
          </w:p>
        </w:tc>
        <w:tc>
          <w:tcPr>
            <w:tcW w:w="2551" w:type="dxa"/>
            <w:vAlign w:val="center"/>
          </w:tcPr>
          <w:p>
            <w:pPr>
              <w:pStyle w:val="13"/>
            </w:pPr>
            <w:r>
              <w:t>≥100%</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及时保障各项武装工作需要</w:t>
            </w:r>
          </w:p>
        </w:tc>
        <w:tc>
          <w:tcPr>
            <w:tcW w:w="2551" w:type="dxa"/>
            <w:vAlign w:val="center"/>
          </w:tcPr>
          <w:p>
            <w:pPr>
              <w:pStyle w:val="13"/>
            </w:pPr>
            <w:r>
              <w:t>及时保障</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2835" w:type="dxa"/>
            <w:vAlign w:val="center"/>
          </w:tcPr>
          <w:p>
            <w:pPr>
              <w:pStyle w:val="13"/>
            </w:pPr>
            <w:r>
              <w:t>办公费、水电费、交通费、会议费、工会经费、招待费及其他公用经费的支出</w:t>
            </w:r>
          </w:p>
        </w:tc>
        <w:tc>
          <w:tcPr>
            <w:tcW w:w="2551" w:type="dxa"/>
            <w:vAlign w:val="center"/>
          </w:tcPr>
          <w:p>
            <w:pPr>
              <w:pStyle w:val="13"/>
            </w:pPr>
            <w:r>
              <w:t>按统一规定执行</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维持单位正常运转</w:t>
            </w:r>
          </w:p>
        </w:tc>
        <w:tc>
          <w:tcPr>
            <w:tcW w:w="2835" w:type="dxa"/>
            <w:vAlign w:val="center"/>
          </w:tcPr>
          <w:p>
            <w:pPr>
              <w:pStyle w:val="13"/>
            </w:pPr>
            <w:r>
              <w:t>保障武装工作需要，维持单位正常运转</w:t>
            </w:r>
          </w:p>
        </w:tc>
        <w:tc>
          <w:tcPr>
            <w:tcW w:w="2551" w:type="dxa"/>
            <w:vAlign w:val="center"/>
          </w:tcPr>
          <w:p>
            <w:pPr>
              <w:pStyle w:val="13"/>
            </w:pPr>
            <w:r>
              <w:t>维持单位正常运转</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提供服务的满意程度</w:t>
            </w:r>
          </w:p>
        </w:tc>
        <w:tc>
          <w:tcPr>
            <w:tcW w:w="2551" w:type="dxa"/>
            <w:vAlign w:val="center"/>
          </w:tcPr>
          <w:p>
            <w:pPr>
              <w:pStyle w:val="13"/>
            </w:pPr>
            <w:r>
              <w:t>≥90%</w:t>
            </w:r>
          </w:p>
        </w:tc>
        <w:tc>
          <w:tcPr>
            <w:tcW w:w="2268" w:type="dxa"/>
            <w:vAlign w:val="center"/>
          </w:tcPr>
          <w:p>
            <w:pPr>
              <w:pStyle w:val="13"/>
            </w:pPr>
            <w:r>
              <w:t>相关政策文件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6、综合事务专项经费绩效目标表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1.主要用于做好经费保障工作，保障办公正常运转。</w:t>
            </w:r>
          </w:p>
          <w:p>
            <w:pPr>
              <w:pStyle w:val="13"/>
            </w:pPr>
            <w:r>
              <w:t>2.保障武装部征兵工作及民兵训练的正常开展。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2835" w:type="dxa"/>
            <w:vAlign w:val="center"/>
          </w:tcPr>
          <w:p>
            <w:pPr>
              <w:pStyle w:val="13"/>
            </w:pPr>
            <w:r>
              <w:t>保障办公人数</w:t>
            </w:r>
          </w:p>
        </w:tc>
        <w:tc>
          <w:tcPr>
            <w:tcW w:w="2551" w:type="dxa"/>
            <w:vAlign w:val="center"/>
          </w:tcPr>
          <w:p>
            <w:pPr>
              <w:pStyle w:val="13"/>
            </w:pPr>
            <w:r>
              <w:t>≥40人</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2835" w:type="dxa"/>
            <w:vAlign w:val="center"/>
          </w:tcPr>
          <w:p>
            <w:pPr>
              <w:pStyle w:val="13"/>
            </w:pPr>
            <w:r>
              <w:t>各项日常工作保障率</w:t>
            </w:r>
          </w:p>
        </w:tc>
        <w:tc>
          <w:tcPr>
            <w:tcW w:w="2551" w:type="dxa"/>
            <w:vAlign w:val="center"/>
          </w:tcPr>
          <w:p>
            <w:pPr>
              <w:pStyle w:val="13"/>
            </w:pPr>
            <w:r>
              <w:t>≥100%</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及时保障各项日常办公需要</w:t>
            </w:r>
          </w:p>
        </w:tc>
        <w:tc>
          <w:tcPr>
            <w:tcW w:w="2551" w:type="dxa"/>
            <w:vAlign w:val="center"/>
          </w:tcPr>
          <w:p>
            <w:pPr>
              <w:pStyle w:val="13"/>
            </w:pPr>
            <w:r>
              <w:t>及时保障</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2835" w:type="dxa"/>
            <w:vAlign w:val="center"/>
          </w:tcPr>
          <w:p>
            <w:pPr>
              <w:pStyle w:val="13"/>
            </w:pPr>
            <w:r>
              <w:t>办公费、水电费、交通费、会议费、工会经费、招待费及其他公用经费的支出</w:t>
            </w:r>
          </w:p>
        </w:tc>
        <w:tc>
          <w:tcPr>
            <w:tcW w:w="2551" w:type="dxa"/>
            <w:vAlign w:val="center"/>
          </w:tcPr>
          <w:p>
            <w:pPr>
              <w:pStyle w:val="13"/>
            </w:pPr>
            <w:r>
              <w:t>按统一规定执行</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维持单位正常运转</w:t>
            </w:r>
          </w:p>
        </w:tc>
        <w:tc>
          <w:tcPr>
            <w:tcW w:w="2835" w:type="dxa"/>
            <w:vAlign w:val="center"/>
          </w:tcPr>
          <w:p>
            <w:pPr>
              <w:pStyle w:val="13"/>
            </w:pPr>
            <w:r>
              <w:t>保障日常办公需要，维持单位正常运转</w:t>
            </w:r>
          </w:p>
        </w:tc>
        <w:tc>
          <w:tcPr>
            <w:tcW w:w="2551" w:type="dxa"/>
            <w:vAlign w:val="center"/>
          </w:tcPr>
          <w:p>
            <w:pPr>
              <w:pStyle w:val="13"/>
            </w:pPr>
            <w:r>
              <w:t>维持单位正常运转</w:t>
            </w:r>
          </w:p>
        </w:tc>
        <w:tc>
          <w:tcPr>
            <w:tcW w:w="2268"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提供服务的满意程度</w:t>
            </w:r>
          </w:p>
        </w:tc>
        <w:tc>
          <w:tcPr>
            <w:tcW w:w="2551" w:type="dxa"/>
            <w:vAlign w:val="center"/>
          </w:tcPr>
          <w:p>
            <w:pPr>
              <w:pStyle w:val="13"/>
            </w:pPr>
            <w:r>
              <w:t>≥90%</w:t>
            </w:r>
          </w:p>
        </w:tc>
        <w:tc>
          <w:tcPr>
            <w:tcW w:w="2268" w:type="dxa"/>
            <w:vAlign w:val="center"/>
          </w:tcPr>
          <w:p>
            <w:pPr>
              <w:pStyle w:val="13"/>
            </w:pPr>
            <w:r>
              <w:t>相关政策文件</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2022年，石家庄市桥西区长兴街道办事处本级安排政府采购预算</w:t>
      </w:r>
      <w:r>
        <w:rPr>
          <w:rFonts w:hint="eastAsia" w:eastAsia="方正仿宋_GBK"/>
          <w:color w:val="000000"/>
          <w:sz w:val="28"/>
          <w:lang w:val="en-US" w:eastAsia="zh-CN"/>
        </w:rPr>
        <w:t>2.84</w:t>
      </w:r>
      <w:r>
        <w:rPr>
          <w:rFonts w:eastAsia="方正仿宋_GBK"/>
          <w:color w:val="000000"/>
          <w:sz w:val="28"/>
        </w:rPr>
        <w:t>万元</w:t>
      </w:r>
      <w:r>
        <w:rPr>
          <w:rFonts w:hint="eastAsia" w:eastAsia="方正仿宋_GBK"/>
          <w:color w:val="000000"/>
          <w:sz w:val="28"/>
          <w:lang w:eastAsia="zh-CN"/>
        </w:rPr>
        <w:t>，其中货物</w:t>
      </w:r>
      <w:r>
        <w:rPr>
          <w:rFonts w:hint="eastAsia" w:eastAsia="方正仿宋_GBK"/>
          <w:color w:val="000000"/>
          <w:sz w:val="28"/>
          <w:lang w:val="en-US" w:eastAsia="zh-CN"/>
        </w:rPr>
        <w:t>2.84</w:t>
      </w:r>
      <w:r>
        <w:rPr>
          <w:rFonts w:eastAsia="方正仿宋_GBK"/>
          <w:color w:val="000000"/>
          <w:sz w:val="28"/>
        </w:rPr>
        <w:t>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81"/>
        <w:gridCol w:w="707"/>
        <w:gridCol w:w="1436"/>
        <w:gridCol w:w="1209"/>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rPr>
                <w:rFonts w:hint="eastAsia"/>
                <w:lang w:eastAsia="zh-CN"/>
              </w:rPr>
              <w:t>514001</w:t>
            </w:r>
            <w:r>
              <w:t>石家庄市桥西区长兴街道办事处本级</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288" w:type="dxa"/>
            <w:gridSpan w:val="2"/>
            <w:vAlign w:val="center"/>
          </w:tcPr>
          <w:p>
            <w:pPr>
              <w:pStyle w:val="11"/>
            </w:pPr>
            <w:r>
              <w:t>政府采购项目来源</w:t>
            </w:r>
          </w:p>
        </w:tc>
        <w:tc>
          <w:tcPr>
            <w:tcW w:w="1436" w:type="dxa"/>
            <w:vMerge w:val="restart"/>
            <w:vAlign w:val="center"/>
          </w:tcPr>
          <w:p>
            <w:pPr>
              <w:pStyle w:val="11"/>
            </w:pPr>
            <w:r>
              <w:t>采购物品名称</w:t>
            </w:r>
          </w:p>
        </w:tc>
        <w:tc>
          <w:tcPr>
            <w:tcW w:w="1209"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政府采购金额（当年单位预算安排资金）</w:t>
            </w:r>
          </w:p>
        </w:tc>
        <w:tc>
          <w:tcPr>
            <w:tcW w:w="96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581" w:type="dxa"/>
            <w:vAlign w:val="center"/>
          </w:tcPr>
          <w:p>
            <w:pPr>
              <w:pStyle w:val="11"/>
            </w:pPr>
            <w:r>
              <w:t>项目名称</w:t>
            </w:r>
          </w:p>
        </w:tc>
        <w:tc>
          <w:tcPr>
            <w:tcW w:w="707" w:type="dxa"/>
            <w:vAlign w:val="center"/>
          </w:tcPr>
          <w:p>
            <w:pPr>
              <w:pStyle w:val="11"/>
            </w:pPr>
            <w:r>
              <w:t>预算    资金</w:t>
            </w:r>
          </w:p>
        </w:tc>
        <w:tc>
          <w:tcPr>
            <w:tcW w:w="1436" w:type="dxa"/>
            <w:vMerge w:val="continue"/>
          </w:tcPr>
          <w:p/>
        </w:tc>
        <w:tc>
          <w:tcPr>
            <w:tcW w:w="1209"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81"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社区工作经费</w:t>
            </w:r>
          </w:p>
        </w:tc>
        <w:tc>
          <w:tcPr>
            <w:tcW w:w="707" w:type="dxa"/>
            <w:vAlign w:val="center"/>
          </w:tcPr>
          <w:p>
            <w:pPr>
              <w:keepNext w:val="0"/>
              <w:keepLines w:val="0"/>
              <w:widowControl/>
              <w:suppressLineNumbers w:val="0"/>
              <w:jc w:val="right"/>
              <w:textAlignment w:val="center"/>
              <w:rPr>
                <w:rFonts w:hint="default"/>
                <w:lang w:val="en-US"/>
              </w:rPr>
            </w:pPr>
            <w:r>
              <w:rPr>
                <w:rFonts w:hint="eastAsia" w:ascii="宋体" w:hAnsi="宋体" w:eastAsia="宋体" w:cs="宋体"/>
                <w:i w:val="0"/>
                <w:iCs w:val="0"/>
                <w:color w:val="000000"/>
                <w:kern w:val="0"/>
                <w:sz w:val="22"/>
                <w:szCs w:val="22"/>
                <w:u w:val="none"/>
                <w:lang w:val="en-US" w:eastAsia="zh-CN" w:bidi="ar"/>
              </w:rPr>
              <w:t>70</w:t>
            </w:r>
          </w:p>
        </w:tc>
        <w:tc>
          <w:tcPr>
            <w:tcW w:w="1436"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台式计算机</w:t>
            </w:r>
          </w:p>
        </w:tc>
        <w:tc>
          <w:tcPr>
            <w:tcW w:w="1209"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A02010104</w:t>
            </w:r>
          </w:p>
        </w:tc>
        <w:tc>
          <w:tcPr>
            <w:tcW w:w="709"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台</w:t>
            </w:r>
          </w:p>
        </w:tc>
        <w:tc>
          <w:tcPr>
            <w:tcW w:w="850" w:type="dxa"/>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4</w:t>
            </w:r>
          </w:p>
        </w:tc>
        <w:tc>
          <w:tcPr>
            <w:tcW w:w="850" w:type="dxa"/>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0.4</w:t>
            </w:r>
          </w:p>
        </w:tc>
        <w:tc>
          <w:tcPr>
            <w:tcW w:w="964" w:type="dxa"/>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1.6</w:t>
            </w:r>
          </w:p>
        </w:tc>
        <w:tc>
          <w:tcPr>
            <w:tcW w:w="964" w:type="dxa"/>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81"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社区工作经费</w:t>
            </w:r>
          </w:p>
        </w:tc>
        <w:tc>
          <w:tcPr>
            <w:tcW w:w="707" w:type="dxa"/>
            <w:vAlign w:val="center"/>
          </w:tcPr>
          <w:p>
            <w:pPr>
              <w:keepNext w:val="0"/>
              <w:keepLines w:val="0"/>
              <w:widowControl/>
              <w:suppressLineNumbers w:val="0"/>
              <w:jc w:val="right"/>
              <w:textAlignment w:val="center"/>
              <w:rPr>
                <w:rFonts w:hint="default"/>
                <w:lang w:val="en-US"/>
              </w:rPr>
            </w:pPr>
            <w:r>
              <w:rPr>
                <w:rFonts w:hint="eastAsia" w:ascii="宋体" w:hAnsi="宋体" w:eastAsia="宋体" w:cs="宋体"/>
                <w:i w:val="0"/>
                <w:iCs w:val="0"/>
                <w:color w:val="000000"/>
                <w:kern w:val="0"/>
                <w:sz w:val="22"/>
                <w:szCs w:val="22"/>
                <w:u w:val="none"/>
                <w:lang w:val="en-US" w:eastAsia="zh-CN" w:bidi="ar"/>
              </w:rPr>
              <w:t>70</w:t>
            </w:r>
          </w:p>
        </w:tc>
        <w:tc>
          <w:tcPr>
            <w:tcW w:w="1436"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速印机</w:t>
            </w:r>
          </w:p>
        </w:tc>
        <w:tc>
          <w:tcPr>
            <w:tcW w:w="1209"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A02021001</w:t>
            </w:r>
          </w:p>
        </w:tc>
        <w:tc>
          <w:tcPr>
            <w:tcW w:w="709"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台</w:t>
            </w:r>
          </w:p>
        </w:tc>
        <w:tc>
          <w:tcPr>
            <w:tcW w:w="850" w:type="dxa"/>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4</w:t>
            </w:r>
          </w:p>
        </w:tc>
        <w:tc>
          <w:tcPr>
            <w:tcW w:w="850" w:type="dxa"/>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0.16</w:t>
            </w:r>
          </w:p>
        </w:tc>
        <w:tc>
          <w:tcPr>
            <w:tcW w:w="964" w:type="dxa"/>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0.64</w:t>
            </w:r>
          </w:p>
        </w:tc>
        <w:tc>
          <w:tcPr>
            <w:tcW w:w="964" w:type="dxa"/>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0.64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81"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社区工作经费</w:t>
            </w:r>
          </w:p>
        </w:tc>
        <w:tc>
          <w:tcPr>
            <w:tcW w:w="707" w:type="dxa"/>
            <w:vAlign w:val="center"/>
          </w:tcPr>
          <w:p>
            <w:pPr>
              <w:keepNext w:val="0"/>
              <w:keepLines w:val="0"/>
              <w:widowControl/>
              <w:suppressLineNumbers w:val="0"/>
              <w:jc w:val="right"/>
              <w:textAlignment w:val="center"/>
              <w:rPr>
                <w:rFonts w:hint="default"/>
                <w:lang w:val="en-US"/>
              </w:rPr>
            </w:pPr>
            <w:r>
              <w:rPr>
                <w:rFonts w:hint="eastAsia" w:ascii="宋体" w:hAnsi="宋体" w:eastAsia="宋体" w:cs="宋体"/>
                <w:i w:val="0"/>
                <w:iCs w:val="0"/>
                <w:color w:val="000000"/>
                <w:kern w:val="0"/>
                <w:sz w:val="22"/>
                <w:szCs w:val="22"/>
                <w:u w:val="none"/>
                <w:lang w:val="en-US" w:eastAsia="zh-CN" w:bidi="ar"/>
              </w:rPr>
              <w:t>70</w:t>
            </w:r>
          </w:p>
        </w:tc>
        <w:tc>
          <w:tcPr>
            <w:tcW w:w="1436"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木制台、桌类</w:t>
            </w:r>
          </w:p>
        </w:tc>
        <w:tc>
          <w:tcPr>
            <w:tcW w:w="1209"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A060205</w:t>
            </w:r>
          </w:p>
        </w:tc>
        <w:tc>
          <w:tcPr>
            <w:tcW w:w="709"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张</w:t>
            </w:r>
          </w:p>
        </w:tc>
        <w:tc>
          <w:tcPr>
            <w:tcW w:w="850" w:type="dxa"/>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5</w:t>
            </w:r>
          </w:p>
        </w:tc>
        <w:tc>
          <w:tcPr>
            <w:tcW w:w="850" w:type="dxa"/>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0.12</w:t>
            </w:r>
          </w:p>
        </w:tc>
        <w:tc>
          <w:tcPr>
            <w:tcW w:w="964" w:type="dxa"/>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0.6</w:t>
            </w:r>
          </w:p>
        </w:tc>
        <w:tc>
          <w:tcPr>
            <w:tcW w:w="964" w:type="dxa"/>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0.6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石家庄市桥西区长兴街道办事处本级上年末固定资产金额为</w:t>
      </w:r>
      <w:r>
        <w:rPr>
          <w:rFonts w:hint="eastAsia" w:eastAsia="方正仿宋_GBK"/>
          <w:color w:val="000000"/>
          <w:sz w:val="28"/>
          <w:lang w:val="en-US" w:eastAsia="zh-CN"/>
        </w:rPr>
        <w:t>899.27</w:t>
      </w:r>
      <w:r>
        <w:rPr>
          <w:rFonts w:eastAsia="方正仿宋_GBK"/>
          <w:color w:val="000000"/>
          <w:sz w:val="28"/>
        </w:rPr>
        <w:t>万元（详见下表）。本年度拟购置固定资产总额为</w:t>
      </w:r>
      <w:r>
        <w:rPr>
          <w:rFonts w:hint="eastAsia" w:eastAsia="方正仿宋_GBK"/>
          <w:color w:val="000000"/>
          <w:sz w:val="28"/>
          <w:lang w:val="en-US" w:eastAsia="zh-CN"/>
        </w:rPr>
        <w:t>2.84</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514001石家庄市桥西区长兴街道办事处本级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jc w:val="center"/>
              <w:rPr>
                <w:rFonts w:ascii="宋体" w:hAnsi="宋体" w:eastAsia="宋体" w:cs="Times New Roman"/>
                <w:kern w:val="0"/>
                <w:sz w:val="22"/>
                <w:szCs w:val="22"/>
                <w:lang w:val="en-US" w:eastAsia="uk-UA" w:bidi="ar-SA"/>
              </w:rPr>
            </w:pPr>
            <w:r>
              <w:rPr>
                <w:rFonts w:hint="eastAsia" w:ascii="宋体" w:hAnsi="宋体"/>
                <w:sz w:val="22"/>
                <w:szCs w:val="22"/>
              </w:rPr>
              <w:t>资产总额</w:t>
            </w:r>
          </w:p>
        </w:tc>
        <w:tc>
          <w:tcPr>
            <w:tcW w:w="2835" w:type="dxa"/>
            <w:vAlign w:val="center"/>
          </w:tcPr>
          <w:p>
            <w:pPr>
              <w:jc w:val="center"/>
              <w:rPr>
                <w:rFonts w:ascii="Times New Roman" w:hAnsi="Times New Roman" w:eastAsia="宋体" w:cs="Times New Roman"/>
                <w:kern w:val="0"/>
                <w:sz w:val="22"/>
                <w:szCs w:val="22"/>
                <w:lang w:val="en-US" w:eastAsia="uk-UA" w:bidi="ar-SA"/>
              </w:rPr>
            </w:pPr>
            <w:r>
              <w:rPr>
                <w:sz w:val="22"/>
                <w:szCs w:val="22"/>
              </w:rPr>
              <w:t>——</w:t>
            </w:r>
          </w:p>
        </w:tc>
        <w:tc>
          <w:tcPr>
            <w:tcW w:w="2835" w:type="dxa"/>
            <w:vAlign w:val="center"/>
          </w:tcPr>
          <w:p>
            <w:pPr>
              <w:jc w:val="center"/>
              <w:rPr>
                <w:rFonts w:ascii="Times New Roman" w:hAnsi="Times New Roman" w:eastAsia="宋体" w:cs="Times New Roman"/>
                <w:kern w:val="0"/>
                <w:sz w:val="22"/>
                <w:szCs w:val="22"/>
                <w:lang w:val="en-US" w:eastAsia="uk-UA" w:bidi="ar-SA"/>
              </w:rPr>
            </w:pPr>
            <w:r>
              <w:rPr>
                <w:rFonts w:hint="eastAsia"/>
                <w:sz w:val="22"/>
                <w:szCs w:val="22"/>
              </w:rPr>
              <w:t>899.27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rPr>
                <w:rFonts w:ascii="宋体" w:hAnsi="宋体" w:eastAsia="宋体" w:cs="Times New Roman"/>
                <w:kern w:val="0"/>
                <w:sz w:val="22"/>
                <w:szCs w:val="22"/>
                <w:lang w:val="en-US" w:eastAsia="uk-UA" w:bidi="ar-SA"/>
              </w:rPr>
            </w:pPr>
            <w:r>
              <w:rPr>
                <w:rFonts w:hint="eastAsia" w:ascii="宋体" w:hAnsi="宋体"/>
                <w:sz w:val="22"/>
                <w:szCs w:val="22"/>
              </w:rPr>
              <w:t>1、房屋（平方米）</w:t>
            </w:r>
          </w:p>
        </w:tc>
        <w:tc>
          <w:tcPr>
            <w:tcW w:w="2835" w:type="dxa"/>
            <w:vAlign w:val="center"/>
          </w:tcPr>
          <w:p>
            <w:pPr>
              <w:widowControl w:val="0"/>
              <w:jc w:val="center"/>
              <w:rPr>
                <w:rFonts w:ascii="Times New Roman" w:hAnsi="Times New Roman" w:eastAsia="宋体" w:cs="Times New Roman"/>
                <w:kern w:val="2"/>
                <w:sz w:val="22"/>
                <w:szCs w:val="22"/>
                <w:lang w:val="en-US" w:eastAsia="uk-UA" w:bidi="ar-SA"/>
              </w:rPr>
            </w:pPr>
            <w:r>
              <w:rPr>
                <w:rFonts w:hint="eastAsia"/>
                <w:sz w:val="22"/>
                <w:szCs w:val="22"/>
              </w:rPr>
              <w:t>1125</w:t>
            </w:r>
          </w:p>
        </w:tc>
        <w:tc>
          <w:tcPr>
            <w:tcW w:w="2835" w:type="dxa"/>
            <w:vAlign w:val="center"/>
          </w:tcPr>
          <w:p>
            <w:pPr>
              <w:widowControl w:val="0"/>
              <w:jc w:val="center"/>
              <w:rPr>
                <w:rFonts w:hint="eastAsia" w:ascii="Times New Roman" w:hAnsi="Times New Roman" w:cs="Times New Roman" w:eastAsiaTheme="minorEastAsia"/>
                <w:kern w:val="0"/>
                <w:sz w:val="22"/>
                <w:szCs w:val="22"/>
                <w:lang w:val="en-US" w:eastAsia="zh-CN" w:bidi="ar-SA"/>
              </w:rPr>
            </w:pPr>
            <w:r>
              <w:rPr>
                <w:rFonts w:hint="eastAsia" w:asciiTheme="minorEastAsia" w:hAnsiTheme="minorEastAsia" w:eastAsiaTheme="minorEastAsia"/>
                <w:sz w:val="22"/>
                <w:szCs w:val="22"/>
                <w:lang w:eastAsia="zh-CN"/>
              </w:rPr>
              <w:t>620.28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rPr>
                <w:rFonts w:ascii="宋体" w:hAnsi="宋体" w:eastAsia="宋体" w:cs="Times New Roman"/>
                <w:kern w:val="0"/>
                <w:sz w:val="22"/>
                <w:szCs w:val="22"/>
                <w:lang w:val="en-US" w:eastAsia="uk-UA" w:bidi="ar-SA"/>
              </w:rPr>
            </w:pPr>
            <w:r>
              <w:rPr>
                <w:rFonts w:hint="eastAsia" w:ascii="宋体" w:hAnsi="宋体"/>
                <w:sz w:val="22"/>
                <w:szCs w:val="22"/>
              </w:rPr>
              <w:t xml:space="preserve">   其中：办公用房（平方米）</w:t>
            </w:r>
          </w:p>
        </w:tc>
        <w:tc>
          <w:tcPr>
            <w:tcW w:w="2835" w:type="dxa"/>
            <w:vAlign w:val="center"/>
          </w:tcPr>
          <w:p>
            <w:pPr>
              <w:widowControl w:val="0"/>
              <w:jc w:val="center"/>
              <w:rPr>
                <w:rFonts w:ascii="Times New Roman" w:hAnsi="Times New Roman" w:eastAsia="宋体" w:cs="Times New Roman"/>
                <w:kern w:val="2"/>
                <w:sz w:val="22"/>
                <w:szCs w:val="22"/>
                <w:lang w:val="en-US" w:eastAsia="uk-UA" w:bidi="ar-SA"/>
              </w:rPr>
            </w:pPr>
            <w:r>
              <w:rPr>
                <w:rFonts w:hint="eastAsia" w:eastAsia="宋体"/>
                <w:kern w:val="2"/>
                <w:sz w:val="22"/>
                <w:szCs w:val="22"/>
                <w:lang w:eastAsia="zh-CN"/>
              </w:rPr>
              <w:t>1125</w:t>
            </w:r>
          </w:p>
        </w:tc>
        <w:tc>
          <w:tcPr>
            <w:tcW w:w="2835" w:type="dxa"/>
            <w:vAlign w:val="center"/>
          </w:tcPr>
          <w:p>
            <w:pPr>
              <w:widowControl w:val="0"/>
              <w:jc w:val="center"/>
              <w:rPr>
                <w:rFonts w:ascii="Times New Roman" w:hAnsi="Times New Roman" w:eastAsia="宋体" w:cs="Times New Roman"/>
                <w:kern w:val="2"/>
                <w:sz w:val="22"/>
                <w:szCs w:val="22"/>
                <w:lang w:val="en-US" w:eastAsia="uk-UA" w:bidi="ar-SA"/>
              </w:rPr>
            </w:pPr>
            <w:r>
              <w:rPr>
                <w:rFonts w:hint="eastAsia" w:eastAsia="宋体"/>
                <w:kern w:val="2"/>
                <w:sz w:val="22"/>
                <w:szCs w:val="22"/>
                <w:lang w:eastAsia="zh-CN"/>
              </w:rPr>
              <w:t>620.28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rPr>
                <w:rFonts w:ascii="宋体" w:hAnsi="宋体" w:eastAsia="宋体" w:cs="Times New Roman"/>
                <w:kern w:val="0"/>
                <w:sz w:val="22"/>
                <w:szCs w:val="22"/>
                <w:lang w:val="en-US" w:eastAsia="uk-UA" w:bidi="ar-SA"/>
              </w:rPr>
            </w:pPr>
            <w:r>
              <w:rPr>
                <w:rFonts w:hint="eastAsia" w:ascii="宋体" w:hAnsi="宋体"/>
                <w:sz w:val="22"/>
                <w:szCs w:val="22"/>
              </w:rPr>
              <w:t>2、车辆（台、辆）</w:t>
            </w:r>
          </w:p>
        </w:tc>
        <w:tc>
          <w:tcPr>
            <w:tcW w:w="2835" w:type="dxa"/>
            <w:vAlign w:val="center"/>
          </w:tcPr>
          <w:p>
            <w:pPr>
              <w:widowControl w:val="0"/>
              <w:jc w:val="center"/>
              <w:rPr>
                <w:rFonts w:ascii="Times New Roman" w:hAnsi="Times New Roman" w:eastAsia="宋体" w:cs="Times New Roman"/>
                <w:kern w:val="2"/>
                <w:sz w:val="22"/>
                <w:szCs w:val="22"/>
                <w:lang w:val="en-US" w:eastAsia="uk-UA" w:bidi="ar-SA"/>
              </w:rPr>
            </w:pPr>
            <w:r>
              <w:rPr>
                <w:rFonts w:hint="eastAsia"/>
                <w:sz w:val="22"/>
                <w:szCs w:val="22"/>
              </w:rPr>
              <w:t>2</w:t>
            </w:r>
          </w:p>
        </w:tc>
        <w:tc>
          <w:tcPr>
            <w:tcW w:w="2835" w:type="dxa"/>
            <w:vAlign w:val="center"/>
          </w:tcPr>
          <w:p>
            <w:pPr>
              <w:widowControl w:val="0"/>
              <w:jc w:val="center"/>
              <w:rPr>
                <w:rFonts w:ascii="Times New Roman" w:hAnsi="Times New Roman" w:eastAsia="宋体" w:cs="Times New Roman"/>
                <w:kern w:val="2"/>
                <w:sz w:val="22"/>
                <w:szCs w:val="22"/>
                <w:lang w:val="en-US" w:eastAsia="uk-UA" w:bidi="ar-SA"/>
              </w:rPr>
            </w:pPr>
            <w:r>
              <w:rPr>
                <w:rFonts w:hint="eastAsia"/>
                <w:sz w:val="22"/>
                <w:szCs w:val="22"/>
              </w:rPr>
              <w:t>27.33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rPr>
                <w:rFonts w:ascii="宋体" w:hAnsi="宋体" w:eastAsia="宋体" w:cs="Times New Roman"/>
                <w:kern w:val="0"/>
                <w:sz w:val="22"/>
                <w:szCs w:val="22"/>
                <w:lang w:val="en-US" w:eastAsia="uk-UA" w:bidi="ar-SA"/>
              </w:rPr>
            </w:pPr>
            <w:r>
              <w:rPr>
                <w:rFonts w:hint="eastAsia" w:ascii="宋体" w:hAnsi="宋体"/>
                <w:sz w:val="22"/>
                <w:szCs w:val="22"/>
              </w:rPr>
              <w:t>3、单价在20万元以上的设备</w:t>
            </w:r>
          </w:p>
        </w:tc>
        <w:tc>
          <w:tcPr>
            <w:tcW w:w="2835" w:type="dxa"/>
            <w:vAlign w:val="center"/>
          </w:tcPr>
          <w:p>
            <w:pPr>
              <w:widowControl w:val="0"/>
              <w:jc w:val="center"/>
              <w:rPr>
                <w:rFonts w:ascii="Times New Roman" w:hAnsi="Times New Roman" w:eastAsia="宋体" w:cs="Times New Roman"/>
                <w:kern w:val="2"/>
                <w:sz w:val="22"/>
                <w:szCs w:val="22"/>
                <w:lang w:val="en-US" w:eastAsia="uk-UA" w:bidi="ar-SA"/>
              </w:rPr>
            </w:pPr>
          </w:p>
        </w:tc>
        <w:tc>
          <w:tcPr>
            <w:tcW w:w="2835" w:type="dxa"/>
            <w:vAlign w:val="center"/>
          </w:tcPr>
          <w:p>
            <w:pPr>
              <w:widowControl w:val="0"/>
              <w:jc w:val="center"/>
              <w:rPr>
                <w:rFonts w:ascii="Times New Roman" w:hAnsi="Times New Roman" w:eastAsia="宋体" w:cs="Times New Roman"/>
                <w:kern w:val="2"/>
                <w:sz w:val="22"/>
                <w:szCs w:val="22"/>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rPr>
                <w:rFonts w:ascii="宋体" w:hAnsi="宋体" w:eastAsia="宋体" w:cs="Times New Roman"/>
                <w:kern w:val="0"/>
                <w:sz w:val="22"/>
                <w:szCs w:val="22"/>
                <w:lang w:val="en-US" w:eastAsia="uk-UA" w:bidi="ar-SA"/>
              </w:rPr>
            </w:pPr>
            <w:r>
              <w:rPr>
                <w:rFonts w:hint="eastAsia" w:ascii="宋体" w:hAnsi="宋体"/>
                <w:sz w:val="22"/>
                <w:szCs w:val="22"/>
              </w:rPr>
              <w:t>4、其他固定资产</w:t>
            </w:r>
          </w:p>
        </w:tc>
        <w:tc>
          <w:tcPr>
            <w:tcW w:w="2835" w:type="dxa"/>
            <w:vAlign w:val="center"/>
          </w:tcPr>
          <w:p>
            <w:pPr>
              <w:widowControl w:val="0"/>
              <w:jc w:val="center"/>
              <w:rPr>
                <w:rFonts w:ascii="Times New Roman" w:hAnsi="Times New Roman" w:eastAsia="宋体" w:cs="Times New Roman"/>
                <w:kern w:val="2"/>
                <w:sz w:val="22"/>
                <w:szCs w:val="22"/>
                <w:lang w:val="en-US" w:eastAsia="uk-UA" w:bidi="ar-SA"/>
              </w:rPr>
            </w:pPr>
            <w:r>
              <w:rPr>
                <w:rFonts w:hint="eastAsia"/>
                <w:sz w:val="22"/>
                <w:szCs w:val="22"/>
              </w:rPr>
              <w:t>-------</w:t>
            </w:r>
          </w:p>
        </w:tc>
        <w:tc>
          <w:tcPr>
            <w:tcW w:w="2835" w:type="dxa"/>
            <w:vAlign w:val="center"/>
          </w:tcPr>
          <w:p>
            <w:pPr>
              <w:widowControl w:val="0"/>
              <w:jc w:val="center"/>
              <w:rPr>
                <w:rFonts w:ascii="Times New Roman" w:hAnsi="Times New Roman" w:eastAsia="宋体" w:cs="Times New Roman"/>
                <w:kern w:val="2"/>
                <w:sz w:val="22"/>
                <w:szCs w:val="22"/>
                <w:lang w:val="en-US" w:eastAsia="uk-UA" w:bidi="ar-SA"/>
              </w:rPr>
            </w:pPr>
            <w:r>
              <w:rPr>
                <w:rFonts w:hint="eastAsia" w:asciiTheme="minorEastAsia" w:hAnsiTheme="minorEastAsia" w:eastAsiaTheme="minorEastAsia"/>
                <w:sz w:val="22"/>
                <w:szCs w:val="22"/>
                <w:lang w:eastAsia="zh-CN"/>
              </w:rPr>
              <w:t>251.66</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ind w:firstLine="560" w:firstLineChars="200"/>
        <w:jc w:val="both"/>
        <w:textAlignment w:val="auto"/>
        <w:outlineLvl w:val="3"/>
        <w:rPr>
          <w:rFonts w:eastAsia="方正仿宋_GBK"/>
          <w:color w:val="000000"/>
          <w:sz w:val="28"/>
        </w:rPr>
      </w:pPr>
      <w:r>
        <w:rPr>
          <w:rFonts w:eastAsia="方正仿宋_GBK"/>
          <w:color w:val="000000"/>
          <w:sz w:val="28"/>
        </w:rPr>
        <w:t>我单位无其他需要说明的事项。</w:t>
      </w:r>
    </w:p>
    <w:p>
      <w:pPr>
        <w:keepNext w:val="0"/>
        <w:keepLines w:val="0"/>
        <w:pageBreakBefore w:val="0"/>
        <w:widowControl/>
        <w:kinsoku/>
        <w:wordWrap/>
        <w:overflowPunct/>
        <w:topLinePunct w:val="0"/>
        <w:autoSpaceDE/>
        <w:autoSpaceDN/>
        <w:bidi w:val="0"/>
        <w:adjustRightInd/>
        <w:snapToGrid/>
        <w:ind w:firstLine="560" w:firstLineChars="200"/>
        <w:jc w:val="both"/>
        <w:textAlignment w:val="auto"/>
        <w:outlineLvl w:val="3"/>
        <w:rPr>
          <w:rFonts w:hint="default" w:eastAsia="方正仿宋_GBK"/>
          <w:color w:val="000000"/>
          <w:sz w:val="28"/>
          <w:lang w:val="en-US" w:eastAsia="zh-CN"/>
        </w:rPr>
      </w:pPr>
      <w:r>
        <w:rPr>
          <w:rFonts w:hint="eastAsia" w:eastAsia="方正仿宋_GBK"/>
          <w:color w:val="000000"/>
          <w:sz w:val="28"/>
          <w:lang w:val="en-US" w:eastAsia="zh-CN"/>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8DE6DA2-A2BC-489D-B632-08CAF15B106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altName w:val="微软雅黑"/>
    <w:panose1 w:val="03000509000000000000"/>
    <w:charset w:val="86"/>
    <w:family w:val="roman"/>
    <w:pitch w:val="default"/>
    <w:sig w:usb0="00000000" w:usb1="00000000" w:usb2="00000000" w:usb3="00000000" w:csb0="00040000" w:csb1="00000000"/>
    <w:embedRegular r:id="rId2" w:fontKey="{48D8FDBE-A772-40B4-ABC9-CF1C9ED98113}"/>
  </w:font>
  <w:font w:name="方正小标宋_GBK">
    <w:panose1 w:val="02000000000000000000"/>
    <w:charset w:val="86"/>
    <w:family w:val="roman"/>
    <w:pitch w:val="default"/>
    <w:sig w:usb0="A00002BF" w:usb1="38CF7CFA" w:usb2="00082016" w:usb3="00000000" w:csb0="00040001" w:csb1="00000000"/>
    <w:embedRegular r:id="rId3" w:fontKey="{CE7B21A3-6AF8-46F8-BA75-ECD4A97B79FA}"/>
  </w:font>
  <w:font w:name="方正书宋_GBK">
    <w:altName w:val="宋体"/>
    <w:panose1 w:val="00000000000000000000"/>
    <w:charset w:val="86"/>
    <w:family w:val="roman"/>
    <w:pitch w:val="default"/>
    <w:sig w:usb0="00000000" w:usb1="00000000" w:usb2="00000000" w:usb3="00000000" w:csb0="00000000" w:csb1="00000000"/>
    <w:embedRegular r:id="rId4" w:fontKey="{4AEEF6AD-9861-4011-B9DE-305D52AABAD1}"/>
  </w:font>
  <w:font w:name="方正楷体_GBK">
    <w:altName w:val="宋体"/>
    <w:panose1 w:val="00000000000000000000"/>
    <w:charset w:val="86"/>
    <w:family w:val="roman"/>
    <w:pitch w:val="default"/>
    <w:sig w:usb0="00000000" w:usb1="00000000" w:usb2="00000000" w:usb3="00000000" w:csb0="00000000" w:csb1="00000000"/>
    <w:embedRegular r:id="rId5" w:fontKey="{C0416487-E980-41E1-8DE2-B5D02FC18C1D}"/>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3C09B8"/>
    <w:multiLevelType w:val="singleLevel"/>
    <w:tmpl w:val="D33C09B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zg2MWZlNTdmZmM4YThlNWZlOWU1MGEzMWZhYTMxMTgifQ=="/>
  </w:docVars>
  <w:rsids>
    <w:rsidRoot w:val="000C1B33"/>
    <w:rsid w:val="000C1B33"/>
    <w:rsid w:val="002A7C39"/>
    <w:rsid w:val="00360401"/>
    <w:rsid w:val="00D75DAB"/>
    <w:rsid w:val="00DA0725"/>
    <w:rsid w:val="00F05238"/>
    <w:rsid w:val="052079A9"/>
    <w:rsid w:val="1C57466E"/>
    <w:rsid w:val="249F0951"/>
    <w:rsid w:val="2B7C73D2"/>
    <w:rsid w:val="2F125E19"/>
    <w:rsid w:val="31714557"/>
    <w:rsid w:val="31D40375"/>
    <w:rsid w:val="31DE4F0B"/>
    <w:rsid w:val="404C36ED"/>
    <w:rsid w:val="55BA1F48"/>
    <w:rsid w:val="686C46C5"/>
    <w:rsid w:val="735208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kern w:val="0"/>
      <w:sz w:val="24"/>
      <w:szCs w:val="24"/>
      <w:lang w:val="en-US" w:eastAsia="uk-UA" w:bidi="ar-SA"/>
    </w:rPr>
  </w:style>
  <w:style w:type="character" w:default="1" w:styleId="6">
    <w:name w:val="Default Paragraph Font"/>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rPr>
      <w:rFonts w:ascii="Times New Roman" w:hAnsi="Times New Roman" w:cs="Times New Roman"/>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TOC 1"/>
    <w:basedOn w:val="1"/>
    <w:qFormat/>
    <w:uiPriority w:val="0"/>
    <w:pPr>
      <w:spacing w:before="120"/>
      <w:ind w:firstLine="560"/>
    </w:pPr>
    <w:rPr>
      <w:rFonts w:eastAsia="方正仿宋_GBK"/>
      <w:color w:val="000000"/>
      <w:sz w:val="28"/>
    </w:r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character" w:customStyle="1" w:styleId="33">
    <w:name w:val="页眉 Char"/>
    <w:basedOn w:val="6"/>
    <w:link w:val="3"/>
    <w:semiHidden/>
    <w:qFormat/>
    <w:uiPriority w:val="99"/>
    <w:rPr>
      <w:rFonts w:ascii="Times New Roman" w:hAnsi="Times New Roman" w:eastAsia="Times New Roman" w:cs="Times New Roman"/>
      <w:kern w:val="0"/>
      <w:sz w:val="18"/>
      <w:szCs w:val="18"/>
      <w:lang w:eastAsia="uk-UA"/>
    </w:rPr>
  </w:style>
  <w:style w:type="character" w:customStyle="1" w:styleId="34">
    <w:name w:val="页脚 Char"/>
    <w:basedOn w:val="6"/>
    <w:link w:val="2"/>
    <w:semiHidden/>
    <w:qFormat/>
    <w:uiPriority w:val="99"/>
    <w:rPr>
      <w:rFonts w:ascii="Times New Roman" w:hAnsi="Times New Roman" w:eastAsia="Times New Roman" w:cs="Times New Roman"/>
      <w:kern w:val="0"/>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25</Pages>
  <Words>7709</Words>
  <Characters>9406</Characters>
  <Lines>81</Lines>
  <Paragraphs>22</Paragraphs>
  <TotalTime>5</TotalTime>
  <ScaleCrop>false</ScaleCrop>
  <LinksUpToDate>false</LinksUpToDate>
  <CharactersWithSpaces>9550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2022-06-24T01:37:00Z</dcterms:created>
  <dc:creator>微软用户</dc:creator>
  <cp:lastModifiedBy>F芳</cp:lastModifiedBy>
  <dcterms:modified xsi:type="dcterms:W3CDTF">2024-01-18T04:12:50Z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F31C15238FAB4D078A9F6E28782BB8D7</vt:lpwstr>
  </property>
</Properties>
</file>