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center"/>
        <w:outlineLvl w:val="9"/>
      </w:pPr>
      <w:r>
        <w:rPr>
          <w:rFonts w:ascii="黑体" w:eastAsia="黑体" w:hAnsi="黑体" w:cs="黑体"/>
          <w:b/>
          <w:color w:val="000000"/>
          <w:sz w:val="30"/>
        </w:rPr>
        <w:t xml:space="preserve">第一部分  部门预算</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2</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4</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8</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20</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20</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20</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24</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25</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34</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34</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35</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36</w:t>
        </w:r>
        <w:r>
          <w:fldChar w:fldCharType="end"/>
        </w:r>
      </w:hyperlink>
    </w:p>
    <w:p>
      <w:pPr/>
      <w:r>
        <w:fldChar w:fldCharType="end"/>
      </w:r>
    </w:p>
    <w:p>
      <w:pPr>
        <w:spacing w:before="0" w:after="0" w:line="240"/>
        <w:ind w:firstLine="0"/>
        <w:jc w:val="center"/>
        <w:outlineLvl w:val="9"/>
      </w:pPr>
      <w:r>
        <w:rPr>
          <w:rFonts w:ascii="黑体" w:eastAsia="黑体" w:hAnsi="黑体" w:cs="黑体"/>
          <w:b/>
          <w:color w:val="000000"/>
          <w:sz w:val="30"/>
        </w:rPr>
        <w:t xml:space="preserve">第二部分  部门所属单位预算</w:t>
      </w:r>
    </w:p>
    <w:p>
      <w:pPr>
        <w:sectPr>
          <w:type w:val="nextPage"/>
          <w:pgSz w:w="16840" w:h="11900" w:orient="landscape"/>
          <w:pgMar w:top="1587" w:right="1134" w:bottom="1361" w:left="1134" w:header="720" w:footer="720" w:gutter="0"/>
          <w:pgBorders/>
          <w:pgNumType w:start="1"/>
        </w:sectPr>
      </w:pPr>
      <w:r>
        <w:fldChar w:fldCharType="begin"/>
      </w:r>
      <w:r>
        <w:instrText xml:space="preserve">TOC \o "4-4" \h \z \u</w:instrText>
      </w:r>
      <w:r>
        <w:fldChar w:fldCharType="separate"/>
      </w:r>
      <w:r>
        <w:t xml:space="preserve">No table of contents entries found</w:t>
      </w:r>
      <w:r>
        <w:fldChar w:fldCharType="end"/>
      </w:r>
    </w:p>
    <w:p>
      <w:pPr>
        <w:spacing w:before="0" w:after="0" w:line="240"/>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0"/>
        <w:sectPr>
          <w:footerReference w:type="even" r:id="rId1"/>
          <w:footerReference w:type="default" r:id="rId2"/>
          <w:type w:val="nextPage"/>
          <w:pgSz w:w="16840" w:h="11900" w:orient="landscape"/>
          <w:pgMar w:top="1361" w:right="1020" w:bottom="1134" w:left="1020" w:header="720" w:footer="720" w:gutter="0"/>
          <w:pgBorders/>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1974.80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1613.77</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281.66</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57.60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74.76</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1974.80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2029.79</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54.99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2029.79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2029.79</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2029.79</w:t>
            </w:r>
          </w:p>
        </w:tc>
        <w:tc>
          <w:tcPr>
            <w:tcW w:w="1134" w:type="dxa"/>
            <w:vAlign w:val="center"/>
          </w:tcPr>
          <w:p>
            <w:pPr>
              <w:pStyle w:val="单元格样式7"/>
            </w:pPr>
            <w:r>
              <w:t xml:space="preserve">1974.80</w:t>
            </w:r>
          </w:p>
        </w:tc>
        <w:tc>
          <w:tcPr>
            <w:tcW w:w="1134" w:type="dxa"/>
            <w:vAlign w:val="center"/>
          </w:tcPr>
          <w:p>
            <w:pPr>
              <w:pStyle w:val="单元格样式7"/>
            </w:pPr>
            <w:r>
              <w:t xml:space="preserve">1974.80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54.99</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1613.77</w:t>
            </w:r>
          </w:p>
        </w:tc>
        <w:tc>
          <w:tcPr>
            <w:tcW w:w="1134" w:type="dxa"/>
            <w:vAlign w:val="center"/>
          </w:tcPr>
          <w:p>
            <w:pPr>
              <w:pStyle w:val="单元格样式4"/>
            </w:pPr>
            <w:r>
              <w:t xml:space="preserve">1558.78</w:t>
            </w:r>
          </w:p>
        </w:tc>
        <w:tc>
          <w:tcPr>
            <w:tcW w:w="1134" w:type="dxa"/>
            <w:vAlign w:val="center"/>
          </w:tcPr>
          <w:p>
            <w:pPr>
              <w:pStyle w:val="单元格样式4"/>
            </w:pPr>
            <w:r>
              <w:t xml:space="preserve">1558.78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54.99</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1563.78</w:t>
            </w:r>
          </w:p>
        </w:tc>
        <w:tc>
          <w:tcPr>
            <w:tcW w:w="1134" w:type="dxa"/>
            <w:vAlign w:val="center"/>
          </w:tcPr>
          <w:p>
            <w:pPr>
              <w:pStyle w:val="单元格样式4"/>
            </w:pPr>
            <w:r>
              <w:t xml:space="preserve">1558.78</w:t>
            </w:r>
          </w:p>
        </w:tc>
        <w:tc>
          <w:tcPr>
            <w:tcW w:w="1134" w:type="dxa"/>
            <w:vAlign w:val="center"/>
          </w:tcPr>
          <w:p>
            <w:pPr>
              <w:pStyle w:val="单元格样式4"/>
            </w:pPr>
            <w:r>
              <w:t xml:space="preserve">1558.78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5.00</w:t>
            </w: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1366.32</w:t>
            </w:r>
          </w:p>
        </w:tc>
        <w:tc>
          <w:tcPr>
            <w:tcW w:w="1134" w:type="dxa"/>
            <w:vAlign w:val="center"/>
          </w:tcPr>
          <w:p>
            <w:pPr>
              <w:pStyle w:val="单元格样式4"/>
            </w:pPr>
            <w:r>
              <w:t xml:space="preserve">1366.32</w:t>
            </w:r>
          </w:p>
        </w:tc>
        <w:tc>
          <w:tcPr>
            <w:tcW w:w="1134" w:type="dxa"/>
            <w:vAlign w:val="center"/>
          </w:tcPr>
          <w:p>
            <w:pPr>
              <w:pStyle w:val="单元格样式4"/>
            </w:pPr>
            <w:r>
              <w:t xml:space="preserve">1366.32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2010305</w:t>
            </w:r>
          </w:p>
        </w:tc>
        <w:tc>
          <w:tcPr>
            <w:tcW w:w="1559" w:type="dxa"/>
            <w:vAlign w:val="center"/>
          </w:tcPr>
          <w:p>
            <w:pPr>
              <w:pStyle w:val="单元格样式2"/>
            </w:pPr>
            <w:r>
              <w:t xml:space="preserve">专项业务及机关事务管理</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5.00</w:t>
            </w: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192.45</w:t>
            </w:r>
          </w:p>
        </w:tc>
        <w:tc>
          <w:tcPr>
            <w:tcW w:w="1134" w:type="dxa"/>
            <w:vAlign w:val="center"/>
          </w:tcPr>
          <w:p>
            <w:pPr>
              <w:pStyle w:val="单元格样式4"/>
            </w:pPr>
            <w:r>
              <w:t xml:space="preserve">192.45</w:t>
            </w:r>
          </w:p>
        </w:tc>
        <w:tc>
          <w:tcPr>
            <w:tcW w:w="1134" w:type="dxa"/>
            <w:vAlign w:val="center"/>
          </w:tcPr>
          <w:p>
            <w:pPr>
              <w:pStyle w:val="单元格样式4"/>
            </w:pPr>
            <w:r>
              <w:t xml:space="preserve">192.45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20132</w:t>
            </w:r>
          </w:p>
        </w:tc>
        <w:tc>
          <w:tcPr>
            <w:tcW w:w="1559" w:type="dxa"/>
            <w:vAlign w:val="center"/>
          </w:tcPr>
          <w:p>
            <w:pPr>
              <w:pStyle w:val="单元格样式2"/>
            </w:pPr>
            <w:r>
              <w:t xml:space="preserve">组织事务</w:t>
            </w:r>
          </w:p>
        </w:tc>
        <w:tc>
          <w:tcPr>
            <w:tcW w:w="1134" w:type="dxa"/>
            <w:vAlign w:val="center"/>
          </w:tcPr>
          <w:p>
            <w:pPr>
              <w:pStyle w:val="单元格样式4"/>
            </w:pPr>
            <w:r>
              <w:t xml:space="preserve">49.99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49.99</w:t>
            </w: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2013299</w:t>
            </w:r>
          </w:p>
        </w:tc>
        <w:tc>
          <w:tcPr>
            <w:tcW w:w="1559" w:type="dxa"/>
            <w:vAlign w:val="center"/>
          </w:tcPr>
          <w:p>
            <w:pPr>
              <w:pStyle w:val="单元格样式2"/>
            </w:pPr>
            <w:r>
              <w:t xml:space="preserve">其他组织事务支出</w:t>
            </w:r>
          </w:p>
        </w:tc>
        <w:tc>
          <w:tcPr>
            <w:tcW w:w="1134" w:type="dxa"/>
            <w:vAlign w:val="center"/>
          </w:tcPr>
          <w:p>
            <w:pPr>
              <w:pStyle w:val="单元格样式4"/>
            </w:pPr>
            <w:r>
              <w:t xml:space="preserve">49.99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49.99</w:t>
            </w: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20605</w:t>
            </w:r>
          </w:p>
        </w:tc>
        <w:tc>
          <w:tcPr>
            <w:tcW w:w="1559" w:type="dxa"/>
            <w:vAlign w:val="center"/>
          </w:tcPr>
          <w:p>
            <w:pPr>
              <w:pStyle w:val="单元格样式2"/>
            </w:pPr>
            <w:r>
              <w:t xml:space="preserve">科技条件与服务</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2060502</w:t>
            </w:r>
          </w:p>
        </w:tc>
        <w:tc>
          <w:tcPr>
            <w:tcW w:w="1559" w:type="dxa"/>
            <w:vAlign w:val="center"/>
          </w:tcPr>
          <w:p>
            <w:pPr>
              <w:pStyle w:val="单元格样式2"/>
            </w:pPr>
            <w:r>
              <w:t xml:space="preserve">技术创新服务体系</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281.66</w:t>
            </w:r>
          </w:p>
        </w:tc>
        <w:tc>
          <w:tcPr>
            <w:tcW w:w="1134" w:type="dxa"/>
            <w:vAlign w:val="center"/>
          </w:tcPr>
          <w:p>
            <w:pPr>
              <w:pStyle w:val="单元格样式4"/>
            </w:pPr>
            <w:r>
              <w:t xml:space="preserve">281.66</w:t>
            </w:r>
          </w:p>
        </w:tc>
        <w:tc>
          <w:tcPr>
            <w:tcW w:w="1134" w:type="dxa"/>
            <w:vAlign w:val="center"/>
          </w:tcPr>
          <w:p>
            <w:pPr>
              <w:pStyle w:val="单元格样式4"/>
            </w:pPr>
            <w:r>
              <w:t xml:space="preserve">281.66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281.66</w:t>
            </w:r>
          </w:p>
        </w:tc>
        <w:tc>
          <w:tcPr>
            <w:tcW w:w="1134" w:type="dxa"/>
            <w:vAlign w:val="center"/>
          </w:tcPr>
          <w:p>
            <w:pPr>
              <w:pStyle w:val="单元格样式4"/>
            </w:pPr>
            <w:r>
              <w:t xml:space="preserve">281.66</w:t>
            </w:r>
          </w:p>
        </w:tc>
        <w:tc>
          <w:tcPr>
            <w:tcW w:w="1134" w:type="dxa"/>
            <w:vAlign w:val="center"/>
          </w:tcPr>
          <w:p>
            <w:pPr>
              <w:pStyle w:val="单元格样式4"/>
            </w:pPr>
            <w:r>
              <w:t xml:space="preserve">281.66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183.10</w:t>
            </w:r>
          </w:p>
        </w:tc>
        <w:tc>
          <w:tcPr>
            <w:tcW w:w="1134" w:type="dxa"/>
            <w:vAlign w:val="center"/>
          </w:tcPr>
          <w:p>
            <w:pPr>
              <w:pStyle w:val="单元格样式4"/>
            </w:pPr>
            <w:r>
              <w:t xml:space="preserve">183.10</w:t>
            </w:r>
          </w:p>
        </w:tc>
        <w:tc>
          <w:tcPr>
            <w:tcW w:w="1134" w:type="dxa"/>
            <w:vAlign w:val="center"/>
          </w:tcPr>
          <w:p>
            <w:pPr>
              <w:pStyle w:val="单元格样式4"/>
            </w:pPr>
            <w:r>
              <w:t xml:space="preserve">183.10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78.56</w:t>
            </w:r>
          </w:p>
        </w:tc>
        <w:tc>
          <w:tcPr>
            <w:tcW w:w="1134" w:type="dxa"/>
            <w:vAlign w:val="center"/>
          </w:tcPr>
          <w:p>
            <w:pPr>
              <w:pStyle w:val="单元格样式4"/>
            </w:pPr>
            <w:r>
              <w:t xml:space="preserve">78.56</w:t>
            </w:r>
          </w:p>
        </w:tc>
        <w:tc>
          <w:tcPr>
            <w:tcW w:w="1134" w:type="dxa"/>
            <w:vAlign w:val="center"/>
          </w:tcPr>
          <w:p>
            <w:pPr>
              <w:pStyle w:val="单元格样式4"/>
            </w:pPr>
            <w:r>
              <w:t xml:space="preserve">78.56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r>
              <w:t xml:space="preserve">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r>
              <w:t xml:space="preserve">57.60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r>
              <w:t xml:space="preserve">74.76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2029.79</w:t>
            </w:r>
          </w:p>
        </w:tc>
        <w:tc>
          <w:tcPr>
            <w:tcW w:w="1361" w:type="dxa"/>
            <w:vAlign w:val="center"/>
          </w:tcPr>
          <w:p>
            <w:pPr>
              <w:pStyle w:val="单元格样式7"/>
            </w:pPr>
            <w:r>
              <w:t xml:space="preserve">1780.34</w:t>
            </w:r>
          </w:p>
        </w:tc>
        <w:tc>
          <w:tcPr>
            <w:tcW w:w="1361" w:type="dxa"/>
            <w:vAlign w:val="center"/>
          </w:tcPr>
          <w:p>
            <w:pPr>
              <w:pStyle w:val="单元格样式7"/>
            </w:pPr>
            <w:r>
              <w:t xml:space="preserve">249.44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1613.77</w:t>
            </w:r>
          </w:p>
        </w:tc>
        <w:tc>
          <w:tcPr>
            <w:tcW w:w="1361" w:type="dxa"/>
            <w:vAlign w:val="center"/>
          </w:tcPr>
          <w:p>
            <w:pPr>
              <w:pStyle w:val="单元格样式4"/>
            </w:pPr>
            <w:r>
              <w:t xml:space="preserve">1366.32</w:t>
            </w:r>
          </w:p>
        </w:tc>
        <w:tc>
          <w:tcPr>
            <w:tcW w:w="1361" w:type="dxa"/>
            <w:vAlign w:val="center"/>
          </w:tcPr>
          <w:p>
            <w:pPr>
              <w:pStyle w:val="单元格样式4"/>
            </w:pPr>
            <w:r>
              <w:t xml:space="preserve">247.44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1563.78</w:t>
            </w:r>
          </w:p>
        </w:tc>
        <w:tc>
          <w:tcPr>
            <w:tcW w:w="1361" w:type="dxa"/>
            <w:vAlign w:val="center"/>
          </w:tcPr>
          <w:p>
            <w:pPr>
              <w:pStyle w:val="单元格样式4"/>
            </w:pPr>
            <w:r>
              <w:t xml:space="preserve">1366.32</w:t>
            </w:r>
          </w:p>
        </w:tc>
        <w:tc>
          <w:tcPr>
            <w:tcW w:w="1361" w:type="dxa"/>
            <w:vAlign w:val="center"/>
          </w:tcPr>
          <w:p>
            <w:pPr>
              <w:pStyle w:val="单元格样式4"/>
            </w:pPr>
            <w:r>
              <w:t xml:space="preserve">197.45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1366.32</w:t>
            </w:r>
          </w:p>
        </w:tc>
        <w:tc>
          <w:tcPr>
            <w:tcW w:w="1361" w:type="dxa"/>
            <w:vAlign w:val="center"/>
          </w:tcPr>
          <w:p>
            <w:pPr>
              <w:pStyle w:val="单元格样式4"/>
            </w:pPr>
            <w:r>
              <w:t xml:space="preserve">1366.32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2010305</w:t>
            </w:r>
          </w:p>
        </w:tc>
        <w:tc>
          <w:tcPr>
            <w:tcW w:w="4535" w:type="dxa"/>
            <w:vAlign w:val="center"/>
          </w:tcPr>
          <w:p>
            <w:pPr>
              <w:pStyle w:val="单元格样式2"/>
            </w:pPr>
            <w:r>
              <w:t xml:space="preserve">专项业务及机关事务管理</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192.45</w:t>
            </w:r>
          </w:p>
        </w:tc>
        <w:tc>
          <w:tcPr>
            <w:tcW w:w="1361" w:type="dxa"/>
            <w:vAlign w:val="center"/>
          </w:tcPr>
          <w:p>
            <w:pPr>
              <w:pStyle w:val="单元格样式4"/>
            </w:pPr>
          </w:p>
        </w:tc>
        <w:tc>
          <w:tcPr>
            <w:tcW w:w="1361" w:type="dxa"/>
            <w:vAlign w:val="center"/>
          </w:tcPr>
          <w:p>
            <w:pPr>
              <w:pStyle w:val="单元格样式4"/>
            </w:pPr>
            <w:r>
              <w:t xml:space="preserve">192.45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20132</w:t>
            </w:r>
          </w:p>
        </w:tc>
        <w:tc>
          <w:tcPr>
            <w:tcW w:w="4535" w:type="dxa"/>
            <w:vAlign w:val="center"/>
          </w:tcPr>
          <w:p>
            <w:pPr>
              <w:pStyle w:val="单元格样式2"/>
            </w:pPr>
            <w:r>
              <w:t xml:space="preserve">组织事务</w:t>
            </w:r>
          </w:p>
        </w:tc>
        <w:tc>
          <w:tcPr>
            <w:tcW w:w="1361" w:type="dxa"/>
            <w:vAlign w:val="center"/>
          </w:tcPr>
          <w:p>
            <w:pPr>
              <w:pStyle w:val="单元格样式4"/>
            </w:pPr>
            <w:r>
              <w:t xml:space="preserve">49.99</w:t>
            </w:r>
          </w:p>
        </w:tc>
        <w:tc>
          <w:tcPr>
            <w:tcW w:w="1361" w:type="dxa"/>
            <w:vAlign w:val="center"/>
          </w:tcPr>
          <w:p>
            <w:pPr>
              <w:pStyle w:val="单元格样式4"/>
            </w:pPr>
          </w:p>
        </w:tc>
        <w:tc>
          <w:tcPr>
            <w:tcW w:w="1361" w:type="dxa"/>
            <w:vAlign w:val="center"/>
          </w:tcPr>
          <w:p>
            <w:pPr>
              <w:pStyle w:val="单元格样式4"/>
            </w:pPr>
            <w:r>
              <w:t xml:space="preserve">49.99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2013299</w:t>
            </w:r>
          </w:p>
        </w:tc>
        <w:tc>
          <w:tcPr>
            <w:tcW w:w="4535" w:type="dxa"/>
            <w:vAlign w:val="center"/>
          </w:tcPr>
          <w:p>
            <w:pPr>
              <w:pStyle w:val="单元格样式2"/>
            </w:pPr>
            <w:r>
              <w:t xml:space="preserve">其他组织事务支出</w:t>
            </w:r>
          </w:p>
        </w:tc>
        <w:tc>
          <w:tcPr>
            <w:tcW w:w="1361" w:type="dxa"/>
            <w:vAlign w:val="center"/>
          </w:tcPr>
          <w:p>
            <w:pPr>
              <w:pStyle w:val="单元格样式4"/>
            </w:pPr>
            <w:r>
              <w:t xml:space="preserve">49.99</w:t>
            </w:r>
          </w:p>
        </w:tc>
        <w:tc>
          <w:tcPr>
            <w:tcW w:w="1361" w:type="dxa"/>
            <w:vAlign w:val="center"/>
          </w:tcPr>
          <w:p>
            <w:pPr>
              <w:pStyle w:val="单元格样式4"/>
            </w:pPr>
          </w:p>
        </w:tc>
        <w:tc>
          <w:tcPr>
            <w:tcW w:w="1361" w:type="dxa"/>
            <w:vAlign w:val="center"/>
          </w:tcPr>
          <w:p>
            <w:pPr>
              <w:pStyle w:val="单元格样式4"/>
            </w:pPr>
            <w:r>
              <w:t xml:space="preserve">49.99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20605</w:t>
            </w:r>
          </w:p>
        </w:tc>
        <w:tc>
          <w:tcPr>
            <w:tcW w:w="4535" w:type="dxa"/>
            <w:vAlign w:val="center"/>
          </w:tcPr>
          <w:p>
            <w:pPr>
              <w:pStyle w:val="单元格样式2"/>
            </w:pPr>
            <w:r>
              <w:t xml:space="preserve">科技条件与服务</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2060502</w:t>
            </w:r>
          </w:p>
        </w:tc>
        <w:tc>
          <w:tcPr>
            <w:tcW w:w="4535" w:type="dxa"/>
            <w:vAlign w:val="center"/>
          </w:tcPr>
          <w:p>
            <w:pPr>
              <w:pStyle w:val="单元格样式2"/>
            </w:pPr>
            <w:r>
              <w:t xml:space="preserve">技术创新服务体系</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281.66</w:t>
            </w:r>
          </w:p>
        </w:tc>
        <w:tc>
          <w:tcPr>
            <w:tcW w:w="1361" w:type="dxa"/>
            <w:vAlign w:val="center"/>
          </w:tcPr>
          <w:p>
            <w:pPr>
              <w:pStyle w:val="单元格样式4"/>
            </w:pPr>
            <w:r>
              <w:t xml:space="preserve">281.66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281.66</w:t>
            </w:r>
          </w:p>
        </w:tc>
        <w:tc>
          <w:tcPr>
            <w:tcW w:w="1361" w:type="dxa"/>
            <w:vAlign w:val="center"/>
          </w:tcPr>
          <w:p>
            <w:pPr>
              <w:pStyle w:val="单元格样式4"/>
            </w:pPr>
            <w:r>
              <w:t xml:space="preserve">281.66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183.10</w:t>
            </w:r>
          </w:p>
        </w:tc>
        <w:tc>
          <w:tcPr>
            <w:tcW w:w="1361" w:type="dxa"/>
            <w:vAlign w:val="center"/>
          </w:tcPr>
          <w:p>
            <w:pPr>
              <w:pStyle w:val="单元格样式4"/>
            </w:pPr>
            <w:r>
              <w:t xml:space="preserve">183.10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78.56</w:t>
            </w:r>
          </w:p>
        </w:tc>
        <w:tc>
          <w:tcPr>
            <w:tcW w:w="1361" w:type="dxa"/>
            <w:vAlign w:val="center"/>
          </w:tcPr>
          <w:p>
            <w:pPr>
              <w:pStyle w:val="单元格样式4"/>
            </w:pPr>
            <w:r>
              <w:t xml:space="preserve">78.56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20.00</w:t>
            </w:r>
          </w:p>
        </w:tc>
        <w:tc>
          <w:tcPr>
            <w:tcW w:w="1361" w:type="dxa"/>
            <w:vAlign w:val="center"/>
          </w:tcPr>
          <w:p>
            <w:pPr>
              <w:pStyle w:val="单元格样式4"/>
            </w:pPr>
            <w:r>
              <w:t xml:space="preserve">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57.60</w:t>
            </w:r>
          </w:p>
        </w:tc>
        <w:tc>
          <w:tcPr>
            <w:tcW w:w="1361" w:type="dxa"/>
            <w:vAlign w:val="center"/>
          </w:tcPr>
          <w:p>
            <w:pPr>
              <w:pStyle w:val="单元格样式4"/>
            </w:pPr>
            <w:r>
              <w:t xml:space="preserve">57.60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57.60</w:t>
            </w:r>
          </w:p>
        </w:tc>
        <w:tc>
          <w:tcPr>
            <w:tcW w:w="1361" w:type="dxa"/>
            <w:vAlign w:val="center"/>
          </w:tcPr>
          <w:p>
            <w:pPr>
              <w:pStyle w:val="单元格样式4"/>
            </w:pPr>
            <w:r>
              <w:t xml:space="preserve">57.60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57.60</w:t>
            </w:r>
          </w:p>
        </w:tc>
        <w:tc>
          <w:tcPr>
            <w:tcW w:w="1361" w:type="dxa"/>
            <w:vAlign w:val="center"/>
          </w:tcPr>
          <w:p>
            <w:pPr>
              <w:pStyle w:val="单元格样式4"/>
            </w:pPr>
            <w:r>
              <w:t xml:space="preserve">57.60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74.76</w:t>
            </w:r>
          </w:p>
        </w:tc>
        <w:tc>
          <w:tcPr>
            <w:tcW w:w="1361" w:type="dxa"/>
            <w:vAlign w:val="center"/>
          </w:tcPr>
          <w:p>
            <w:pPr>
              <w:pStyle w:val="单元格样式4"/>
            </w:pPr>
            <w:r>
              <w:t xml:space="preserve">74.76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74.76</w:t>
            </w:r>
          </w:p>
        </w:tc>
        <w:tc>
          <w:tcPr>
            <w:tcW w:w="1361" w:type="dxa"/>
            <w:vAlign w:val="center"/>
          </w:tcPr>
          <w:p>
            <w:pPr>
              <w:pStyle w:val="单元格样式4"/>
            </w:pPr>
            <w:r>
              <w:t xml:space="preserve">74.76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74.76</w:t>
            </w:r>
          </w:p>
        </w:tc>
        <w:tc>
          <w:tcPr>
            <w:tcW w:w="1361" w:type="dxa"/>
            <w:vAlign w:val="center"/>
          </w:tcPr>
          <w:p>
            <w:pPr>
              <w:pStyle w:val="单元格样式4"/>
            </w:pPr>
            <w:r>
              <w:t xml:space="preserve">74.76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1974.80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1613.77</w:t>
            </w:r>
          </w:p>
        </w:tc>
        <w:tc>
          <w:tcPr>
            <w:tcW w:w="1474" w:type="dxa"/>
            <w:vAlign w:val="center"/>
          </w:tcPr>
          <w:p>
            <w:pPr>
              <w:pStyle w:val="单元格样式4"/>
            </w:pPr>
            <w:r>
              <w:t xml:space="preserve">1613.77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281.66</w:t>
            </w:r>
          </w:p>
        </w:tc>
        <w:tc>
          <w:tcPr>
            <w:tcW w:w="1474" w:type="dxa"/>
            <w:vAlign w:val="center"/>
          </w:tcPr>
          <w:p>
            <w:pPr>
              <w:pStyle w:val="单元格样式4"/>
            </w:pPr>
            <w:r>
              <w:t xml:space="preserve">281.66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57.60</w:t>
            </w:r>
          </w:p>
        </w:tc>
        <w:tc>
          <w:tcPr>
            <w:tcW w:w="1474" w:type="dxa"/>
            <w:vAlign w:val="center"/>
          </w:tcPr>
          <w:p>
            <w:pPr>
              <w:pStyle w:val="单元格样式4"/>
            </w:pPr>
            <w:r>
              <w:t xml:space="preserve">57.60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74.76</w:t>
            </w:r>
          </w:p>
        </w:tc>
        <w:tc>
          <w:tcPr>
            <w:tcW w:w="1474" w:type="dxa"/>
            <w:vAlign w:val="center"/>
          </w:tcPr>
          <w:p>
            <w:pPr>
              <w:pStyle w:val="单元格样式4"/>
            </w:pPr>
            <w:r>
              <w:t xml:space="preserve">74.76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1974.80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2029.79</w:t>
            </w:r>
          </w:p>
        </w:tc>
        <w:tc>
          <w:tcPr>
            <w:tcW w:w="1474" w:type="dxa"/>
            <w:vAlign w:val="center"/>
          </w:tcPr>
          <w:p>
            <w:pPr>
              <w:pStyle w:val="单元格样式7"/>
            </w:pPr>
            <w:r>
              <w:t xml:space="preserve">2029.79</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54.99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54.99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2029.79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2029.79</w:t>
            </w:r>
          </w:p>
        </w:tc>
        <w:tc>
          <w:tcPr>
            <w:tcW w:w="1474" w:type="dxa"/>
            <w:vAlign w:val="center"/>
          </w:tcPr>
          <w:p>
            <w:pPr>
              <w:pStyle w:val="单元格样式7"/>
            </w:pPr>
            <w:r>
              <w:t xml:space="preserve">2029.79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2029.79</w:t>
            </w:r>
          </w:p>
        </w:tc>
        <w:tc>
          <w:tcPr>
            <w:tcW w:w="2551" w:type="dxa"/>
            <w:vAlign w:val="center"/>
          </w:tcPr>
          <w:p>
            <w:pPr>
              <w:pStyle w:val="单元格样式7"/>
            </w:pPr>
            <w:r>
              <w:t xml:space="preserve">1780.34</w:t>
            </w:r>
          </w:p>
        </w:tc>
        <w:tc>
          <w:tcPr>
            <w:tcW w:w="2551" w:type="dxa"/>
            <w:vAlign w:val="center"/>
          </w:tcPr>
          <w:p>
            <w:pPr>
              <w:pStyle w:val="单元格样式7"/>
            </w:pPr>
            <w:r>
              <w:t xml:space="preserve">249.44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1613.77</w:t>
            </w:r>
          </w:p>
        </w:tc>
        <w:tc>
          <w:tcPr>
            <w:tcW w:w="2551" w:type="dxa"/>
            <w:vAlign w:val="center"/>
          </w:tcPr>
          <w:p>
            <w:pPr>
              <w:pStyle w:val="单元格样式4"/>
            </w:pPr>
            <w:r>
              <w:t xml:space="preserve">1366.32</w:t>
            </w:r>
          </w:p>
        </w:tc>
        <w:tc>
          <w:tcPr>
            <w:tcW w:w="2551" w:type="dxa"/>
            <w:vAlign w:val="center"/>
          </w:tcPr>
          <w:p>
            <w:pPr>
              <w:pStyle w:val="单元格样式4"/>
            </w:pPr>
            <w:r>
              <w:t xml:space="preserve">247.44</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1563.78</w:t>
            </w:r>
          </w:p>
        </w:tc>
        <w:tc>
          <w:tcPr>
            <w:tcW w:w="2551" w:type="dxa"/>
            <w:vAlign w:val="center"/>
          </w:tcPr>
          <w:p>
            <w:pPr>
              <w:pStyle w:val="单元格样式4"/>
            </w:pPr>
            <w:r>
              <w:t xml:space="preserve">1366.32</w:t>
            </w:r>
          </w:p>
        </w:tc>
        <w:tc>
          <w:tcPr>
            <w:tcW w:w="2551" w:type="dxa"/>
            <w:vAlign w:val="center"/>
          </w:tcPr>
          <w:p>
            <w:pPr>
              <w:pStyle w:val="单元格样式4"/>
            </w:pPr>
            <w:r>
              <w:t xml:space="preserve">197.45</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1366.32</w:t>
            </w:r>
          </w:p>
        </w:tc>
        <w:tc>
          <w:tcPr>
            <w:tcW w:w="2551" w:type="dxa"/>
            <w:vAlign w:val="center"/>
          </w:tcPr>
          <w:p>
            <w:pPr>
              <w:pStyle w:val="单元格样式4"/>
            </w:pPr>
            <w:r>
              <w:t xml:space="preserve">1366.32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2010305</w:t>
            </w:r>
          </w:p>
        </w:tc>
        <w:tc>
          <w:tcPr>
            <w:tcW w:w="4535" w:type="dxa"/>
            <w:vAlign w:val="center"/>
          </w:tcPr>
          <w:p>
            <w:pPr>
              <w:pStyle w:val="单元格样式2"/>
            </w:pPr>
            <w:r>
              <w:t xml:space="preserve">专项业务及机关事务管理</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192.45</w:t>
            </w:r>
          </w:p>
        </w:tc>
        <w:tc>
          <w:tcPr>
            <w:tcW w:w="2551" w:type="dxa"/>
            <w:vAlign w:val="center"/>
          </w:tcPr>
          <w:p>
            <w:pPr>
              <w:pStyle w:val="单元格样式4"/>
            </w:pPr>
          </w:p>
        </w:tc>
        <w:tc>
          <w:tcPr>
            <w:tcW w:w="2551" w:type="dxa"/>
            <w:vAlign w:val="center"/>
          </w:tcPr>
          <w:p>
            <w:pPr>
              <w:pStyle w:val="单元格样式4"/>
            </w:pPr>
            <w:r>
              <w:t xml:space="preserve">192.45</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20132</w:t>
            </w:r>
          </w:p>
        </w:tc>
        <w:tc>
          <w:tcPr>
            <w:tcW w:w="4535" w:type="dxa"/>
            <w:vAlign w:val="center"/>
          </w:tcPr>
          <w:p>
            <w:pPr>
              <w:pStyle w:val="单元格样式2"/>
            </w:pPr>
            <w:r>
              <w:t xml:space="preserve">组织事务</w:t>
            </w:r>
          </w:p>
        </w:tc>
        <w:tc>
          <w:tcPr>
            <w:tcW w:w="2551" w:type="dxa"/>
            <w:vAlign w:val="center"/>
          </w:tcPr>
          <w:p>
            <w:pPr>
              <w:pStyle w:val="单元格样式4"/>
            </w:pPr>
            <w:r>
              <w:t xml:space="preserve">49.99</w:t>
            </w:r>
          </w:p>
        </w:tc>
        <w:tc>
          <w:tcPr>
            <w:tcW w:w="2551" w:type="dxa"/>
            <w:vAlign w:val="center"/>
          </w:tcPr>
          <w:p>
            <w:pPr>
              <w:pStyle w:val="单元格样式4"/>
            </w:pPr>
          </w:p>
        </w:tc>
        <w:tc>
          <w:tcPr>
            <w:tcW w:w="2551" w:type="dxa"/>
            <w:vAlign w:val="center"/>
          </w:tcPr>
          <w:p>
            <w:pPr>
              <w:pStyle w:val="单元格样式4"/>
            </w:pPr>
            <w:r>
              <w:t xml:space="preserve">49.99</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2013299</w:t>
            </w:r>
          </w:p>
        </w:tc>
        <w:tc>
          <w:tcPr>
            <w:tcW w:w="4535" w:type="dxa"/>
            <w:vAlign w:val="center"/>
          </w:tcPr>
          <w:p>
            <w:pPr>
              <w:pStyle w:val="单元格样式2"/>
            </w:pPr>
            <w:r>
              <w:t xml:space="preserve">其他组织事务支出</w:t>
            </w:r>
          </w:p>
        </w:tc>
        <w:tc>
          <w:tcPr>
            <w:tcW w:w="2551" w:type="dxa"/>
            <w:vAlign w:val="center"/>
          </w:tcPr>
          <w:p>
            <w:pPr>
              <w:pStyle w:val="单元格样式4"/>
            </w:pPr>
            <w:r>
              <w:t xml:space="preserve">49.99</w:t>
            </w:r>
          </w:p>
        </w:tc>
        <w:tc>
          <w:tcPr>
            <w:tcW w:w="2551" w:type="dxa"/>
            <w:vAlign w:val="center"/>
          </w:tcPr>
          <w:p>
            <w:pPr>
              <w:pStyle w:val="单元格样式4"/>
            </w:pPr>
          </w:p>
        </w:tc>
        <w:tc>
          <w:tcPr>
            <w:tcW w:w="2551" w:type="dxa"/>
            <w:vAlign w:val="center"/>
          </w:tcPr>
          <w:p>
            <w:pPr>
              <w:pStyle w:val="单元格样式4"/>
            </w:pPr>
            <w:r>
              <w:t xml:space="preserve">49.99</w:t>
            </w: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20605</w:t>
            </w:r>
          </w:p>
        </w:tc>
        <w:tc>
          <w:tcPr>
            <w:tcW w:w="4535" w:type="dxa"/>
            <w:vAlign w:val="center"/>
          </w:tcPr>
          <w:p>
            <w:pPr>
              <w:pStyle w:val="单元格样式2"/>
            </w:pPr>
            <w:r>
              <w:t xml:space="preserve">科技条件与服务</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2060502</w:t>
            </w:r>
          </w:p>
        </w:tc>
        <w:tc>
          <w:tcPr>
            <w:tcW w:w="4535" w:type="dxa"/>
            <w:vAlign w:val="center"/>
          </w:tcPr>
          <w:p>
            <w:pPr>
              <w:pStyle w:val="单元格样式2"/>
            </w:pPr>
            <w:r>
              <w:t xml:space="preserve">技术创新服务体系</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281.66</w:t>
            </w:r>
          </w:p>
        </w:tc>
        <w:tc>
          <w:tcPr>
            <w:tcW w:w="2551" w:type="dxa"/>
            <w:vAlign w:val="center"/>
          </w:tcPr>
          <w:p>
            <w:pPr>
              <w:pStyle w:val="单元格样式4"/>
            </w:pPr>
            <w:r>
              <w:t xml:space="preserve">281.66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281.66</w:t>
            </w:r>
          </w:p>
        </w:tc>
        <w:tc>
          <w:tcPr>
            <w:tcW w:w="2551" w:type="dxa"/>
            <w:vAlign w:val="center"/>
          </w:tcPr>
          <w:p>
            <w:pPr>
              <w:pStyle w:val="单元格样式4"/>
            </w:pPr>
            <w:r>
              <w:t xml:space="preserve">281.66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183.10</w:t>
            </w:r>
          </w:p>
        </w:tc>
        <w:tc>
          <w:tcPr>
            <w:tcW w:w="2551" w:type="dxa"/>
            <w:vAlign w:val="center"/>
          </w:tcPr>
          <w:p>
            <w:pPr>
              <w:pStyle w:val="单元格样式4"/>
            </w:pPr>
            <w:r>
              <w:t xml:space="preserve">183.10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78.56</w:t>
            </w:r>
          </w:p>
        </w:tc>
        <w:tc>
          <w:tcPr>
            <w:tcW w:w="2551" w:type="dxa"/>
            <w:vAlign w:val="center"/>
          </w:tcPr>
          <w:p>
            <w:pPr>
              <w:pStyle w:val="单元格样式4"/>
            </w:pPr>
            <w:r>
              <w:t xml:space="preserve">78.56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57.60</w:t>
            </w:r>
          </w:p>
        </w:tc>
        <w:tc>
          <w:tcPr>
            <w:tcW w:w="2551" w:type="dxa"/>
            <w:vAlign w:val="center"/>
          </w:tcPr>
          <w:p>
            <w:pPr>
              <w:pStyle w:val="单元格样式4"/>
            </w:pPr>
            <w:r>
              <w:t xml:space="preserve">57.60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57.60</w:t>
            </w:r>
          </w:p>
        </w:tc>
        <w:tc>
          <w:tcPr>
            <w:tcW w:w="2551" w:type="dxa"/>
            <w:vAlign w:val="center"/>
          </w:tcPr>
          <w:p>
            <w:pPr>
              <w:pStyle w:val="单元格样式4"/>
            </w:pPr>
            <w:r>
              <w:t xml:space="preserve">57.60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57.60</w:t>
            </w:r>
          </w:p>
        </w:tc>
        <w:tc>
          <w:tcPr>
            <w:tcW w:w="2551" w:type="dxa"/>
            <w:vAlign w:val="center"/>
          </w:tcPr>
          <w:p>
            <w:pPr>
              <w:pStyle w:val="单元格样式4"/>
            </w:pPr>
            <w:r>
              <w:t xml:space="preserve">57.60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74.76</w:t>
            </w:r>
          </w:p>
        </w:tc>
        <w:tc>
          <w:tcPr>
            <w:tcW w:w="2551" w:type="dxa"/>
            <w:vAlign w:val="center"/>
          </w:tcPr>
          <w:p>
            <w:pPr>
              <w:pStyle w:val="单元格样式4"/>
            </w:pPr>
            <w:r>
              <w:t xml:space="preserve">74.76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74.76</w:t>
            </w:r>
          </w:p>
        </w:tc>
        <w:tc>
          <w:tcPr>
            <w:tcW w:w="2551" w:type="dxa"/>
            <w:vAlign w:val="center"/>
          </w:tcPr>
          <w:p>
            <w:pPr>
              <w:pStyle w:val="单元格样式4"/>
            </w:pPr>
            <w:r>
              <w:t xml:space="preserve">74.76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74.76</w:t>
            </w:r>
          </w:p>
        </w:tc>
        <w:tc>
          <w:tcPr>
            <w:tcW w:w="2551" w:type="dxa"/>
            <w:vAlign w:val="center"/>
          </w:tcPr>
          <w:p>
            <w:pPr>
              <w:pStyle w:val="单元格样式4"/>
            </w:pPr>
            <w:r>
              <w:t xml:space="preserve">74.76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1780.34</w:t>
            </w:r>
          </w:p>
        </w:tc>
        <w:tc>
          <w:tcPr>
            <w:tcW w:w="2551" w:type="dxa"/>
            <w:vAlign w:val="center"/>
          </w:tcPr>
          <w:p>
            <w:pPr>
              <w:pStyle w:val="单元格样式7"/>
            </w:pPr>
            <w:r>
              <w:t xml:space="preserve">1681.03</w:t>
            </w:r>
          </w:p>
        </w:tc>
        <w:tc>
          <w:tcPr>
            <w:tcW w:w="2551" w:type="dxa"/>
            <w:vAlign w:val="center"/>
          </w:tcPr>
          <w:p>
            <w:pPr>
              <w:pStyle w:val="单元格样式7"/>
            </w:pPr>
            <w:r>
              <w:t xml:space="preserve">99.31</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1495.34</w:t>
            </w:r>
          </w:p>
        </w:tc>
        <w:tc>
          <w:tcPr>
            <w:tcW w:w="2551" w:type="dxa"/>
            <w:vAlign w:val="center"/>
          </w:tcPr>
          <w:p>
            <w:pPr>
              <w:pStyle w:val="单元格样式4"/>
            </w:pPr>
            <w:r>
              <w:t xml:space="preserve">1495.34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206.53</w:t>
            </w:r>
          </w:p>
        </w:tc>
        <w:tc>
          <w:tcPr>
            <w:tcW w:w="2551" w:type="dxa"/>
            <w:vAlign w:val="center"/>
          </w:tcPr>
          <w:p>
            <w:pPr>
              <w:pStyle w:val="单元格样式4"/>
            </w:pPr>
            <w:r>
              <w:t xml:space="preserve">206.53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99.89</w:t>
            </w:r>
          </w:p>
        </w:tc>
        <w:tc>
          <w:tcPr>
            <w:tcW w:w="2551" w:type="dxa"/>
            <w:vAlign w:val="center"/>
          </w:tcPr>
          <w:p>
            <w:pPr>
              <w:pStyle w:val="单元格样式4"/>
            </w:pPr>
            <w:r>
              <w:t xml:space="preserve">99.89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134.98</w:t>
            </w:r>
          </w:p>
        </w:tc>
        <w:tc>
          <w:tcPr>
            <w:tcW w:w="2551" w:type="dxa"/>
            <w:vAlign w:val="center"/>
          </w:tcPr>
          <w:p>
            <w:pPr>
              <w:pStyle w:val="单元格样式4"/>
            </w:pPr>
            <w:r>
              <w:t xml:space="preserve">134.98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171.61</w:t>
            </w:r>
          </w:p>
        </w:tc>
        <w:tc>
          <w:tcPr>
            <w:tcW w:w="2551" w:type="dxa"/>
            <w:vAlign w:val="center"/>
          </w:tcPr>
          <w:p>
            <w:pPr>
              <w:pStyle w:val="单元格样式4"/>
            </w:pPr>
            <w:r>
              <w:t xml:space="preserve">171.61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78.56</w:t>
            </w:r>
          </w:p>
        </w:tc>
        <w:tc>
          <w:tcPr>
            <w:tcW w:w="2551" w:type="dxa"/>
            <w:vAlign w:val="center"/>
          </w:tcPr>
          <w:p>
            <w:pPr>
              <w:pStyle w:val="单元格样式4"/>
            </w:pPr>
            <w:r>
              <w:t xml:space="preserve">78.56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48.33</w:t>
            </w:r>
          </w:p>
        </w:tc>
        <w:tc>
          <w:tcPr>
            <w:tcW w:w="2551" w:type="dxa"/>
            <w:vAlign w:val="center"/>
          </w:tcPr>
          <w:p>
            <w:pPr>
              <w:pStyle w:val="单元格样式4"/>
            </w:pPr>
            <w:r>
              <w:t xml:space="preserve">48.33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9.27</w:t>
            </w:r>
          </w:p>
        </w:tc>
        <w:tc>
          <w:tcPr>
            <w:tcW w:w="2551" w:type="dxa"/>
            <w:vAlign w:val="center"/>
          </w:tcPr>
          <w:p>
            <w:pPr>
              <w:pStyle w:val="单元格样式4"/>
            </w:pPr>
            <w:r>
              <w:t xml:space="preserve">9.27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3.79</w:t>
            </w:r>
          </w:p>
        </w:tc>
        <w:tc>
          <w:tcPr>
            <w:tcW w:w="2551" w:type="dxa"/>
            <w:vAlign w:val="center"/>
          </w:tcPr>
          <w:p>
            <w:pPr>
              <w:pStyle w:val="单元格样式4"/>
            </w:pPr>
            <w:r>
              <w:t xml:space="preserve">3.79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74.76</w:t>
            </w:r>
          </w:p>
        </w:tc>
        <w:tc>
          <w:tcPr>
            <w:tcW w:w="2551" w:type="dxa"/>
            <w:vAlign w:val="center"/>
          </w:tcPr>
          <w:p>
            <w:pPr>
              <w:pStyle w:val="单元格样式4"/>
            </w:pPr>
            <w:r>
              <w:t xml:space="preserve">74.76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647.62</w:t>
            </w:r>
          </w:p>
        </w:tc>
        <w:tc>
          <w:tcPr>
            <w:tcW w:w="2551" w:type="dxa"/>
            <w:vAlign w:val="center"/>
          </w:tcPr>
          <w:p>
            <w:pPr>
              <w:pStyle w:val="单元格样式4"/>
            </w:pPr>
            <w:r>
              <w:t xml:space="preserve">647.62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99.31</w:t>
            </w:r>
          </w:p>
        </w:tc>
        <w:tc>
          <w:tcPr>
            <w:tcW w:w="2551" w:type="dxa"/>
            <w:vAlign w:val="center"/>
          </w:tcPr>
          <w:p>
            <w:pPr>
              <w:pStyle w:val="单元格样式4"/>
            </w:pPr>
          </w:p>
        </w:tc>
        <w:tc>
          <w:tcPr>
            <w:tcW w:w="2551" w:type="dxa"/>
            <w:vAlign w:val="center"/>
          </w:tcPr>
          <w:p>
            <w:pPr>
              <w:pStyle w:val="单元格样式4"/>
            </w:pPr>
            <w:r>
              <w:t xml:space="preserve">99.31</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9.22</w:t>
            </w:r>
          </w:p>
        </w:tc>
        <w:tc>
          <w:tcPr>
            <w:tcW w:w="2551" w:type="dxa"/>
            <w:vAlign w:val="center"/>
          </w:tcPr>
          <w:p>
            <w:pPr>
              <w:pStyle w:val="单元格样式4"/>
            </w:pPr>
          </w:p>
        </w:tc>
        <w:tc>
          <w:tcPr>
            <w:tcW w:w="2551" w:type="dxa"/>
            <w:vAlign w:val="center"/>
          </w:tcPr>
          <w:p>
            <w:pPr>
              <w:pStyle w:val="单元格样式4"/>
            </w:pPr>
            <w:r>
              <w:t xml:space="preserve">9.22</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1.08</w:t>
            </w:r>
          </w:p>
        </w:tc>
        <w:tc>
          <w:tcPr>
            <w:tcW w:w="2551" w:type="dxa"/>
            <w:vAlign w:val="center"/>
          </w:tcPr>
          <w:p>
            <w:pPr>
              <w:pStyle w:val="单元格样式4"/>
            </w:pPr>
          </w:p>
        </w:tc>
        <w:tc>
          <w:tcPr>
            <w:tcW w:w="2551" w:type="dxa"/>
            <w:vAlign w:val="center"/>
          </w:tcPr>
          <w:p>
            <w:pPr>
              <w:pStyle w:val="单元格样式4"/>
            </w:pPr>
            <w:r>
              <w:t xml:space="preserve">1.08</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0.34</w:t>
            </w:r>
          </w:p>
        </w:tc>
        <w:tc>
          <w:tcPr>
            <w:tcW w:w="2551" w:type="dxa"/>
            <w:vAlign w:val="center"/>
          </w:tcPr>
          <w:p>
            <w:pPr>
              <w:pStyle w:val="单元格样式4"/>
            </w:pPr>
          </w:p>
        </w:tc>
        <w:tc>
          <w:tcPr>
            <w:tcW w:w="2551" w:type="dxa"/>
            <w:vAlign w:val="center"/>
          </w:tcPr>
          <w:p>
            <w:pPr>
              <w:pStyle w:val="单元格样式4"/>
            </w:pPr>
            <w:r>
              <w:t xml:space="preserve">0.34</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13.14</w:t>
            </w:r>
          </w:p>
        </w:tc>
        <w:tc>
          <w:tcPr>
            <w:tcW w:w="2551" w:type="dxa"/>
            <w:vAlign w:val="center"/>
          </w:tcPr>
          <w:p>
            <w:pPr>
              <w:pStyle w:val="单元格样式4"/>
            </w:pPr>
          </w:p>
        </w:tc>
        <w:tc>
          <w:tcPr>
            <w:tcW w:w="2551" w:type="dxa"/>
            <w:vAlign w:val="center"/>
          </w:tcPr>
          <w:p>
            <w:pPr>
              <w:pStyle w:val="单元格样式4"/>
            </w:pPr>
            <w:r>
              <w:t xml:space="preserve">13.14</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8.10</w:t>
            </w:r>
          </w:p>
        </w:tc>
        <w:tc>
          <w:tcPr>
            <w:tcW w:w="2551" w:type="dxa"/>
            <w:vAlign w:val="center"/>
          </w:tcPr>
          <w:p>
            <w:pPr>
              <w:pStyle w:val="单元格样式4"/>
            </w:pPr>
          </w:p>
        </w:tc>
        <w:tc>
          <w:tcPr>
            <w:tcW w:w="2551" w:type="dxa"/>
            <w:vAlign w:val="center"/>
          </w:tcPr>
          <w:p>
            <w:pPr>
              <w:pStyle w:val="单元格样式4"/>
            </w:pPr>
            <w:r>
              <w:t xml:space="preserve">8.10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1.31</w:t>
            </w:r>
          </w:p>
        </w:tc>
        <w:tc>
          <w:tcPr>
            <w:tcW w:w="2551" w:type="dxa"/>
            <w:vAlign w:val="center"/>
          </w:tcPr>
          <w:p>
            <w:pPr>
              <w:pStyle w:val="单元格样式4"/>
            </w:pPr>
          </w:p>
        </w:tc>
        <w:tc>
          <w:tcPr>
            <w:tcW w:w="2551" w:type="dxa"/>
            <w:vAlign w:val="center"/>
          </w:tcPr>
          <w:p>
            <w:pPr>
              <w:pStyle w:val="单元格样式4"/>
            </w:pPr>
            <w:r>
              <w:t xml:space="preserve">1.31</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3.20</w:t>
            </w:r>
          </w:p>
        </w:tc>
        <w:tc>
          <w:tcPr>
            <w:tcW w:w="2551" w:type="dxa"/>
            <w:vAlign w:val="center"/>
          </w:tcPr>
          <w:p>
            <w:pPr>
              <w:pStyle w:val="单元格样式4"/>
            </w:pPr>
          </w:p>
        </w:tc>
        <w:tc>
          <w:tcPr>
            <w:tcW w:w="2551" w:type="dxa"/>
            <w:vAlign w:val="center"/>
          </w:tcPr>
          <w:p>
            <w:pPr>
              <w:pStyle w:val="单元格样式4"/>
            </w:pPr>
            <w:r>
              <w:t xml:space="preserve">3.20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5.35</w:t>
            </w:r>
          </w:p>
        </w:tc>
        <w:tc>
          <w:tcPr>
            <w:tcW w:w="2551" w:type="dxa"/>
            <w:vAlign w:val="center"/>
          </w:tcPr>
          <w:p>
            <w:pPr>
              <w:pStyle w:val="单元格样式4"/>
            </w:pPr>
          </w:p>
        </w:tc>
        <w:tc>
          <w:tcPr>
            <w:tcW w:w="2551" w:type="dxa"/>
            <w:vAlign w:val="center"/>
          </w:tcPr>
          <w:p>
            <w:pPr>
              <w:pStyle w:val="单元格样式4"/>
            </w:pPr>
            <w:r>
              <w:t xml:space="preserve">5.35</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12.42</w:t>
            </w:r>
          </w:p>
        </w:tc>
        <w:tc>
          <w:tcPr>
            <w:tcW w:w="2551" w:type="dxa"/>
            <w:vAlign w:val="center"/>
          </w:tcPr>
          <w:p>
            <w:pPr>
              <w:pStyle w:val="单元格样式4"/>
            </w:pPr>
          </w:p>
        </w:tc>
        <w:tc>
          <w:tcPr>
            <w:tcW w:w="2551" w:type="dxa"/>
            <w:vAlign w:val="center"/>
          </w:tcPr>
          <w:p>
            <w:pPr>
              <w:pStyle w:val="单元格样式4"/>
            </w:pPr>
            <w:r>
              <w:t xml:space="preserve">12.42</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24.37</w:t>
            </w:r>
          </w:p>
        </w:tc>
        <w:tc>
          <w:tcPr>
            <w:tcW w:w="2551" w:type="dxa"/>
            <w:vAlign w:val="center"/>
          </w:tcPr>
          <w:p>
            <w:pPr>
              <w:pStyle w:val="单元格样式4"/>
            </w:pPr>
          </w:p>
        </w:tc>
        <w:tc>
          <w:tcPr>
            <w:tcW w:w="2551" w:type="dxa"/>
            <w:vAlign w:val="center"/>
          </w:tcPr>
          <w:p>
            <w:pPr>
              <w:pStyle w:val="单元格样式4"/>
            </w:pPr>
            <w:r>
              <w:t xml:space="preserve">24.37</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185.69</w:t>
            </w:r>
          </w:p>
        </w:tc>
        <w:tc>
          <w:tcPr>
            <w:tcW w:w="2551" w:type="dxa"/>
            <w:vAlign w:val="center"/>
          </w:tcPr>
          <w:p>
            <w:pPr>
              <w:pStyle w:val="单元格样式4"/>
            </w:pPr>
            <w:r>
              <w:t xml:space="preserve">185.69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179.07</w:t>
            </w:r>
          </w:p>
        </w:tc>
        <w:tc>
          <w:tcPr>
            <w:tcW w:w="2551" w:type="dxa"/>
            <w:vAlign w:val="center"/>
          </w:tcPr>
          <w:p>
            <w:pPr>
              <w:pStyle w:val="单元格样式4"/>
            </w:pPr>
            <w:r>
              <w:t xml:space="preserve">179.07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4.37</w:t>
            </w:r>
          </w:p>
        </w:tc>
        <w:tc>
          <w:tcPr>
            <w:tcW w:w="2551" w:type="dxa"/>
            <w:vAlign w:val="center"/>
          </w:tcPr>
          <w:p>
            <w:pPr>
              <w:pStyle w:val="单元格样式4"/>
            </w:pPr>
            <w:r>
              <w:t xml:space="preserve">4.37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2.25</w:t>
            </w:r>
          </w:p>
        </w:tc>
        <w:tc>
          <w:tcPr>
            <w:tcW w:w="2551" w:type="dxa"/>
            <w:vAlign w:val="center"/>
          </w:tcPr>
          <w:p>
            <w:pPr>
              <w:pStyle w:val="单元格样式4"/>
            </w:pPr>
            <w:r>
              <w:t xml:space="preserve">2.25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石家庄市桥西区维明街道办事处2025年部门预算信息公开情况说明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石家庄市桥西区维明街道办事处2025年部门预算信息公开情况说明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按照《中华人民共和国预算法》、《地方预决算公开操作规程》和《关于进一步推进预算公开工作的实施意见》规定，现将石家庄市桥西区维明街道办事处2025年部门预算公开如下：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部门职责：</w:t>
      </w:r>
    </w:p>
    <w:p>
      <w:pPr>
        <w:pStyle w:val="插入文本样式-插入预算公开部门职责文件"/>
      </w:pPr>
      <w:r>
        <w:t xml:space="preserve">1、区域社会管理与服务</w:t>
      </w:r>
    </w:p>
    <w:p>
      <w:pPr>
        <w:pStyle w:val="插入文本样式-插入预算公开部门职责文件"/>
      </w:pPr>
      <w:r>
        <w:t xml:space="preserve">负责辖区内的地区性、群众性、公益性、社会性工作。负责精神文明建设，积极组织以提高居民素质为目的的活动，树立文明新风；按照职责范围，负责辖区内的城市建设和管理、市容环境卫生、园林绿化、环境保护、市政、房地产监督、管理、服务工作；负责辖区内的稳定及社会治安综合治理工作，负责民事调解、法律服务工作，维护居民的合法权益；负责社区建设和管理，开展社区服务工作，发动和组织社区成员开展各类社区公益活动；负责拥军优属、优抚安置、社会救济、社会福利、社区文化、科普、体育、教育等工作；负责计划生育、劳动就业、安全生产管理，初级卫生保健、民兵、兵役等工作；指导和帮助社区居委会搞好组织建设和制度建设，发挥居委会的群众自治组织作用；配合有关部门做好防汛、防火、防震、防灾和抢险工作；向区政府反映居民群众的意见，接待人民群众来信来访事项。推进区域经济社会全面发展，更好地为居民群众服务。</w:t>
      </w:r>
    </w:p>
    <w:p>
      <w:pPr>
        <w:pStyle w:val="插入文本样式-插入预算公开部门职责文件"/>
      </w:pPr>
      <w:r>
        <w:t xml:space="preserve">2、政务与应急综合管理</w:t>
      </w:r>
    </w:p>
    <w:p>
      <w:pPr>
        <w:pStyle w:val="插入文本样式-插入预算公开部门职责文件"/>
      </w:pPr>
      <w:r>
        <w:t xml:space="preserve">负责办事处日常管理及应急等综合事务管理工作；依法依规履行日常管理职责，确保街道工作正常运行；有效保证街道日常应急值守和突发事件应对处置工作；完善应急预案体系建设，确保遇突发事件能够有效应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石家庄市桥西区维明街道办事处本级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按照预算管理有关规定，目前部门预算的编制实行综合预算管理，即全部收入和支出都反映在预算中。石家庄市桥西区维明街道办事处机关及所属事业单位的收支包含在部门预算中。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2029.79万元，其中：一般公共预算收入1974.80万元，基金预算收入0.00万元，国有资本经营预算收入0.00万元，财政专户核拨收入0.00万元，单位资金收入0.00万元，上年结转结余54.99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石家庄市桥西区维明街道办事处年度部门预算中支出预算的总体情况。2025年支出预算2029.79万元，其中基本支出1780.34万元，包括人员经费1681.03万元和日常公用经费99.31万元；项目支出249.44万元，主要为主要用于社区工作经费，综合事务专项经费，维稳工作经费，办公用房租赁费，武装工作经费，文化站免费开放中央和省级补助资金等项目。</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2025年预算收支安排2029.79万元，较2024年预算增加398.00万元，其中：基本支出增加419.01万元，主要为人员增加，人员经费相应增加。项目支出减少21.00万元，主要为落实过紧日子要求，压减非必要支出项目。</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与2024年相比没有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p>
    <w:p>
      <w:pPr>
        <w:pStyle w:val="插入文本样式-插入总体目标文件"/>
      </w:pPr>
      <w:r>
        <w:t xml:space="preserve">以习近平新时代中国特色社会主义思想为指导，全面贯彻落实党的二十大精神，主动适应新形势、新任务、新要求，全面提升服务能力和服务水平，按照区委、区政府的统一部署，创新工作理念，不断提升党建水平，稳步推进经济建设，全面加强城市管理，着力促进民生改善，确保辖区和谐稳定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（一）不断提升经济发展水平</w:t>
      </w:r>
    </w:p>
    <w:p>
      <w:pPr>
        <w:pStyle w:val="插入文本样式-插入职责分类绩效目标文件"/>
      </w:pPr>
      <w:r>
        <w:t xml:space="preserve">绩效目标：持续推进项目建设，帮助项目跑规划、跑开工、跑手续，针对每个招商引资项目，深入企业内部与项目单位一起跑办，解决实际问题。</w:t>
      </w:r>
    </w:p>
    <w:p>
      <w:pPr>
        <w:pStyle w:val="插入文本样式-插入职责分类绩效目标文件"/>
      </w:pPr>
      <w:r>
        <w:t xml:space="preserve">绩效指标：全年城镇固定资产投资任务完成100%，社会销售品零售总额较上年同期增长8%-10%，新增规模以上服务业企业2个，新增限额以上批发零售业企业2个。</w:t>
      </w:r>
    </w:p>
    <w:p>
      <w:pPr>
        <w:pStyle w:val="插入文本样式-插入职责分类绩效目标文件"/>
      </w:pPr>
      <w:r>
        <w:t xml:space="preserve">（二）全面做好基层党建工作</w:t>
      </w:r>
    </w:p>
    <w:p>
      <w:pPr>
        <w:pStyle w:val="插入文本样式-插入职责分类绩效目标文件"/>
      </w:pPr>
      <w:r>
        <w:t xml:space="preserve">绩效目标：全面推进，扩大共驻共建工作覆盖面，扎实开展省、市、区直单位党组织和在职党员到社区“双报到双报告双考核”工作，提升街道区域共建水平；抓阵地建设，提升基层党建基础，创新楼宇党建治理方法，实施“3+”党建模式，引领+融合、统筹+共建、线上+线下，打造非公企业和社会组织党建新阵地。</w:t>
      </w:r>
    </w:p>
    <w:p>
      <w:pPr>
        <w:pStyle w:val="插入文本样式-插入职责分类绩效目标文件"/>
      </w:pPr>
      <w:r>
        <w:t xml:space="preserve">绩效指标：与签订共建协议书及《需求清单》、《资源清单》，经常性开展共驻共建活动，提升城市基层党建的整体效应；牵头组织策划专题座谈会、开展学习沙龙、志愿服务等活动不少于20次，并通过向党员推荐关注微信公众号、将党员纳入“云社区”网格群，建立微信工作群、QQ交流群等形式，构建“指尖上的党建阵地”。</w:t>
      </w:r>
    </w:p>
    <w:p>
      <w:pPr>
        <w:pStyle w:val="插入文本样式-插入职责分类绩效目标文件"/>
      </w:pPr>
      <w:r>
        <w:t xml:space="preserve">（三）积极推进城市管理工作</w:t>
      </w:r>
    </w:p>
    <w:p>
      <w:pPr>
        <w:pStyle w:val="插入文本样式-插入职责分类绩效目标文件"/>
      </w:pPr>
      <w:r>
        <w:t xml:space="preserve">绩效目标：依托网格，加强环境整治；继续做好大气污染防治工作；全力做好文明城市创建常态化及国家卫生城市创建工作；积极发挥综合行政检查执法大队作用。</w:t>
      </w:r>
    </w:p>
    <w:p>
      <w:pPr>
        <w:pStyle w:val="插入文本样式-插入职责分类绩效目标文件"/>
      </w:pPr>
      <w:r>
        <w:t xml:space="preserve">绩效指标：对占道经营、沿街晾晒、违章乱挂等情况及时处理，进一步明确大气污染防治工作，积极做好国家卫生城市创建工作。</w:t>
      </w:r>
    </w:p>
    <w:p>
      <w:pPr>
        <w:pStyle w:val="插入文本样式-插入职责分类绩效目标文件"/>
      </w:pPr>
      <w:r>
        <w:t xml:space="preserve">（四）民生服务更加优化</w:t>
      </w:r>
    </w:p>
    <w:p>
      <w:pPr>
        <w:pStyle w:val="插入文本样式-插入职责分类绩效目标文件"/>
      </w:pPr>
      <w:r>
        <w:t xml:space="preserve">绩效目标：全力做好老旧小区改造工作，重点解决已严重影响居民基本生活和存在安全隐患的基础设施老化和功能缺失问题；积极解决供暖问题，加大对供暖前期问题的排查，时刻掌握供暖运行情况；积极做好退役军人管理服务工作，为辖区退役军人打造积极向上的服务阵地和平台；积极做好社保工作；为辖区居民提供优质、高效的卫生服务。</w:t>
      </w:r>
    </w:p>
    <w:p>
      <w:pPr>
        <w:pStyle w:val="插入文本样式-插入职责分类绩效目标文件"/>
      </w:pPr>
      <w:r>
        <w:t xml:space="preserve">绩效指标：小区道路、绿化、停车位、健身设施完善提升，治理脏乱差，美化宜居环境；辖区51个交换站专人盯守率达到100%，24小时监控率达到100%；退役军人接待来访率达到100%，登记率达到100%，挂牌率达到100%；企业离退休人员资格认证率达到100%，居民养老享受待遇人员认证率达到100%，居民合法生育率达到100%，人口出生统计求实率达到99%以上，流动人口和特殊人群上站普查率达到100%。</w:t>
      </w:r>
    </w:p>
    <w:p>
      <w:pPr>
        <w:pStyle w:val="插入文本样式-插入职责分类绩效目标文件"/>
      </w:pPr>
      <w:r>
        <w:t xml:space="preserve">（五）确保辖区和谐稳定</w:t>
      </w:r>
    </w:p>
    <w:p>
      <w:pPr>
        <w:pStyle w:val="插入文本样式-插入职责分类绩效目标文件"/>
      </w:pPr>
      <w:r>
        <w:t xml:space="preserve">绩效目标：全力开展安监工作，大力宣传安全生产工作的重要性，对辖区内重点部位和企业进行有效的宣传和教育，使企业牢固树立风险意识、忧患意识、危机意识，时刻牢记安全第一的思想；加强群防群治队伍建设，积极开展巡逻防范工作，探索建立信访、调解、治理“一条龙”的基层工作新模式，有效整合信访、综治、司法、民政等力量，全面建立基层大信访工作格局，筑牢维护社会和谐稳定的第一道防线。</w:t>
      </w:r>
    </w:p>
    <w:p>
      <w:pPr>
        <w:pStyle w:val="插入文本样式-插入职责分类绩效目标文件"/>
      </w:pPr>
      <w:r>
        <w:t xml:space="preserve">绩效指标：充分利用街道综合执法平台，强化安全生产大排查、大整治活动，对辖区3个工地、1个加油站进行不定时检查，全年主要领导召开安全生产工作会议达到12次，主要领导参加安全生产工作检查达到12次；食品安全工作层层分解，明确分工职责，落实责任，严格落实“一岗双责”，形成“纵向到底、横向到边、责任到人、不留死角”的网格化管理，对148家食品单位每月必查一遍，检查率达到100%；组织辖区各企业开展消防教育、演练每年不少于2次，以提高火灾预防能力、初起火灾扑救能力和火场逃生能力，对37家消防单位每月必查一遍，检查率达到100%；健全社区信息员制度，每个楼院按辖区人数配备 1-2名信息员，加强信息报送，建立信息交流共享机制；社区矫正对象定位率达到100%，安置帮教对象帮教率达到100%，人民调解案件结案率达到100%；信访案件按期受理率达到100%，按期答复率达到100%，群众满意率达到90%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1、完善制度建设。坚持“全党抓经济、全面抓提升、全力促改革”的指导思想，强化领导、突出重点、锐意改革，确保项目建设、环境提升、民生改善、安全稳定等重点工作有序开展。 </w:t>
      </w:r>
    </w:p>
    <w:p>
      <w:pPr>
        <w:pStyle w:val="插入文本样式-插入实现年度发展规划目标的保障措施文件"/>
      </w:pPr>
      <w:r>
        <w:t xml:space="preserve">2、加强支出管理。优化支出结构，及时支付资金，确保支出进度达标。</w:t>
      </w:r>
    </w:p>
    <w:p>
      <w:pPr>
        <w:pStyle w:val="插入文本样式-插入实现年度发展规划目标的保障措施文件"/>
      </w:pPr>
      <w:r>
        <w:t xml:space="preserve">3、加强绩效运行监控。按要求开展绩效运行监控，发现问题及时采取措施，确保绩效目标如期保质实现。</w:t>
      </w:r>
    </w:p>
    <w:p>
      <w:pPr>
        <w:pStyle w:val="插入文本样式-插入实现年度发展规划目标的保障措施文件"/>
      </w:pPr>
      <w:r>
        <w:t xml:space="preserve">4、做好绩效自评。按要求开展部门预算绩效自评和重点评价工作，对评价中发现的问题及时整改，调整优化支出结构，提高财政资金使用效益。</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5、加强内部监督。完善财务管理制度，加强内部监督制度建设，对绩效运行情况进行督导，加强人员培训，提高本部门职工业务素质，促进预算绩效管理水平进一步提升。</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2、城管绩效（劳务派遣）绩效目标表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13010425P00412911204J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保障城管劳务派遣绩效资金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1.保障城管劳务派遣绩效资金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城管劳务派遣人数</w:t>
            </w:r>
          </w:p>
        </w:tc>
        <w:tc>
          <w:tcPr>
            <w:tcW w:w="5386" w:type="dxa"/>
            <w:vAlign w:val="center"/>
          </w:tcPr>
          <w:p>
            <w:pPr>
              <w:pStyle w:val="单元格样式2"/>
            </w:pPr>
            <w:r>
              <w:t xml:space="preserve">城管劳务派遣人数</w:t>
            </w:r>
          </w:p>
        </w:tc>
        <w:tc>
          <w:tcPr>
            <w:tcW w:w="2268" w:type="dxa"/>
            <w:vAlign w:val="center"/>
          </w:tcPr>
          <w:p>
            <w:pPr>
              <w:pStyle w:val="单元格样式2"/>
            </w:pPr>
            <w:r>
              <w:t xml:space="preserve">24人</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资金拨付时限</w:t>
            </w:r>
          </w:p>
        </w:tc>
        <w:tc>
          <w:tcPr>
            <w:tcW w:w="5386" w:type="dxa"/>
            <w:vAlign w:val="center"/>
          </w:tcPr>
          <w:p>
            <w:pPr>
              <w:pStyle w:val="单元格样式2"/>
            </w:pPr>
            <w:r>
              <w:t xml:space="preserve">资金拨付时限</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在预算成本内</w:t>
            </w:r>
          </w:p>
        </w:tc>
        <w:tc>
          <w:tcPr>
            <w:tcW w:w="5386" w:type="dxa"/>
            <w:vAlign w:val="center"/>
          </w:tcPr>
          <w:p>
            <w:pPr>
              <w:pStyle w:val="单元格样式2"/>
            </w:pPr>
            <w:r>
              <w:t xml:space="preserve">在预算成本内</w:t>
            </w:r>
          </w:p>
        </w:tc>
        <w:tc>
          <w:tcPr>
            <w:tcW w:w="2268" w:type="dxa"/>
            <w:vAlign w:val="center"/>
          </w:tcPr>
          <w:p>
            <w:pPr>
              <w:pStyle w:val="单元格样式2"/>
            </w:pPr>
            <w:r>
              <w:t xml:space="preserve">≤14.4万元</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保障城管劳务派遣人员绩效资金到位</w:t>
            </w:r>
          </w:p>
        </w:tc>
        <w:tc>
          <w:tcPr>
            <w:tcW w:w="5386" w:type="dxa"/>
            <w:vAlign w:val="center"/>
          </w:tcPr>
          <w:p>
            <w:pPr>
              <w:pStyle w:val="单元格样式2"/>
            </w:pPr>
            <w:r>
              <w:t xml:space="preserve">保障城管劳务派遣人员绩效资金到位</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3、党建惠民资金绩效目标表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13010424P00BWE110043N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党建惠民资金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49.99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49.99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用于党建惠民资金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gridSpan w:val="2"/>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Align w:val="center"/>
          </w:tcPr>
          <w:p>
            <w:pPr>
              <w:pStyle w:val="单元格样式3"/>
            </w:pPr>
          </w:p>
        </w:tc>
        <w:tc>
          <w:tcPr>
            <w:tcW w:w="2268" w:type="dxa"/>
            <w:vAlign w:val="center"/>
          </w:tcPr>
          <w:p>
            <w:pPr>
              <w:pStyle w:val="单元格样式2"/>
            </w:pPr>
          </w:p>
        </w:tc>
        <w:tc>
          <w:tcPr>
            <w:tcW w:w="2835" w:type="dxa"/>
            <w:vAlign w:val="center"/>
          </w:tcPr>
          <w:p>
            <w:pPr>
              <w:pStyle w:val="单元格样式2"/>
            </w:pPr>
          </w:p>
        </w:tc>
        <w:tc>
          <w:tcPr>
            <w:tcW w:w="2835" w:type="dxa"/>
            <w:vAlign w:val="center"/>
          </w:tcPr>
          <w:p>
            <w:pPr>
              <w:pStyle w:val="单元格样式2"/>
            </w:pPr>
          </w:p>
        </w:tc>
        <w:tc>
          <w:tcPr>
            <w:tcW w:w="2551" w:type="dxa"/>
            <w:vAlign w:val="center"/>
          </w:tcPr>
          <w:p>
            <w:pPr>
              <w:pStyle w:val="单元格样式2"/>
            </w:pPr>
          </w:p>
        </w:tc>
        <w:tc>
          <w:tcPr>
            <w:tcW w:w="2268" w:type="dxa"/>
            <w:vAlign w:val="center"/>
          </w:tcPr>
          <w:p>
            <w:pPr>
              <w:pStyle w:val="单元格样式2"/>
            </w:pPr>
          </w:p>
        </w:tc>
        <w:tc>
          <w:tcPr>
            <w:tcW w:w="1276" w:type="dxa"/>
            <w:vAlign w:val="center"/>
          </w:tcPr>
          <w:p>
            <w:pPr>
              <w:pStyle w:val="单元格样式2"/>
            </w:pP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4、全科政务（劳务派遣）绩效目标表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13010425P00412911203Y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保障全科政务劳务派遣人员工资正常发放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1.保障全科政务劳务派遣人员工资正常发放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全科政务人数</w:t>
            </w:r>
          </w:p>
        </w:tc>
        <w:tc>
          <w:tcPr>
            <w:tcW w:w="5386" w:type="dxa"/>
            <w:vAlign w:val="center"/>
          </w:tcPr>
          <w:p>
            <w:pPr>
              <w:pStyle w:val="单元格样式2"/>
            </w:pPr>
            <w:r>
              <w:t xml:space="preserve">全科政务人数</w:t>
            </w:r>
          </w:p>
        </w:tc>
        <w:tc>
          <w:tcPr>
            <w:tcW w:w="2268" w:type="dxa"/>
            <w:vAlign w:val="center"/>
          </w:tcPr>
          <w:p>
            <w:pPr>
              <w:pStyle w:val="单元格样式2"/>
            </w:pPr>
            <w:r>
              <w:t xml:space="preserve">8人</w:t>
            </w:r>
          </w:p>
        </w:tc>
        <w:tc>
          <w:tcPr>
            <w:tcW w:w="1276" w:type="dxa"/>
            <w:vAlign w:val="center"/>
          </w:tcPr>
          <w:p>
            <w:pPr>
              <w:pStyle w:val="单元格样式2"/>
            </w:pPr>
            <w:r>
              <w:t xml:space="preserve">相关文件要求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相关文件要求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相关文件要求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≤45.56万元</w:t>
            </w:r>
          </w:p>
        </w:tc>
        <w:tc>
          <w:tcPr>
            <w:tcW w:w="1276" w:type="dxa"/>
            <w:vAlign w:val="center"/>
          </w:tcPr>
          <w:p>
            <w:pPr>
              <w:pStyle w:val="单元格样式2"/>
            </w:pPr>
            <w:r>
              <w:t xml:space="preserve">相关文件要求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保障全科政务劳务派遣人员工资资金到位</w:t>
            </w:r>
          </w:p>
        </w:tc>
        <w:tc>
          <w:tcPr>
            <w:tcW w:w="5386" w:type="dxa"/>
            <w:vAlign w:val="center"/>
          </w:tcPr>
          <w:p>
            <w:pPr>
              <w:pStyle w:val="单元格样式2"/>
            </w:pPr>
            <w:r>
              <w:t xml:space="preserve">保障全科政务劳务派遣人员工资资金到位</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相关文件要求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相关文件要求</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5、社区工作经费绩效目标表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13010425P00412810061K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实现社区工作正常稳定运转</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1.实现社区工作正常稳定运转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工作任务完成率</w:t>
            </w:r>
          </w:p>
        </w:tc>
        <w:tc>
          <w:tcPr>
            <w:tcW w:w="5386" w:type="dxa"/>
            <w:vAlign w:val="center"/>
          </w:tcPr>
          <w:p>
            <w:pPr>
              <w:pStyle w:val="单元格样式2"/>
            </w:pPr>
            <w:r>
              <w:t xml:space="preserve">完成工作数量占工总量的比值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足额拨付率</w:t>
            </w:r>
          </w:p>
        </w:tc>
        <w:tc>
          <w:tcPr>
            <w:tcW w:w="5386" w:type="dxa"/>
            <w:vAlign w:val="center"/>
          </w:tcPr>
          <w:p>
            <w:pPr>
              <w:pStyle w:val="单元格样式2"/>
            </w:pPr>
            <w:r>
              <w:t xml:space="preserve">确保经费足额拨付</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及时到位率</w:t>
            </w:r>
          </w:p>
        </w:tc>
        <w:tc>
          <w:tcPr>
            <w:tcW w:w="5386" w:type="dxa"/>
            <w:vAlign w:val="center"/>
          </w:tcPr>
          <w:p>
            <w:pPr>
              <w:pStyle w:val="单元格样式2"/>
            </w:pPr>
            <w:r>
              <w:t xml:space="preserve">确保经费及时到位</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合理支出</w:t>
            </w:r>
          </w:p>
        </w:tc>
        <w:tc>
          <w:tcPr>
            <w:tcW w:w="5386" w:type="dxa"/>
            <w:vAlign w:val="center"/>
          </w:tcPr>
          <w:p>
            <w:pPr>
              <w:pStyle w:val="单元格样式2"/>
            </w:pPr>
            <w:r>
              <w:t xml:space="preserve">合理安排正常经费支出</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资金利用率</w:t>
            </w:r>
          </w:p>
        </w:tc>
        <w:tc>
          <w:tcPr>
            <w:tcW w:w="5386" w:type="dxa"/>
            <w:vAlign w:val="center"/>
          </w:tcPr>
          <w:p>
            <w:pPr>
              <w:pStyle w:val="单元格样式2"/>
            </w:pPr>
            <w:r>
              <w:t xml:space="preserve">进一步规范资金管理</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社区和谐稳定</w:t>
            </w:r>
          </w:p>
        </w:tc>
        <w:tc>
          <w:tcPr>
            <w:tcW w:w="5386" w:type="dxa"/>
            <w:vAlign w:val="center"/>
          </w:tcPr>
          <w:p>
            <w:pPr>
              <w:pStyle w:val="单元格样式2"/>
            </w:pPr>
            <w:r>
              <w:t xml:space="preserve">加强社区建设和管理推进和谐社区建设</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检查次数</w:t>
            </w:r>
          </w:p>
        </w:tc>
        <w:tc>
          <w:tcPr>
            <w:tcW w:w="5386" w:type="dxa"/>
            <w:vAlign w:val="center"/>
          </w:tcPr>
          <w:p>
            <w:pPr>
              <w:pStyle w:val="单元格样式2"/>
            </w:pPr>
            <w:r>
              <w:t xml:space="preserve">督促检查保证资金足额到位</w:t>
            </w:r>
          </w:p>
        </w:tc>
        <w:tc>
          <w:tcPr>
            <w:tcW w:w="2268" w:type="dxa"/>
            <w:vAlign w:val="center"/>
          </w:tcPr>
          <w:p>
            <w:pPr>
              <w:pStyle w:val="单元格样式2"/>
            </w:pPr>
            <w:r>
              <w:t xml:space="preserve">2次</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维持基层组织稳定</w:t>
            </w:r>
          </w:p>
        </w:tc>
        <w:tc>
          <w:tcPr>
            <w:tcW w:w="5386" w:type="dxa"/>
            <w:vAlign w:val="center"/>
          </w:tcPr>
          <w:p>
            <w:pPr>
              <w:pStyle w:val="单元格样式2"/>
            </w:pPr>
            <w:r>
              <w:t xml:space="preserve">保障社区工作正常稳定运转</w:t>
            </w:r>
          </w:p>
        </w:tc>
        <w:tc>
          <w:tcPr>
            <w:tcW w:w="2268" w:type="dxa"/>
            <w:vAlign w:val="center"/>
          </w:tcPr>
          <w:p>
            <w:pPr>
              <w:pStyle w:val="单元格样式2"/>
            </w:pPr>
            <w:r>
              <w:t xml:space="preserve">≥80百分比</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群众对社区服务的满意程度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6、石财教【2024】88号优秀科技特派员工作站补助经费绩效目标表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13010425P004129112732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石财教【2024】88号优秀科技特派员工作站补助经费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保障优秀特派员工作站工作顺利完成</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1.保障优秀特派员工作站工作顺利完成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科技特派员工作站数量</w:t>
            </w:r>
          </w:p>
        </w:tc>
        <w:tc>
          <w:tcPr>
            <w:tcW w:w="5386" w:type="dxa"/>
            <w:vAlign w:val="center"/>
          </w:tcPr>
          <w:p>
            <w:pPr>
              <w:pStyle w:val="单元格样式2"/>
            </w:pPr>
            <w:r>
              <w:t xml:space="preserve">科技特派员工作站数量</w:t>
            </w:r>
          </w:p>
        </w:tc>
        <w:tc>
          <w:tcPr>
            <w:tcW w:w="2268" w:type="dxa"/>
            <w:vAlign w:val="center"/>
          </w:tcPr>
          <w:p>
            <w:pPr>
              <w:pStyle w:val="单元格样式2"/>
            </w:pPr>
            <w:r>
              <w:t xml:space="preserve">1个</w:t>
            </w:r>
          </w:p>
        </w:tc>
        <w:tc>
          <w:tcPr>
            <w:tcW w:w="1276" w:type="dxa"/>
            <w:vAlign w:val="center"/>
          </w:tcPr>
          <w:p>
            <w:pPr>
              <w:pStyle w:val="单元格样式2"/>
            </w:pPr>
            <w:r>
              <w:t xml:space="preserve">相关文要求</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科技特派员工作站工作保障率</w:t>
            </w:r>
          </w:p>
        </w:tc>
        <w:tc>
          <w:tcPr>
            <w:tcW w:w="5386" w:type="dxa"/>
            <w:vAlign w:val="center"/>
          </w:tcPr>
          <w:p>
            <w:pPr>
              <w:pStyle w:val="单元格样式2"/>
            </w:pPr>
            <w:r>
              <w:t xml:space="preserve">科技特派员工作站工作保障率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相关文要求</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相关文要求</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资金投入规模</w:t>
            </w:r>
          </w:p>
        </w:tc>
        <w:tc>
          <w:tcPr>
            <w:tcW w:w="5386" w:type="dxa"/>
            <w:vAlign w:val="center"/>
          </w:tcPr>
          <w:p>
            <w:pPr>
              <w:pStyle w:val="单元格样式2"/>
            </w:pPr>
            <w:r>
              <w:t xml:space="preserve">资金投入规模</w:t>
            </w:r>
          </w:p>
        </w:tc>
        <w:tc>
          <w:tcPr>
            <w:tcW w:w="2268" w:type="dxa"/>
            <w:vAlign w:val="center"/>
          </w:tcPr>
          <w:p>
            <w:pPr>
              <w:pStyle w:val="单元格样式2"/>
            </w:pPr>
            <w:r>
              <w:t xml:space="preserve">2万元</w:t>
            </w:r>
          </w:p>
        </w:tc>
        <w:tc>
          <w:tcPr>
            <w:tcW w:w="1276" w:type="dxa"/>
            <w:vAlign w:val="center"/>
          </w:tcPr>
          <w:p>
            <w:pPr>
              <w:pStyle w:val="单元格样式2"/>
            </w:pPr>
            <w:r>
              <w:t xml:space="preserve">相关文要求</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科研企业科技创新能力增长率</w:t>
            </w:r>
          </w:p>
        </w:tc>
        <w:tc>
          <w:tcPr>
            <w:tcW w:w="5386" w:type="dxa"/>
            <w:vAlign w:val="center"/>
          </w:tcPr>
          <w:p>
            <w:pPr>
              <w:pStyle w:val="单元格样式2"/>
            </w:pPr>
            <w:r>
              <w:t xml:space="preserve">科研企业科技创新能力增长率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相关文要求</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服务对象满意率</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相关文要求</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7、石财行【2024】13号基层平安建设专项资金绩效目标表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13010424P00412911175H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石财行【2024】13号基层平安建设专项资金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确保社会大局安全稳定，保持公众安全感和执法满意度，努力建设更高水平的平安街道和社区</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1.确保社会大局安全稳定，保持公众安全感和执法满意度，努力建设更高水平的平安街道和社区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平安建设宣传次数</w:t>
            </w:r>
          </w:p>
        </w:tc>
        <w:tc>
          <w:tcPr>
            <w:tcW w:w="5386" w:type="dxa"/>
            <w:vAlign w:val="center"/>
          </w:tcPr>
          <w:p>
            <w:pPr>
              <w:pStyle w:val="单元格样式2"/>
            </w:pPr>
            <w:r>
              <w:t xml:space="preserve">平安建设宣传次数</w:t>
            </w:r>
          </w:p>
        </w:tc>
        <w:tc>
          <w:tcPr>
            <w:tcW w:w="2268" w:type="dxa"/>
            <w:vAlign w:val="center"/>
          </w:tcPr>
          <w:p>
            <w:pPr>
              <w:pStyle w:val="单元格样式2"/>
            </w:pPr>
            <w:r>
              <w:t xml:space="preserve">≥3次</w:t>
            </w:r>
          </w:p>
        </w:tc>
        <w:tc>
          <w:tcPr>
            <w:tcW w:w="1276" w:type="dxa"/>
            <w:vAlign w:val="center"/>
          </w:tcPr>
          <w:p>
            <w:pPr>
              <w:pStyle w:val="单元格样式2"/>
            </w:pPr>
            <w:r>
              <w:t xml:space="preserve">相关文件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平安建设宣传质量</w:t>
            </w:r>
          </w:p>
        </w:tc>
        <w:tc>
          <w:tcPr>
            <w:tcW w:w="5386" w:type="dxa"/>
            <w:vAlign w:val="center"/>
          </w:tcPr>
          <w:p>
            <w:pPr>
              <w:pStyle w:val="单元格样式2"/>
            </w:pPr>
            <w:r>
              <w:t xml:space="preserve">平安建设宣传质量</w:t>
            </w:r>
          </w:p>
        </w:tc>
        <w:tc>
          <w:tcPr>
            <w:tcW w:w="2268" w:type="dxa"/>
            <w:vAlign w:val="center"/>
          </w:tcPr>
          <w:p>
            <w:pPr>
              <w:pStyle w:val="单元格样式2"/>
            </w:pPr>
            <w:r>
              <w:t xml:space="preserve">≥97百分比</w:t>
            </w:r>
          </w:p>
        </w:tc>
        <w:tc>
          <w:tcPr>
            <w:tcW w:w="1276" w:type="dxa"/>
            <w:vAlign w:val="center"/>
          </w:tcPr>
          <w:p>
            <w:pPr>
              <w:pStyle w:val="单元格样式2"/>
            </w:pPr>
            <w:r>
              <w:t xml:space="preserve">相关文件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相关文件</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安全感指数</w:t>
            </w:r>
          </w:p>
        </w:tc>
        <w:tc>
          <w:tcPr>
            <w:tcW w:w="5386" w:type="dxa"/>
            <w:vAlign w:val="center"/>
          </w:tcPr>
          <w:p>
            <w:pPr>
              <w:pStyle w:val="单元格样式2"/>
            </w:pPr>
            <w:r>
              <w:t xml:space="preserve">安全感指数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相关文件</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项目影响持续期</w:t>
            </w:r>
          </w:p>
        </w:tc>
        <w:tc>
          <w:tcPr>
            <w:tcW w:w="5386" w:type="dxa"/>
            <w:vAlign w:val="center"/>
          </w:tcPr>
          <w:p>
            <w:pPr>
              <w:pStyle w:val="单元格样式2"/>
            </w:pPr>
            <w:r>
              <w:t xml:space="preserve">项目影响持续期</w:t>
            </w:r>
          </w:p>
        </w:tc>
        <w:tc>
          <w:tcPr>
            <w:tcW w:w="2268" w:type="dxa"/>
            <w:vAlign w:val="center"/>
          </w:tcPr>
          <w:p>
            <w:pPr>
              <w:pStyle w:val="单元格样式2"/>
            </w:pPr>
            <w:r>
              <w:t xml:space="preserve">≥96百分比</w:t>
            </w:r>
          </w:p>
        </w:tc>
        <w:tc>
          <w:tcPr>
            <w:tcW w:w="1276" w:type="dxa"/>
            <w:vAlign w:val="center"/>
          </w:tcPr>
          <w:p>
            <w:pPr>
              <w:pStyle w:val="单元格样式2"/>
            </w:pPr>
            <w:r>
              <w:t xml:space="preserve">相关文件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8、武装工作经费绩效目标表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13010425P00412911130E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用于战备执勤、动员准备等武装工作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1.用于战备执勤、动员准备等武装工作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保障人数、设施数</w:t>
            </w:r>
          </w:p>
        </w:tc>
        <w:tc>
          <w:tcPr>
            <w:tcW w:w="5386" w:type="dxa"/>
            <w:vAlign w:val="center"/>
          </w:tcPr>
          <w:p>
            <w:pPr>
              <w:pStyle w:val="单元格样式2"/>
            </w:pPr>
            <w:r>
              <w:t xml:space="preserve">保障人数，军事设施数量情况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军事设施建设质量</w:t>
            </w:r>
          </w:p>
        </w:tc>
        <w:tc>
          <w:tcPr>
            <w:tcW w:w="5386" w:type="dxa"/>
            <w:vAlign w:val="center"/>
          </w:tcPr>
          <w:p>
            <w:pPr>
              <w:pStyle w:val="单元格样式2"/>
            </w:pPr>
            <w:r>
              <w:t xml:space="preserve">设施完好运转正常</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w:t>
            </w:r>
          </w:p>
        </w:tc>
        <w:tc>
          <w:tcPr>
            <w:tcW w:w="5386" w:type="dxa"/>
            <w:vAlign w:val="center"/>
          </w:tcPr>
          <w:p>
            <w:pPr>
              <w:pStyle w:val="单元格样式2"/>
            </w:pPr>
            <w:r>
              <w:t xml:space="preserve">按照实际情况及时发放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多措并举合理使用</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提升武装工作</w:t>
            </w:r>
          </w:p>
        </w:tc>
        <w:tc>
          <w:tcPr>
            <w:tcW w:w="5386" w:type="dxa"/>
            <w:vAlign w:val="center"/>
          </w:tcPr>
          <w:p>
            <w:pPr>
              <w:pStyle w:val="单元格样式2"/>
            </w:pPr>
            <w:r>
              <w:t xml:space="preserve">加强建设利于战备发展</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提升民兵工作</w:t>
            </w:r>
          </w:p>
        </w:tc>
        <w:tc>
          <w:tcPr>
            <w:tcW w:w="5386" w:type="dxa"/>
            <w:vAlign w:val="center"/>
          </w:tcPr>
          <w:p>
            <w:pPr>
              <w:pStyle w:val="单元格样式2"/>
            </w:pPr>
            <w:r>
              <w:t xml:space="preserve">加强民兵队伍综合提升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维护军事设施</w:t>
            </w:r>
          </w:p>
        </w:tc>
        <w:tc>
          <w:tcPr>
            <w:tcW w:w="5386" w:type="dxa"/>
            <w:vAlign w:val="center"/>
          </w:tcPr>
          <w:p>
            <w:pPr>
              <w:pStyle w:val="单元格样式2"/>
            </w:pPr>
            <w:r>
              <w:t xml:space="preserve">提升设施质量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加强武装工作</w:t>
            </w:r>
          </w:p>
        </w:tc>
        <w:tc>
          <w:tcPr>
            <w:tcW w:w="5386" w:type="dxa"/>
            <w:vAlign w:val="center"/>
          </w:tcPr>
          <w:p>
            <w:pPr>
              <w:pStyle w:val="单元格样式2"/>
            </w:pPr>
            <w:r>
              <w:t xml:space="preserve">为巩固国防提高坚强支撑</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武装工作显著提升，辖区适龄青年参军入伍</w:t>
            </w:r>
          </w:p>
        </w:tc>
        <w:tc>
          <w:tcPr>
            <w:tcW w:w="2268" w:type="dxa"/>
            <w:vAlign w:val="center"/>
          </w:tcPr>
          <w:p>
            <w:pPr>
              <w:pStyle w:val="单元格样式2"/>
            </w:pPr>
            <w:r>
              <w:t xml:space="preserve">≥90百分比</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9、综合事务专项经费绩效目标表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13010425P004129111293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补充机关正常运转经费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1.补充机关正常运转经费</w:t>
            </w:r>
          </w:p>
          <w:p>
            <w:pPr>
              <w:pStyle w:val="单元格样式2"/>
            </w:pPr>
            <w:r>
              <w:t xml:space="preserve">2.维护辖区信访稳定，市容市貌整治</w:t>
            </w:r>
          </w:p>
          <w:p>
            <w:pPr>
              <w:pStyle w:val="单元格样式2"/>
            </w:pPr>
            <w:r>
              <w:t xml:space="preserve">3.加强生态环境保护建设，改善营商环境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组织活动次数</w:t>
            </w:r>
          </w:p>
        </w:tc>
        <w:tc>
          <w:tcPr>
            <w:tcW w:w="5386" w:type="dxa"/>
            <w:vAlign w:val="center"/>
          </w:tcPr>
          <w:p>
            <w:pPr>
              <w:pStyle w:val="单元格样式2"/>
            </w:pPr>
            <w:r>
              <w:t xml:space="preserve">开展活动次数</w:t>
            </w:r>
          </w:p>
        </w:tc>
        <w:tc>
          <w:tcPr>
            <w:tcW w:w="2268" w:type="dxa"/>
            <w:vAlign w:val="center"/>
          </w:tcPr>
          <w:p>
            <w:pPr>
              <w:pStyle w:val="单元格样式2"/>
            </w:pPr>
            <w:r>
              <w:t xml:space="preserve">10次</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资金使用覆盖率</w:t>
            </w:r>
          </w:p>
        </w:tc>
        <w:tc>
          <w:tcPr>
            <w:tcW w:w="5386" w:type="dxa"/>
            <w:vAlign w:val="center"/>
          </w:tcPr>
          <w:p>
            <w:pPr>
              <w:pStyle w:val="单元格样式2"/>
            </w:pPr>
            <w:r>
              <w:t xml:space="preserve">应受益的群体区覆盖</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及时到位率</w:t>
            </w:r>
          </w:p>
        </w:tc>
        <w:tc>
          <w:tcPr>
            <w:tcW w:w="5386" w:type="dxa"/>
            <w:vAlign w:val="center"/>
          </w:tcPr>
          <w:p>
            <w:pPr>
              <w:pStyle w:val="单元格样式2"/>
            </w:pPr>
            <w:r>
              <w:t xml:space="preserve">确保经费及时到位</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降低资金成本</w:t>
            </w:r>
          </w:p>
        </w:tc>
        <w:tc>
          <w:tcPr>
            <w:tcW w:w="5386" w:type="dxa"/>
            <w:vAlign w:val="center"/>
          </w:tcPr>
          <w:p>
            <w:pPr>
              <w:pStyle w:val="单元格样式2"/>
            </w:pPr>
            <w:r>
              <w:t xml:space="preserve">合理分配资金降低成本</w:t>
            </w:r>
          </w:p>
        </w:tc>
        <w:tc>
          <w:tcPr>
            <w:tcW w:w="2268" w:type="dxa"/>
            <w:vAlign w:val="center"/>
          </w:tcPr>
          <w:p>
            <w:pPr>
              <w:pStyle w:val="单元格样式2"/>
            </w:pPr>
            <w:r>
              <w:t xml:space="preserve">≥10百分比</w:t>
            </w:r>
          </w:p>
        </w:tc>
        <w:tc>
          <w:tcPr>
            <w:tcW w:w="1276" w:type="dxa"/>
            <w:vAlign w:val="center"/>
          </w:tcPr>
          <w:p>
            <w:pPr>
              <w:pStyle w:val="单元格样式2"/>
            </w:pPr>
            <w:r>
              <w:t xml:space="preserve">相关政策依据</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维持机关正常运转</w:t>
            </w:r>
          </w:p>
        </w:tc>
        <w:tc>
          <w:tcPr>
            <w:tcW w:w="5386" w:type="dxa"/>
            <w:vAlign w:val="center"/>
          </w:tcPr>
          <w:p>
            <w:pPr>
              <w:pStyle w:val="单元格样式2"/>
            </w:pPr>
            <w:r>
              <w:t xml:space="preserve">补充机关正常办公经费的不足</w:t>
            </w:r>
          </w:p>
        </w:tc>
        <w:tc>
          <w:tcPr>
            <w:tcW w:w="2268" w:type="dxa"/>
            <w:vAlign w:val="center"/>
          </w:tcPr>
          <w:p>
            <w:pPr>
              <w:pStyle w:val="单元格样式2"/>
            </w:pPr>
            <w:r>
              <w:t xml:space="preserve">≥100百分比</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保护营商环境</w:t>
            </w:r>
          </w:p>
        </w:tc>
        <w:tc>
          <w:tcPr>
            <w:tcW w:w="5386" w:type="dxa"/>
            <w:vAlign w:val="center"/>
          </w:tcPr>
          <w:p>
            <w:pPr>
              <w:pStyle w:val="单元格样式2"/>
            </w:pPr>
            <w:r>
              <w:t xml:space="preserve">有效保护辖区的营商环境</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受益人员生活改善</w:t>
            </w:r>
          </w:p>
        </w:tc>
        <w:tc>
          <w:tcPr>
            <w:tcW w:w="5386" w:type="dxa"/>
            <w:vAlign w:val="center"/>
          </w:tcPr>
          <w:p>
            <w:pPr>
              <w:pStyle w:val="单元格样式2"/>
            </w:pPr>
            <w:r>
              <w:t xml:space="preserve">受益人员生活质量得到改善</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相关政策依据</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生活环境改善</w:t>
            </w:r>
          </w:p>
        </w:tc>
        <w:tc>
          <w:tcPr>
            <w:tcW w:w="5386" w:type="dxa"/>
            <w:vAlign w:val="center"/>
          </w:tcPr>
          <w:p>
            <w:pPr>
              <w:pStyle w:val="单元格样式2"/>
            </w:pPr>
            <w:r>
              <w:t xml:space="preserve">推进生态保护工作，改善生活环境</w:t>
            </w:r>
          </w:p>
        </w:tc>
        <w:tc>
          <w:tcPr>
            <w:tcW w:w="2268" w:type="dxa"/>
            <w:vAlign w:val="center"/>
          </w:tcPr>
          <w:p>
            <w:pPr>
              <w:pStyle w:val="单元格样式2"/>
            </w:pPr>
            <w:r>
              <w:t xml:space="preserve">80百分比</w:t>
            </w:r>
          </w:p>
        </w:tc>
        <w:tc>
          <w:tcPr>
            <w:tcW w:w="1276" w:type="dxa"/>
            <w:vAlign w:val="center"/>
          </w:tcPr>
          <w:p>
            <w:pPr>
              <w:pStyle w:val="单元格样式2"/>
            </w:pPr>
            <w:r>
              <w:t xml:space="preserve">相关政策依据</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受益人员满意率</w:t>
            </w:r>
          </w:p>
        </w:tc>
        <w:tc>
          <w:tcPr>
            <w:tcW w:w="5386" w:type="dxa"/>
            <w:vAlign w:val="center"/>
          </w:tcPr>
          <w:p>
            <w:pPr>
              <w:pStyle w:val="单元格样式2"/>
            </w:pPr>
            <w:r>
              <w:t xml:space="preserve">接受服务的人员满意程度</w:t>
            </w:r>
          </w:p>
        </w:tc>
        <w:tc>
          <w:tcPr>
            <w:tcW w:w="2268" w:type="dxa"/>
            <w:vAlign w:val="center"/>
          </w:tcPr>
          <w:p>
            <w:pPr>
              <w:pStyle w:val="单元格样式2"/>
            </w:pPr>
            <w:r>
              <w:t xml:space="preserve">≥85百分比</w:t>
            </w:r>
          </w:p>
        </w:tc>
        <w:tc>
          <w:tcPr>
            <w:tcW w:w="1276" w:type="dxa"/>
            <w:vAlign w:val="center"/>
          </w:tcPr>
          <w:p>
            <w:pPr>
              <w:pStyle w:val="单元格样式2"/>
            </w:pPr>
            <w:r>
              <w:t xml:space="preserve">相关政策依据</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6.54</w:t>
            </w:r>
          </w:p>
        </w:tc>
        <w:tc>
          <w:tcPr>
            <w:tcW w:w="964" w:type="dxa"/>
            <w:vAlign w:val="center"/>
          </w:tcPr>
          <w:p>
            <w:pPr>
              <w:pStyle w:val="单元格样式7"/>
            </w:pPr>
            <w:r>
              <w:t xml:space="preserve">6.54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6.54</w:t>
            </w:r>
          </w:p>
        </w:tc>
      </w:tr>
      <w:tr>
        <w:trPr>
          <w:cantSplit/>
          <w:trHeight w:hRule="auto" w:val="0"/>
          <w:jc w:val="center"/>
        </w:trPr>
        <w:tc>
          <w:tcPr>
            <w:tcW w:w="1701" w:type="dxa"/>
            <w:vAlign w:val="center"/>
          </w:tcPr>
          <w:p>
            <w:pPr>
              <w:pStyle w:val="单元格样式6"/>
            </w:pPr>
            <w:r>
              <w:t xml:space="preserve">石家庄市桥西区维明街道办事处本级小计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6.54</w:t>
            </w:r>
          </w:p>
        </w:tc>
        <w:tc>
          <w:tcPr>
            <w:tcW w:w="964" w:type="dxa"/>
            <w:vAlign w:val="center"/>
          </w:tcPr>
          <w:p>
            <w:pPr>
              <w:pStyle w:val="单元格样式7"/>
            </w:pPr>
            <w:r>
              <w:t xml:space="preserve">6.54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6.54</w:t>
            </w:r>
          </w:p>
        </w:tc>
      </w:tr>
      <w:tr>
        <w:trPr>
          <w:cantSplit/>
          <w:trHeight w:hRule="auto" w:val="0"/>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42.64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包</w:t>
            </w:r>
          </w:p>
        </w:tc>
        <w:tc>
          <w:tcPr>
            <w:tcW w:w="850" w:type="dxa"/>
            <w:vAlign w:val="center"/>
          </w:tcPr>
          <w:p>
            <w:pPr>
              <w:pStyle w:val="单元格样式4"/>
            </w:pPr>
            <w:r>
              <w:t xml:space="preserve">5000</w:t>
            </w:r>
          </w:p>
        </w:tc>
        <w:tc>
          <w:tcPr>
            <w:tcW w:w="850" w:type="dxa"/>
            <w:vAlign w:val="center"/>
          </w:tcPr>
          <w:p>
            <w:pPr>
              <w:pStyle w:val="单元格样式4"/>
            </w:pPr>
            <w:r>
              <w:t xml:space="preserve">0.00</w:t>
            </w:r>
          </w:p>
        </w:tc>
        <w:tc>
          <w:tcPr>
            <w:tcW w:w="964" w:type="dxa"/>
            <w:vAlign w:val="center"/>
          </w:tcPr>
          <w:p>
            <w:pPr>
              <w:pStyle w:val="单元格样式4"/>
            </w:pPr>
            <w:r>
              <w:t xml:space="preserve">2.50</w:t>
            </w:r>
          </w:p>
        </w:tc>
        <w:tc>
          <w:tcPr>
            <w:tcW w:w="964" w:type="dxa"/>
            <w:vAlign w:val="center"/>
          </w:tcPr>
          <w:p>
            <w:pPr>
              <w:pStyle w:val="单元格样式4"/>
            </w:pPr>
            <w:r>
              <w:t xml:space="preserve">2.50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w:t>
            </w:r>
          </w:p>
        </w:tc>
      </w:tr>
      <w:tr>
        <w:trPr>
          <w:cantSplit/>
          <w:trHeight w:hRule="auto" w:val="0"/>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42.64</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rPr>
          <w:cantSplit/>
          <w:trHeight w:hRule="auto" w:val="0"/>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42.64</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1.04</w:t>
            </w:r>
          </w:p>
        </w:tc>
        <w:tc>
          <w:tcPr>
            <w:tcW w:w="964" w:type="dxa"/>
            <w:vAlign w:val="center"/>
          </w:tcPr>
          <w:p>
            <w:pPr>
              <w:pStyle w:val="单元格样式4"/>
            </w:pPr>
            <w:r>
              <w:t xml:space="preserve">1.04</w:t>
            </w:r>
          </w:p>
        </w:tc>
        <w:tc>
          <w:tcPr>
            <w:tcW w:w="964" w:type="dxa"/>
            <w:vAlign w:val="center"/>
          </w:tcPr>
          <w:p>
            <w:pPr>
              <w:pStyle w:val="单元格样式4"/>
            </w:pPr>
            <w:r>
              <w:t xml:space="preserve">1.04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1.04</w:t>
            </w:r>
          </w:p>
        </w:tc>
      </w:tr>
      <w:tr>
        <w:trPr>
          <w:cantSplit/>
          <w:trHeight w:hRule="auto" w:val="0"/>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42.64</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rPr>
          <w:cantSplit/>
          <w:trHeight w:hRule="auto" w:val="0"/>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42.64</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石家庄市桥西区维明街道办事处（含所属单位）上年末固定资产金额为395.45万元（详见下表）。本年度拟购置固定资产总额为0.00万元，已按要求列入政府采购预算，详见政府采购预算表。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512石家庄市桥西区维明街道办事处</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395.45</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18.98</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1011</w:t>
            </w:r>
          </w:p>
        </w:tc>
        <w:tc>
          <w:tcPr>
            <w:tcW w:w="2835" w:type="dxa"/>
            <w:vAlign w:val="center"/>
          </w:tcPr>
          <w:p>
            <w:pPr>
              <w:pStyle w:val="单元格样式4"/>
            </w:pPr>
            <w:r>
              <w:t xml:space="preserve">376.47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38</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2025-05-21T15:37:02Z</dcterms:created>
  <dcterms:modified xsi:type="dcterms:W3CDTF">2025-05-21T15:37:02Z</dcterms:modified>
</cp:coreProperties>
</file>