
<file path=[Content_Types].xml><?xml version="1.0" encoding="utf-8"?>
<Types xmlns="http://schemas.openxmlformats.org/package/2006/content-types">
  <Default Extension="rels" ContentType="application/vnd.openxmlformats-package.relationships+xml"/>
  <Default Extension="xml" ContentType="application/xml"/>
  <Default Extension="jpeg" ContentType="image/jpeg"/>
  <Default Extension="png" ContentType="image/png"/>
  <Default Extension="xlsx" ContentType="application/vnd.openxmlformats-officedocument.spreadsheetml.sheet"/>
  <Override PartName="/word/settings.xml" ContentType="application/vnd.openxmlformats-officedocument.wordprocessingml.settings+xml"/>
  <Override PartName="/word/header1.xml" ContentType="application/vnd.openxmlformats-officedocument.wordprocessingml.header+xml"/>
  <Override PartName="/word/charts/chart1.xml" ContentType="application/vnd.openxmlformats-officedocument.drawingml.chart+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widowControl/>
        <w:jc w:val="left"/>
      </w:pPr>
      <w:r>
        <mc:AlternateContent>
          <mc:Choice Requires="wps">
            <w:drawing>
              <wp:anchor distT="0" distB="0" distL="114300" distR="114300" simplePos="0" relativeHeight="29" behindDoc="0" locked="0" layoutInCell="1" hidden="0" allowOverlap="1">
                <wp:simplePos x="0" y="0"/>
                <wp:positionH relativeFrom="column">
                  <wp:posOffset>321945</wp:posOffset>
                </wp:positionH>
                <wp:positionV relativeFrom="paragraph">
                  <wp:posOffset>5481320</wp:posOffset>
                </wp:positionV>
                <wp:extent cx="5482590" cy="1066800"/>
                <wp:wrapNone/>
                <wp:docPr id="1026" name="_x0000_s1026"/>
                <wp:cNvGraphicFramePr>
                  <a:graphicFrameLocks noChangeAspect="0"/>
                </wp:cNvGraphicFramePr>
                <a:graphic>
                  <a:graphicData uri="http://schemas.microsoft.com/office/word/2010/wordprocessingShape">
                    <wps:wsp>
                      <wps:cNvSpPr/>
                      <wps:spPr>
                        <a:xfrm rot="0">
                          <a:off x="0" y="0"/>
                          <a:ext cx="5482590" cy="1066800"/>
                        </a:xfrm>
                        <a:prstGeom prst="rect"/>
                        <a:noFill/>
                        <a:ln w="9525" cmpd="sng" cap="flat">
                          <a:noFill/>
                          <a:prstDash val="solid"/>
                          <a:miter/>
                        </a:ln>
                      </wps:spPr>
                      <wps:txbx id="1">
                        <w:txbxContent>
                          <w:p>
                            <w:pPr>
                              <w:spacing w:line="600" w:lineRule="auto"/>
                              <w:jc w:val="left"/>
                              <w:rPr>
                                <w:rFonts w:ascii="楷体_GB2312" w:eastAsia="楷体_GB2312" w:cs="楷体_GB2312" w:hAnsi="楷体_GB2312"/>
                                <w:color w:val="000000"/>
                                <w:sz w:val="40"/>
                                <w:szCs w:val="40"/>
                                <w:lang w:val="en-US" w:eastAsia="zh-CN"/>
                              </w:rPr>
                            </w:pPr>
                            <w:r>
                              <w:rPr>
                                <w:rFonts w:ascii="黑体" w:eastAsia="黑体" w:cs="黑体" w:hAnsi="黑体" w:hint="eastAsia"/>
                                <w:color w:val="000000"/>
                                <w:sz w:val="40"/>
                                <w:szCs w:val="40"/>
                              </w:rPr>
                              <w:t>预算代码</w:t>
                            </w:r>
                            <w:r>
                              <w:rPr>
                                <w:rFonts w:ascii="楷体_GB2312" w:eastAsia="楷体_GB2312" w:cs="楷体_GB2312" w:hAnsi="楷体_GB2312" w:hint="eastAsia"/>
                                <w:color w:val="000000"/>
                                <w:sz w:val="40"/>
                                <w:szCs w:val="40"/>
                              </w:rPr>
                              <w:t>：</w:t>
                            </w:r>
                            <w:r>
                              <w:rPr>
                                <w:rFonts w:ascii="楷体_GB2312" w:eastAsia="楷体_GB2312" w:cs="楷体_GB2312" w:hAnsi="楷体_GB2312" w:hint="eastAsia"/>
                                <w:color w:val="000000"/>
                                <w:sz w:val="40"/>
                                <w:szCs w:val="40"/>
                                <w:lang w:val="en-US" w:eastAsia="zh-CN"/>
                              </w:rPr>
                              <w:t>519</w:t>
                            </w:r>
                          </w:p>
                          <w:p>
                            <w:pPr>
                              <w:spacing w:line="600" w:lineRule="auto"/>
                              <w:jc w:val="left"/>
                              <w:rPr>
                                <w:rFonts w:ascii="楷体_GB2312" w:eastAsia="楷体_GB2312" w:cs="楷体_GB2312" w:hAnsi="楷体_GB2312"/>
                                <w:color w:val="000000"/>
                                <w:sz w:val="40"/>
                                <w:szCs w:val="40"/>
                              </w:rPr>
                            </w:pPr>
                            <w:r>
                              <w:rPr>
                                <w:rFonts w:ascii="黑体" w:eastAsia="黑体" w:cs="黑体" w:hAnsi="黑体" w:hint="eastAsia"/>
                                <w:color w:val="000000"/>
                                <w:sz w:val="40"/>
                                <w:szCs w:val="40"/>
                              </w:rPr>
                              <w:t>单位名称</w:t>
                            </w:r>
                            <w:r>
                              <w:rPr>
                                <w:rFonts w:ascii="楷体_GB2312" w:eastAsia="楷体_GB2312" w:cs="楷体_GB2312" w:hAnsi="楷体_GB2312" w:hint="eastAsia"/>
                                <w:color w:val="000000"/>
                                <w:sz w:val="40"/>
                                <w:szCs w:val="40"/>
                              </w:rPr>
                              <w:t>：河北省</w:t>
                            </w:r>
                            <w:r>
                              <w:rPr>
                                <w:rFonts w:ascii="楷体_GB2312" w:eastAsia="楷体_GB2312" w:cs="楷体_GB2312" w:hAnsi="楷体_GB2312" w:hint="eastAsia"/>
                                <w:color w:val="000000"/>
                                <w:sz w:val="40"/>
                                <w:szCs w:val="40"/>
                                <w:lang w:eastAsia="zh-CN"/>
                              </w:rPr>
                              <w:t>石家庄市桥西区苑东街道办事处</w:t>
                            </w:r>
                          </w:p>
                        </w:txbxContent>
                      </wps:txbx>
                      <wps:bodyPr vert="horz" wrap="square" lIns="91440" tIns="45720" rIns="91440" bIns="45720" anchor="t" anchorCtr="0" upright="1">
                        <a:noAutofit/>
                      </wps:bodyPr>
                    </wps:wsp>
                  </a:graphicData>
                </a:graphic>
              </wp:anchor>
            </w:drawing>
          </mc:Choice>
          <mc:Fallback>
            <w:pict>
              <v:shape type="#_x0000_t202" id="_x0000_s1026" o:spid="_x0000_s2" filled="f" stroked="f" style="position:absolute;margin-left:25.350002pt;margin-top:431.6pt;width:431.7pt;height:84.0pt;z-index:29;mso-position-horizontal:absolute;mso-position-vertical:absolute;mso-wrap-style:square;">
                <v:stroke color="#000000"/>
                <v:textbox id="848" inset="2.54mm,1.27mm,2.54mm,1.27mm" o:insetmode="custom" style="layout-flow:horizontal;v-text-anchor:top;">
                  <w:txbxContent>
                    <w:p>
                      <w:pPr>
                        <w:spacing w:line="600" w:lineRule="auto"/>
                        <w:jc w:val="left"/>
                        <w:rPr>
                          <w:rFonts w:ascii="楷体_GB2312" w:eastAsia="楷体_GB2312" w:cs="楷体_GB2312" w:hAnsi="楷体_GB2312"/>
                          <w:color w:val="000000"/>
                          <w:sz w:val="40"/>
                          <w:szCs w:val="40"/>
                          <w:lang w:val="en-US" w:eastAsia="zh-CN"/>
                        </w:rPr>
                      </w:pPr>
                      <w:r>
                        <w:rPr>
                          <w:rFonts w:ascii="黑体" w:eastAsia="黑体" w:cs="黑体" w:hAnsi="黑体" w:hint="eastAsia"/>
                          <w:color w:val="000000"/>
                          <w:sz w:val="40"/>
                          <w:szCs w:val="40"/>
                        </w:rPr>
                        <w:t>预算代码</w:t>
                      </w:r>
                      <w:r>
                        <w:rPr>
                          <w:rFonts w:ascii="楷体_GB2312" w:eastAsia="楷体_GB2312" w:cs="楷体_GB2312" w:hAnsi="楷体_GB2312" w:hint="eastAsia"/>
                          <w:color w:val="000000"/>
                          <w:sz w:val="40"/>
                          <w:szCs w:val="40"/>
                        </w:rPr>
                        <w:t>：</w:t>
                      </w:r>
                      <w:r>
                        <w:rPr>
                          <w:rFonts w:ascii="楷体_GB2312" w:eastAsia="楷体_GB2312" w:cs="楷体_GB2312" w:hAnsi="楷体_GB2312" w:hint="eastAsia"/>
                          <w:color w:val="000000"/>
                          <w:sz w:val="40"/>
                          <w:szCs w:val="40"/>
                          <w:lang w:val="en-US" w:eastAsia="zh-CN"/>
                        </w:rPr>
                        <w:t>519</w:t>
                      </w:r>
                    </w:p>
                    <w:p>
                      <w:pPr>
                        <w:spacing w:line="600" w:lineRule="auto"/>
                        <w:jc w:val="left"/>
                        <w:rPr>
                          <w:rFonts w:ascii="楷体_GB2312" w:eastAsia="楷体_GB2312" w:cs="楷体_GB2312" w:hAnsi="楷体_GB2312"/>
                          <w:color w:val="000000"/>
                          <w:sz w:val="40"/>
                          <w:szCs w:val="40"/>
                        </w:rPr>
                      </w:pPr>
                      <w:r>
                        <w:rPr>
                          <w:rFonts w:ascii="黑体" w:eastAsia="黑体" w:cs="黑体" w:hAnsi="黑体" w:hint="eastAsia"/>
                          <w:color w:val="000000"/>
                          <w:sz w:val="40"/>
                          <w:szCs w:val="40"/>
                        </w:rPr>
                        <w:t>单位名称</w:t>
                      </w:r>
                      <w:r>
                        <w:rPr>
                          <w:rFonts w:ascii="楷体_GB2312" w:eastAsia="楷体_GB2312" w:cs="楷体_GB2312" w:hAnsi="楷体_GB2312" w:hint="eastAsia"/>
                          <w:color w:val="000000"/>
                          <w:sz w:val="40"/>
                          <w:szCs w:val="40"/>
                        </w:rPr>
                        <w:t>：河北省</w:t>
                      </w:r>
                      <w:r>
                        <w:rPr>
                          <w:rFonts w:ascii="楷体_GB2312" w:eastAsia="楷体_GB2312" w:cs="楷体_GB2312" w:hAnsi="楷体_GB2312" w:hint="eastAsia"/>
                          <w:color w:val="000000"/>
                          <w:sz w:val="40"/>
                          <w:szCs w:val="40"/>
                          <w:lang w:eastAsia="zh-CN"/>
                        </w:rPr>
                        <w:t>石家庄市桥西区苑东街道办事处</w:t>
                      </w:r>
                    </w:p>
                  </w:txbxContent>
                </v:textbox>
              </v:shape>
            </w:pict>
          </mc:Fallback>
        </mc:AlternateContent>
      </w:r>
      <w:r>
        <w:drawing>
          <wp:anchor distT="0" distB="0" distL="114300" distR="114300" simplePos="0" relativeHeight="45" behindDoc="0" locked="0" layoutInCell="1" hidden="0" allowOverlap="1">
            <wp:simplePos x="0" y="0"/>
            <wp:positionH relativeFrom="column">
              <wp:posOffset>2194560</wp:posOffset>
            </wp:positionH>
            <wp:positionV relativeFrom="paragraph">
              <wp:posOffset>2134870</wp:posOffset>
            </wp:positionV>
            <wp:extent cx="2160270" cy="1310639"/>
            <wp:effectExtent l="-9525" t="-9525" r="11430" b="3810"/>
            <wp:wrapNone/>
            <wp:docPr id="1039" name="https://photo-static-api.fotomore.com/creative/vcg/400/version23/VCG41520173064.jpg" descr="templates\picture_hover\&amp;pky94109459339_sjzg_VCG41520173064&amp;2&amp;src_toppic_droprecent&amp;"/>
            <wp:cNvGraphicFramePr>
              <a:graphicFrameLocks noChangeAspect="0"/>
            </wp:cNvGraphicFramePr>
            <a:graphic>
              <a:graphicData uri="http://schemas.openxmlformats.org/drawingml/2006/picture">
                <pic:pic>
                  <pic:nvPicPr>
                    <pic:cNvPr id="4" name="https://photo-static-api.fotomore.com/creative/vcg/400/version23/VCG41520173064.jpg 4"/>
                    <pic:cNvPicPr/>
                  </pic:nvPicPr>
                  <pic:blipFill>
                    <a:blip r:embed="rId2"/>
                    <a:stretch>
                      <a:fillRect/>
                    </a:stretch>
                  </pic:blipFill>
                  <pic:spPr>
                    <a:xfrm rot="0">
                      <a:off x="0" y="0"/>
                      <a:ext cx="2160270" cy="1310639"/>
                    </a:xfrm>
                    <a:prstGeom prst="rect"/>
                    <a:noFill/>
                    <a:ln w="9525" cmpd="sng" cap="flat">
                      <a:noFill/>
                      <a:prstDash val="solid"/>
                      <a:miter/>
                    </a:ln>
                  </pic:spPr>
                </pic:pic>
              </a:graphicData>
            </a:graphic>
          </wp:anchor>
        </w:drawing>
      </w:r>
      <w:r>
        <w:drawing>
          <wp:anchor distT="0" distB="0" distL="114300" distR="114300" simplePos="0" relativeHeight="41" behindDoc="0" locked="0" layoutInCell="1" hidden="0" allowOverlap="1">
            <wp:simplePos x="0" y="0"/>
            <wp:positionH relativeFrom="column">
              <wp:posOffset>4421505</wp:posOffset>
            </wp:positionH>
            <wp:positionV relativeFrom="paragraph">
              <wp:posOffset>2134870</wp:posOffset>
            </wp:positionV>
            <wp:extent cx="2162810" cy="1310639"/>
            <wp:effectExtent l="-9525" t="-9525" r="8889" b="3810"/>
            <wp:wrapNone/>
            <wp:docPr id="1040" name="https://photo-static-api.fotomore.com/creative/vcg/400/new/VCG41N1489769134.jpg?uid=386&amp;timestamp=1686554386&amp;sign=5f45ccbb5851510551cea00294a903df" descr="templates\picture_hover\&amp;pky17209834312_sjzg_VCG41N1489769134&amp;2&amp;src_toppic_droprecent&amp;"/>
            <wp:cNvGraphicFramePr>
              <a:graphicFrameLocks noChangeAspect="1"/>
            </wp:cNvGraphicFramePr>
            <a:graphic>
              <a:graphicData uri="http://schemas.openxmlformats.org/drawingml/2006/picture">
                <pic:pic>
                  <pic:nvPicPr>
                    <pic:cNvPr id="6" name="https://photo-static-api.fotomore.com/creative/vcg/400/new/VCG41N1489769134.jpg?uid=386&amp;timestamp=1686554386&amp;sign=5f45ccbb5851510551cea00294a903df 6"/>
                    <pic:cNvPicPr/>
                  </pic:nvPicPr>
                  <pic:blipFill>
                    <a:blip r:embed="rId3"/>
                    <a:stretch>
                      <a:fillRect/>
                    </a:stretch>
                  </pic:blipFill>
                  <pic:spPr>
                    <a:xfrm rot="0">
                      <a:off x="0" y="0"/>
                      <a:ext cx="2162810" cy="1310639"/>
                    </a:xfrm>
                    <a:prstGeom prst="rect"/>
                    <a:noFill/>
                    <a:ln w="9525" cmpd="sng" cap="flat">
                      <a:noFill/>
                      <a:prstDash val="solid"/>
                      <a:miter/>
                    </a:ln>
                  </pic:spPr>
                </pic:pic>
              </a:graphicData>
            </a:graphic>
          </wp:anchor>
        </w:drawing>
      </w:r>
      <w:r>
        <mc:AlternateContent>
          <mc:Choice Requires="wps">
            <w:drawing>
              <wp:anchor distT="0" distB="0" distL="114300" distR="114300" simplePos="0" relativeHeight="37" behindDoc="0" locked="0" layoutInCell="1" hidden="0" allowOverlap="1">
                <wp:simplePos x="0" y="0"/>
                <wp:positionH relativeFrom="column">
                  <wp:posOffset>-2453004</wp:posOffset>
                </wp:positionH>
                <wp:positionV relativeFrom="paragraph">
                  <wp:posOffset>2132330</wp:posOffset>
                </wp:positionV>
                <wp:extent cx="9053195" cy="1447135"/>
                <wp:wrapNone/>
                <wp:docPr id="1041" name="组合 1041"/>
                <wp:cNvGraphicFramePr>
                  <a:graphicFrameLocks noChangeAspect="0"/>
                </wp:cNvGraphicFramePr>
                <a:graphic>
                  <a:graphicData uri="http://schemas.microsoft.com/office/word/2010/wordprocessingGroup">
                    <wpg:wgp>
                      <wpg:cNvPr id="7" name="组合 7"/>
                      <wpg:cNvGrpSpPr/>
                      <wpg:grpSpPr>
                        <a:xfrm rot="0">
                          <a:off x="0" y="0"/>
                          <a:ext cx="9053195" cy="1447135"/>
                          <a:chOff x="0" y="0"/>
                          <a:chExt cx="9053195" cy="1447135"/>
                        </a:xfrm>
                        <a:prstGeom prst="rect"/>
                        <a:solidFill>
                          <a:srgbClr val="FFFFFF"/>
                        </a:solidFill>
                        <a:ln w="9525" cmpd="sng" cap="flat">
                          <a:solidFill>
                            <a:srgbClr val="000000"/>
                          </a:solidFill>
                          <a:prstDash val="solid"/>
                          <a:miter/>
                        </a:ln>
                      </wpg:grpSpPr>
                      <wps:wsp>
                        <wps:cNvPr id="8" name="矩形 19 8"/>
                        <wps:cNvSpPr/>
                        <wps:spPr>
                          <a:xfrm rot="0">
                            <a:off x="1472558" y="0"/>
                            <a:ext cx="864768" cy="1309"/>
                          </a:xfrm>
                          <a:prstGeom prst="rect"/>
                          <a:solidFill>
                            <a:srgbClr val="0176AB"/>
                          </a:solidFill>
                          <a:ln w="9525" cmpd="sng" cap="flat">
                            <a:noFill/>
                            <a:prstDash val="solid"/>
                            <a:miter/>
                          </a:ln>
                        </wps:spPr>
                        <wps:bodyPr vert="horz" wrap="square" lIns="91440" tIns="45720" rIns="91440" bIns="45720" anchor="ctr" anchorCtr="0" upright="1">
                          <a:noAutofit/>
                        </wps:bodyPr>
                      </wps:wsp>
                      <wps:wsp>
                        <wps:cNvPr id="9" name="矩形 24 9"/>
                        <wps:cNvSpPr/>
                        <wps:spPr>
                          <a:xfrm rot="0">
                            <a:off x="0" y="1367"/>
                            <a:ext cx="5571014" cy="79"/>
                          </a:xfrm>
                          <a:custGeom>
                            <a:gdLst>
                              <a:gd name="T1" fmla="*/ 0 w 21600"/>
                              <a:gd name="T2" fmla="*/ 0 h 21600"/>
                              <a:gd name="T3" fmla="*/ 21600 w 21600"/>
                              <a:gd name="T4" fmla="*/ 21600 h 21600"/>
                            </a:gdLst>
                            <a:rect l="T1" t="T2" r="T3" b="T4"/>
                            <a:pathLst>
                              <a:path w="21600" h="21600">
                                <a:moveTo>
                                  <a:pt x="0" y="0"/>
                                </a:moveTo>
                                <a:lnTo>
                                  <a:pt x="21476" y="1570"/>
                                </a:lnTo>
                                <a:lnTo>
                                  <a:pt x="21600" y="21600"/>
                                </a:lnTo>
                                <a:lnTo>
                                  <a:pt x="0" y="21600"/>
                                </a:lnTo>
                                <a:lnTo>
                                  <a:pt x="0" y="0"/>
                                </a:lnTo>
                                <a:close/>
                              </a:path>
                            </a:pathLst>
                          </a:custGeom>
                          <a:solidFill>
                            <a:srgbClr val="E5AA57"/>
                          </a:solidFill>
                          <a:ln w="9525" cmpd="sng" cap="flat">
                            <a:noFill/>
                            <a:prstDash val="solid"/>
                            <a:miter/>
                          </a:ln>
                        </wps:spPr>
                        <wps:bodyPr vert="horz" wrap="square" lIns="91440" tIns="45720" rIns="91440" bIns="45720" anchor="t" anchorCtr="0" upright="1">
                          <a:noAutofit/>
                        </wps:bodyPr>
                      </wps:wsp>
                      <wps:wsp>
                        <wps:cNvPr id="10" name="矩形 25 10"/>
                        <wps:cNvSpPr/>
                        <wps:spPr>
                          <a:xfrm rot="0">
                            <a:off x="5580445" y="1367"/>
                            <a:ext cx="3472748" cy="79"/>
                          </a:xfrm>
                          <a:custGeom>
                            <a:gdLst>
                              <a:gd name="T1" fmla="*/ 0 w 21600"/>
                              <a:gd name="T2" fmla="*/ 0 h 21600"/>
                              <a:gd name="T3" fmla="*/ 21600 w 21600"/>
                              <a:gd name="T4" fmla="*/ 21600 h 21600"/>
                            </a:gdLst>
                            <a:rect l="T1" t="T2" r="T3" b="T4"/>
                            <a:pathLst>
                              <a:path w="21600" h="21600">
                                <a:moveTo>
                                  <a:pt x="0" y="0"/>
                                </a:moveTo>
                                <a:lnTo>
                                  <a:pt x="21599" y="0"/>
                                </a:lnTo>
                                <a:lnTo>
                                  <a:pt x="21599" y="21600"/>
                                </a:lnTo>
                                <a:lnTo>
                                  <a:pt x="265" y="21600"/>
                                </a:lnTo>
                                <a:lnTo>
                                  <a:pt x="0" y="0"/>
                                </a:lnTo>
                                <a:close/>
                              </a:path>
                            </a:pathLst>
                          </a:custGeom>
                          <a:solidFill>
                            <a:srgbClr val="0176AB"/>
                          </a:solidFill>
                          <a:ln w="9525" cmpd="sng" cap="flat">
                            <a:noFill/>
                            <a:prstDash val="solid"/>
                            <a:miter/>
                          </a:ln>
                        </wps:spPr>
                        <wps:bodyPr vert="horz" wrap="square" lIns="91440" tIns="45720" rIns="91440" bIns="45720" anchor="t" anchorCtr="0" upright="1">
                          <a:noAutofit/>
                        </wps:bodyPr>
                      </wps:wsp>
                      <wps:bodyPr vert="horz" wrap="square" lIns="91440" tIns="45720" rIns="91440" bIns="45720" anchor="t" anchorCtr="0" upright="1">
                        <a:noAutofit/>
                      </wps:bodyPr>
                    </wpg:wgp>
                  </a:graphicData>
                </a:graphic>
              </wp:anchor>
            </w:drawing>
          </mc:Choice>
          <mc:Fallback>
            <w:pict>
              <v:group type="#_x0000_t1" id="组合 1041" o:spid="_x0000_s11" coordorigin="-2331,4832" coordsize="14257,2278" style="position:absolute;margin-left:-193.15pt;margin-top:167.9pt;width:712.85pt;height:113.947655pt;z-index:37;mso-position-horizontal:absolute;mso-position-vertical:absolute;">
                <v:rect type="#_x0000_t1" id="矩形 19 8" o:spid="_x0000_s12" style="position:absolute;left:-13;top:4832;width:1361;height:2;" fillcolor="#0176AB" stroked="f">
                  <v:stroke color="#000000"/>
                </v:rect>
                <v:shape type="#_x0000_t100" id="矩形 24 9" o:spid="_x0000_s13" style="position:absolute;left:-2331;top:4834;width:8773;height:0;" coordsize="7501732,94593" path="m0,0l7458720,6350,7501732,94593,0,94593,0,0xe" fillcolor="#E5AA57" stroked="f">
                  <v:stroke color="#000000"/>
                </v:shape>
                <v:shape type="#_x0000_t100" id="矩形 25 10" o:spid="_x0000_s14" style="position:absolute;left:6456;top:4834;width:5468;height:0;" coordsize="4676187,94594" path="m0,0l4676187,0,4676187,94594,57510,94594,0,0xe" fillcolor="#0176AB" stroked="f">
                  <v:stroke color="#000000"/>
                </v:shape>
              </v:group>
            </w:pict>
          </mc:Fallback>
        </mc:AlternateContent>
      </w:r>
      <w:r>
        <w:drawing>
          <wp:anchor distT="0" distB="0" distL="114300" distR="114300" simplePos="0" relativeHeight="43" behindDoc="0" locked="0" layoutInCell="1" hidden="0" allowOverlap="1">
            <wp:simplePos x="0" y="0"/>
            <wp:positionH relativeFrom="column">
              <wp:posOffset>-44450</wp:posOffset>
            </wp:positionH>
            <wp:positionV relativeFrom="paragraph">
              <wp:posOffset>2134870</wp:posOffset>
            </wp:positionV>
            <wp:extent cx="2159000" cy="1310639"/>
            <wp:effectExtent l="-9525" t="-9525" r="12700" b="3810"/>
            <wp:wrapNone/>
            <wp:docPr id="1042" name="https://photo-static-api.fotomore.com/creative/vcg/400/new/VCG211393708916.jpg" descr="templates\picture_hover\&amp;pky00203123560_sjzg_VCG211393708916&amp;2&amp;src_toppic_droprecent&amp;"/>
            <wp:cNvGraphicFramePr>
              <a:graphicFrameLocks noChangeAspect="1"/>
            </wp:cNvGraphicFramePr>
            <a:graphic>
              <a:graphicData uri="http://schemas.openxmlformats.org/drawingml/2006/picture">
                <pic:pic>
                  <pic:nvPicPr>
                    <pic:cNvPr id="16" name="https://photo-static-api.fotomore.com/creative/vcg/400/new/VCG211393708916.jpg 16"/>
                    <pic:cNvPicPr/>
                  </pic:nvPicPr>
                  <pic:blipFill>
                    <a:blip r:embed="rId4"/>
                    <a:stretch>
                      <a:fillRect/>
                    </a:stretch>
                  </pic:blipFill>
                  <pic:spPr>
                    <a:xfrm rot="0">
                      <a:off x="0" y="0"/>
                      <a:ext cx="2159000" cy="1310639"/>
                    </a:xfrm>
                    <a:prstGeom prst="rect"/>
                    <a:noFill/>
                    <a:ln w="9525" cmpd="sng" cap="flat">
                      <a:noFill/>
                      <a:prstDash val="solid"/>
                      <a:miter/>
                    </a:ln>
                  </pic:spPr>
                </pic:pic>
              </a:graphicData>
            </a:graphic>
          </wp:anchor>
        </w:drawing>
      </w:r>
      <w:r>
        <mc:AlternateContent>
          <mc:Choice Requires="wps">
            <w:drawing>
              <wp:anchor distT="0" distB="0" distL="114300" distR="114300" simplePos="0" relativeHeight="31" behindDoc="0" locked="0" layoutInCell="1" hidden="0" allowOverlap="1">
                <wp:simplePos x="0" y="0"/>
                <wp:positionH relativeFrom="column">
                  <wp:posOffset>-280670</wp:posOffset>
                </wp:positionH>
                <wp:positionV relativeFrom="paragraph">
                  <wp:posOffset>-313055</wp:posOffset>
                </wp:positionV>
                <wp:extent cx="5954395" cy="1885315"/>
                <wp:wrapNone/>
                <wp:docPr id="1044" name="组合 1044"/>
                <wp:cNvGraphicFramePr>
                  <a:graphicFrameLocks noChangeAspect="0"/>
                </wp:cNvGraphicFramePr>
                <a:graphic>
                  <a:graphicData uri="http://schemas.microsoft.com/office/word/2010/wordprocessingGroup">
                    <wpg:wgp>
                      <wpg:cNvPr id="17" name="组合 17"/>
                      <wpg:cNvGrpSpPr/>
                      <wpg:grpSpPr>
                        <a:xfrm rot="0">
                          <a:off x="0" y="0"/>
                          <a:ext cx="5954395" cy="1885315"/>
                          <a:chOff x="0" y="0"/>
                          <a:chExt cx="5954395" cy="1885315"/>
                        </a:xfrm>
                        <a:prstGeom prst="rect"/>
                        <a:solidFill>
                          <a:srgbClr val="FFFFFF"/>
                        </a:solidFill>
                        <a:ln w="9525" cmpd="sng" cap="flat">
                          <a:solidFill>
                            <a:srgbClr val="000000"/>
                          </a:solidFill>
                          <a:prstDash val="solid"/>
                          <a:miter/>
                        </a:ln>
                      </wpg:grpSpPr>
                      <wps:wsp>
                        <wps:cNvPr id="18" name="文本框 32 18"/>
                        <wps:cNvSpPr/>
                        <wps:spPr>
                          <a:xfrm rot="0">
                            <a:off x="779144" y="0"/>
                            <a:ext cx="2833370" cy="855979"/>
                          </a:xfrm>
                          <a:prstGeom prst="rect"/>
                          <a:noFill/>
                          <a:ln w="9525" cmpd="sng" cap="flat">
                            <a:noFill/>
                            <a:prstDash val="solid"/>
                            <a:miter/>
                          </a:ln>
                        </wps:spPr>
                        <wps:txbx id="19">
                          <w:txbxContent>
                            <w:p>
                              <w:pPr>
                                <w:jc w:val="distribute"/>
                                <w:rPr>
                                  <w:rFonts w:ascii="方正魏碑简体" w:eastAsia="方正魏碑简体" w:cs="Arial" w:hAnsi="Arial"/>
                                  <w:color w:val="000000"/>
                                  <w:kern w:val="0"/>
                                  <w:sz w:val="22"/>
                                </w:rPr>
                              </w:pPr>
                              <w:r>
                                <w:rPr>
                                  <w:rFonts w:ascii="方正魏碑简体" w:eastAsia="方正魏碑简体" w:cs="Arial" w:hAnsi="Arial" w:hint="eastAsia"/>
                                  <w:color w:val="000000"/>
                                  <w:spacing w:val="60"/>
                                  <w:kern w:val="24"/>
                                  <w:sz w:val="72"/>
                                  <w:szCs w:val="72"/>
                                </w:rPr>
                                <w:t>2023年度</w:t>
                              </w:r>
                            </w:p>
                          </w:txbxContent>
                        </wps:txbx>
                        <wps:bodyPr vert="horz" wrap="square" lIns="91440" tIns="45720" rIns="91440" bIns="45720" anchor="t" anchorCtr="0" upright="1">
                          <a:noAutofit/>
                        </wps:bodyPr>
                      </wps:wsp>
                      <wpg:grpSp>
                        <wpg:cNvPr id="20" name="组合 20"/>
                        <wpg:cNvGrpSpPr/>
                        <wpg:grpSpPr>
                          <a:xfrm rot="0">
                            <a:off x="0" y="864870"/>
                            <a:ext cx="5954395" cy="1020444"/>
                            <a:chOff x="0" y="0"/>
                            <a:chExt cx="5954395" cy="1020444"/>
                          </a:xfrm>
                          <a:prstGeom prst="rect"/>
                          <a:solidFill>
                            <a:srgbClr val="FFFFFF"/>
                          </a:solidFill>
                          <a:ln w="9525" cmpd="sng" cap="flat">
                            <a:solidFill>
                              <a:srgbClr val="000000"/>
                            </a:solidFill>
                            <a:prstDash val="solid"/>
                            <a:miter/>
                          </a:ln>
                        </wpg:grpSpPr>
                        <wps:wsp>
                          <wps:cNvPr id="21" name="文本框 32 21"/>
                          <wps:cNvSpPr/>
                          <wps:spPr>
                            <a:xfrm rot="0">
                              <a:off x="0" y="0"/>
                              <a:ext cx="5954395" cy="902334"/>
                            </a:xfrm>
                            <a:prstGeom prst="rect"/>
                            <a:noFill/>
                            <a:ln w="9525" cmpd="sng" cap="flat">
                              <a:noFill/>
                              <a:prstDash val="solid"/>
                              <a:miter/>
                            </a:ln>
                          </wps:spPr>
                          <wps:txbx id="22">
                            <w:txbxContent>
                              <w:p>
                                <w:pPr>
                                  <w:jc w:val="left"/>
                                  <w:rPr>
                                    <w:rFonts w:ascii="黑体" w:eastAsia="黑体" w:cs="黑体" w:hAnsi="黑体"/>
                                    <w:color w:val="000000"/>
                                    <w:kern w:val="0"/>
                                    <w:sz w:val="24"/>
                                    <w:szCs w:val="24"/>
                                  </w:rPr>
                                </w:pPr>
                                <w:r>
                                  <w:rPr>
                                    <w:rFonts w:ascii="黑体" w:eastAsia="黑体" w:cs="黑体" w:hAnsi="黑体" w:hint="eastAsia"/>
                                    <w:color w:val="000000"/>
                                    <w:spacing w:val="60"/>
                                    <w:kern w:val="24"/>
                                    <w:sz w:val="96"/>
                                    <w:szCs w:val="96"/>
                                  </w:rPr>
                                  <w:t>部门决算公开文本</w:t>
                                </w:r>
                              </w:p>
                            </w:txbxContent>
                          </wps:txbx>
                          <wps:bodyPr vert="horz" wrap="square" lIns="91440" tIns="45720" rIns="91440" bIns="45720" anchor="t" anchorCtr="0" upright="1">
                            <a:noAutofit/>
                          </wps:bodyPr>
                        </wps:wsp>
                        <wps:wsp>
                          <wps:cNvPr id="23" name="直接连接符 4 23"/>
                          <wps:cNvSpPr/>
                          <wps:spPr>
                            <a:xfrm rot="0">
                              <a:off x="67945" y="1020445"/>
                              <a:ext cx="5524500" cy="63"/>
                            </a:xfrm>
                            <a:prstGeom prst="line"/>
                            <a:noFill/>
                            <a:ln w="28575" cmpd="sng" cap="flat">
                              <a:solidFill>
                                <a:srgbClr val="1F4D78"/>
                              </a:solidFill>
                              <a:prstDash val="sysDash"/>
                              <a:miter/>
                            </a:ln>
                          </wps:spPr>
                          <wps:bodyPr vert="horz" wrap="square" lIns="91440" tIns="45720" rIns="91440" bIns="45720" anchor="t" anchorCtr="0" upright="1">
                            <a:noAutofit/>
                          </wps:bodyPr>
                        </wps:wsp>
                      </wpg:grpSp>
                      <wps:bodyPr vert="horz" wrap="square" lIns="91440" tIns="45720" rIns="91440" bIns="45720" anchor="t" anchorCtr="0" upright="1">
                        <a:noAutofit/>
                      </wps:bodyPr>
                    </wpg:wgp>
                  </a:graphicData>
                </a:graphic>
              </wp:anchor>
            </w:drawing>
          </mc:Choice>
          <mc:Fallback>
            <w:pict>
              <v:group type="#_x0000_t1" id="组合 1044" o:spid="_x0000_s24" coordorigin="1089,980" coordsize="9377,2969" style="position:absolute;margin-left:-22.100006pt;margin-top:-24.650007pt;width:468.85pt;height:148.45001pt;z-index:31;mso-position-horizontal:absolute;mso-position-vertical:absolute;">
                <v:shape type="#_x0000_t202" id="_s25" o:spid="_x0000_s25" style="position:absolute;left:2316;top:980;width:4462;height:1347;mso-wrap-style:square;" filled="f" stroked="f">
                  <v:textbox id="852" inset="2.54mm,1.27mm,2.54mm,1.27mm" o:insetmode="custom" style="layout-flow:horizontal;v-text-anchor:top;">
                    <w:txbxContent>
                      <w:p>
                        <w:pPr>
                          <w:jc w:val="distribute"/>
                          <w:rPr>
                            <w:rFonts w:ascii="方正魏碑简体" w:eastAsia="方正魏碑简体" w:cs="Arial" w:hAnsi="Arial"/>
                            <w:color w:val="000000"/>
                            <w:kern w:val="0"/>
                            <w:sz w:val="22"/>
                          </w:rPr>
                        </w:pPr>
                        <w:r>
                          <w:rPr>
                            <w:rFonts w:ascii="方正魏碑简体" w:eastAsia="方正魏碑简体" w:cs="Arial" w:hAnsi="Arial" w:hint="eastAsia"/>
                            <w:color w:val="000000"/>
                            <w:spacing w:val="60"/>
                            <w:kern w:val="24"/>
                            <w:sz w:val="72"/>
                            <w:szCs w:val="72"/>
                          </w:rPr>
                          <w:t>2023年度</w:t>
                        </w:r>
                      </w:p>
                    </w:txbxContent>
                  </v:textbox>
                  <v:stroke color="#000000"/>
                </v:shape>
                <v:group type="#_x0000_t1" id="组合 1043" o:spid="_x0000_s26" coordorigin="1089,2343" coordsize="9377,1606" style="position:absolute;left:1089;top:2343;width:9377;height:1606;">
                  <v:shape type="#_x0000_t202" id="_s27" o:spid="_x0000_s27" style="position:absolute;left:1089;top:2343;width:9377;height:1420;mso-wrap-style:square;" filled="f" stroked="f">
                    <v:textbox id="853" inset="2.54mm,1.27mm,2.54mm,1.27mm" o:insetmode="custom" style="layout-flow:horizontal;v-text-anchor:top;">
                      <w:txbxContent>
                        <w:p>
                          <w:pPr>
                            <w:jc w:val="left"/>
                            <w:rPr>
                              <w:rFonts w:ascii="黑体" w:eastAsia="黑体" w:cs="黑体" w:hAnsi="黑体"/>
                              <w:color w:val="000000"/>
                              <w:kern w:val="0"/>
                              <w:sz w:val="24"/>
                              <w:szCs w:val="24"/>
                            </w:rPr>
                          </w:pPr>
                          <w:r>
                            <w:rPr>
                              <w:rFonts w:ascii="黑体" w:eastAsia="黑体" w:cs="黑体" w:hAnsi="黑体" w:hint="eastAsia"/>
                              <w:color w:val="000000"/>
                              <w:spacing w:val="60"/>
                              <w:kern w:val="24"/>
                              <w:sz w:val="96"/>
                              <w:szCs w:val="96"/>
                            </w:rPr>
                            <w:t>部门决算公开文本</w:t>
                          </w:r>
                        </w:p>
                      </w:txbxContent>
                    </v:textbox>
                    <v:stroke color="#000000"/>
                  </v:shape>
                  <v:line type="#_x0000_t20" id="直接连接符 4 23" o:spid="_x0000_s28" style="position:absolute;visibility:visible;" from="1196.0004,3950.0" to="9896.0,3950.0996" filled="f" stroked="t" strokeweight="2.25pt">
                    <v:stroke dashstyle="1 1" color="#1F4D78"/>
                  </v:line>
                </v:group>
              </v:group>
            </w:pict>
          </mc:Fallback>
        </mc:AlternateContent>
      </w:r>
      <w:r>
        <w:drawing>
          <wp:anchor distT="0" distB="0" distL="114300" distR="114300" simplePos="0" relativeHeight="39" behindDoc="0" locked="0" layoutInCell="1" hidden="0" allowOverlap="1">
            <wp:simplePos x="0" y="0"/>
            <wp:positionH relativeFrom="column">
              <wp:posOffset>-95250</wp:posOffset>
            </wp:positionH>
            <wp:positionV relativeFrom="margin">
              <wp:posOffset>-27305</wp:posOffset>
            </wp:positionV>
            <wp:extent cx="506094" cy="506094"/>
            <wp:effectExtent l="-9525" t="-9525" r="8255" b="8255"/>
            <wp:wrapNone/>
            <wp:docPr id="1045" name="图片 1045" descr="32313539313538323b32313539313537353bb5e7c4d4b0ecb9ab"/>
            <wp:cNvGraphicFramePr>
              <a:graphicFrameLocks noChangeAspect="1"/>
            </wp:cNvGraphicFramePr>
            <a:graphic>
              <a:graphicData uri="http://schemas.openxmlformats.org/drawingml/2006/picture">
                <pic:pic>
                  <pic:nvPicPr>
                    <pic:cNvPr id="30" name="图片 30"/>
                    <pic:cNvPicPr/>
                  </pic:nvPicPr>
                  <pic:blipFill>
                    <a:blip r:embed="rId5"/>
                    <a:stretch>
                      <a:fillRect/>
                    </a:stretch>
                  </pic:blipFill>
                  <pic:spPr>
                    <a:xfrm rot="0">
                      <a:off x="0" y="0"/>
                      <a:ext cx="506094" cy="506094"/>
                    </a:xfrm>
                    <a:prstGeom prst="rect"/>
                    <a:noFill/>
                    <a:ln w="9525" cmpd="sng" cap="flat">
                      <a:noFill/>
                      <a:prstDash val="solid"/>
                      <a:miter/>
                    </a:ln>
                  </pic:spPr>
                </pic:pic>
              </a:graphicData>
            </a:graphic>
          </wp:anchor>
        </w:drawing>
      </w:r>
      <w:r>
        <mc:AlternateContent>
          <mc:Choice Requires="wps">
            <w:drawing>
              <wp:anchor distT="0" distB="0" distL="114300" distR="114300" simplePos="0" relativeHeight="33" behindDoc="0" locked="0" layoutInCell="1" hidden="0" allowOverlap="1">
                <wp:simplePos x="0" y="0"/>
                <wp:positionH relativeFrom="column">
                  <wp:posOffset>1120140</wp:posOffset>
                </wp:positionH>
                <wp:positionV relativeFrom="paragraph">
                  <wp:posOffset>7942580</wp:posOffset>
                </wp:positionV>
                <wp:extent cx="3260090" cy="520700"/>
                <wp:wrapNone/>
                <wp:docPr id="1032" name="_x0000_s1032"/>
                <wp:cNvGraphicFramePr>
                  <a:graphicFrameLocks noChangeAspect="0"/>
                </wp:cNvGraphicFramePr>
                <a:graphic>
                  <a:graphicData uri="http://schemas.microsoft.com/office/word/2010/wordprocessingShape">
                    <wps:wsp>
                      <wps:cNvSpPr/>
                      <wps:spPr>
                        <a:xfrm rot="0">
                          <a:off x="0" y="0"/>
                          <a:ext cx="3260090" cy="520700"/>
                        </a:xfrm>
                        <a:prstGeom prst="rect"/>
                        <a:noFill/>
                        <a:ln w="9525" cmpd="sng" cap="flat">
                          <a:noFill/>
                          <a:prstDash val="solid"/>
                          <a:miter/>
                        </a:ln>
                      </wps:spPr>
                      <wps:txbx id="31">
                        <w:txbxContent>
                          <w:p>
                            <w:pPr>
                              <w:spacing w:line="600" w:lineRule="auto"/>
                              <w:jc w:val="center"/>
                              <w:rPr>
                                <w:rFonts w:ascii="楷体_GB2312" w:eastAsia="楷体_GB2312" w:cs="楷体_GB2312" w:hAnsi="楷体_GB2312"/>
                                <w:color w:val="000000"/>
                                <w:sz w:val="40"/>
                                <w:szCs w:val="40"/>
                              </w:rPr>
                            </w:pPr>
                            <w:r>
                              <w:rPr>
                                <w:rFonts w:ascii="楷体_GB2312" w:eastAsia="楷体_GB2312" w:cs="楷体_GB2312" w:hAnsi="楷体_GB2312" w:hint="eastAsia"/>
                                <w:color w:val="000000"/>
                                <w:sz w:val="40"/>
                                <w:szCs w:val="40"/>
                              </w:rPr>
                              <w:t>二〇二四年九月</w:t>
                            </w:r>
                          </w:p>
                        </w:txbxContent>
                      </wps:txbx>
                      <wps:bodyPr vert="horz" wrap="square" lIns="91440" tIns="45720" rIns="91440" bIns="45720" anchor="t" anchorCtr="0" upright="1">
                        <a:noAutofit/>
                      </wps:bodyPr>
                    </wps:wsp>
                  </a:graphicData>
                </a:graphic>
              </wp:anchor>
            </w:drawing>
          </mc:Choice>
          <mc:Fallback>
            <w:pict>
              <v:shape type="#_x0000_t202" id="_x0000_s1032" o:spid="_x0000_s32" filled="f" stroked="f" style="position:absolute;margin-left:88.2pt;margin-top:625.4pt;width:256.7pt;height:41.000015pt;z-index:33;mso-position-horizontal:absolute;mso-position-vertical:absolute;mso-wrap-style:square;">
                <v:stroke color="#000000"/>
                <v:textbox id="855" inset="2.54mm,1.27mm,2.54mm,1.27mm" o:insetmode="custom" style="layout-flow:horizontal;v-text-anchor:top;">
                  <w:txbxContent>
                    <w:p>
                      <w:pPr>
                        <w:spacing w:line="600" w:lineRule="auto"/>
                        <w:jc w:val="center"/>
                        <w:rPr>
                          <w:rFonts w:ascii="楷体_GB2312" w:eastAsia="楷体_GB2312" w:cs="楷体_GB2312" w:hAnsi="楷体_GB2312"/>
                          <w:color w:val="000000"/>
                          <w:sz w:val="40"/>
                          <w:szCs w:val="40"/>
                        </w:rPr>
                      </w:pPr>
                      <w:r>
                        <w:rPr>
                          <w:rFonts w:ascii="楷体_GB2312" w:eastAsia="楷体_GB2312" w:cs="楷体_GB2312" w:hAnsi="楷体_GB2312" w:hint="eastAsia"/>
                          <w:color w:val="000000"/>
                          <w:sz w:val="40"/>
                          <w:szCs w:val="40"/>
                        </w:rPr>
                        <w:t>二〇二四年九月</w:t>
                      </w:r>
                    </w:p>
                  </w:txbxContent>
                </v:textbox>
              </v:shape>
            </w:pict>
          </mc:Fallback>
        </mc:AlternateContent>
      </w:r>
      <w:r>
        <mc:AlternateContent>
          <mc:Choice Requires="wps">
            <w:drawing>
              <wp:anchor distT="0" distB="0" distL="114300" distR="114300" simplePos="0" relativeHeight="27" behindDoc="0" locked="0" layoutInCell="1" hidden="0" allowOverlap="1">
                <wp:simplePos x="0" y="0"/>
                <wp:positionH relativeFrom="column">
                  <wp:posOffset>-253365</wp:posOffset>
                </wp:positionH>
                <wp:positionV relativeFrom="paragraph">
                  <wp:posOffset>1611630</wp:posOffset>
                </wp:positionV>
                <wp:extent cx="5494020" cy="570230"/>
                <wp:wrapNone/>
                <wp:docPr id="1033" name="文本框 33"/>
                <wp:cNvGraphicFramePr>
                  <a:graphicFrameLocks noChangeAspect="0"/>
                </wp:cNvGraphicFramePr>
                <a:graphic>
                  <a:graphicData uri="http://schemas.microsoft.com/office/word/2010/wordprocessingShape">
                    <wps:wsp>
                      <wps:cNvSpPr/>
                      <wps:spPr>
                        <a:xfrm rot="0">
                          <a:off x="0" y="0"/>
                          <a:ext cx="5494020" cy="570230"/>
                        </a:xfrm>
                        <a:prstGeom prst="rect"/>
                        <a:noFill/>
                        <a:ln w="9525" cmpd="sng" cap="flat">
                          <a:noFill/>
                          <a:prstDash val="solid"/>
                          <a:miter/>
                        </a:ln>
                      </wps:spPr>
                      <wps:txbx id="33">
                        <w:txbxContent>
                          <w:p>
                            <w:pPr>
                              <w:jc w:val="distribute"/>
                              <w:rPr>
                                <w:rFonts w:ascii="思源黑体 CN Heavy" w:eastAsia="思源黑体 CN Heavy" w:hAnsi="思源黑体 CN Heavy"/>
                                <w:color w:val="A5A5A5"/>
                                <w:kern w:val="0"/>
                                <w:sz w:val="40"/>
                                <w:szCs w:val="40"/>
                              </w:rPr>
                            </w:pPr>
                          </w:p>
                        </w:txbxContent>
                      </wps:txbx>
                      <wps:bodyPr vert="horz" wrap="square" lIns="91440" tIns="45720" rIns="91440" bIns="45720" anchor="t" anchorCtr="0" upright="1">
                        <a:noAutofit/>
                      </wps:bodyPr>
                    </wps:wsp>
                  </a:graphicData>
                </a:graphic>
              </wp:anchor>
            </w:drawing>
          </mc:Choice>
          <mc:Fallback>
            <w:pict>
              <v:shape type="#_x0000_t202" id="文本框 33" o:spid="_x0000_s34" filled="f" stroked="f" style="position:absolute;margin-left:-19.95pt;margin-top:126.90001pt;width:432.60004pt;height:44.9pt;z-index:27;mso-position-horizontal:absolute;mso-position-vertical:absolute;mso-wrap-style:square;">
                <v:stroke color="#000000"/>
                <v:textbox id="856" inset="2.54mm,1.27mm,2.54mm,1.27mm" o:insetmode="custom" style="layout-flow:horizontal;v-text-anchor:top;">
                  <w:txbxContent>
                    <w:p>
                      <w:pPr>
                        <w:jc w:val="distribute"/>
                        <w:rPr>
                          <w:rFonts w:ascii="思源黑体 CN Heavy" w:eastAsia="思源黑体 CN Heavy" w:hAnsi="思源黑体 CN Heavy"/>
                          <w:color w:val="A5A5A5"/>
                          <w:kern w:val="0"/>
                          <w:sz w:val="40"/>
                          <w:szCs w:val="40"/>
                        </w:rPr>
                      </w:pPr>
                    </w:p>
                  </w:txbxContent>
                </v:textbox>
              </v:shape>
            </w:pict>
          </mc:Fallback>
        </mc:AlternateContent>
      </w:r>
      <w:r>
        <w:drawing>
          <wp:anchor distT="0" distB="0" distL="114300" distR="114300" simplePos="0" relativeHeight="25" behindDoc="0" locked="0" layoutInCell="1" hidden="0" allowOverlap="1">
            <wp:simplePos x="0" y="0"/>
            <wp:positionH relativeFrom="margin">
              <wp:posOffset>-2810510</wp:posOffset>
            </wp:positionH>
            <wp:positionV relativeFrom="margin">
              <wp:posOffset>304165</wp:posOffset>
            </wp:positionV>
            <wp:extent cx="11083290" cy="7844790"/>
            <wp:effectExtent l="-9525" t="-9525" r="3810" b="3810"/>
            <wp:wrapNone/>
            <wp:docPr id="1046" name="背景 耗崽"/>
            <wp:cNvGraphicFramePr>
              <a:graphicFrameLocks noChangeAspect="1"/>
            </wp:cNvGraphicFramePr>
            <a:graphic>
              <a:graphicData uri="http://schemas.openxmlformats.org/drawingml/2006/picture">
                <pic:pic>
                  <pic:nvPicPr>
                    <pic:cNvPr id="36" name="背景 耗崽 36"/>
                    <pic:cNvPicPr/>
                  </pic:nvPicPr>
                  <pic:blipFill>
                    <a:blip r:embed="rId6"/>
                    <a:stretch>
                      <a:fillRect/>
                    </a:stretch>
                  </pic:blipFill>
                  <pic:spPr>
                    <a:xfrm rot="16200000">
                      <a:off x="0" y="0"/>
                      <a:ext cx="11083290" cy="7844790"/>
                    </a:xfrm>
                    <a:prstGeom prst="rect"/>
                    <a:noFill/>
                    <a:ln w="9525" cmpd="sng" cap="flat">
                      <a:noFill/>
                      <a:prstDash val="solid"/>
                      <a:miter/>
                    </a:ln>
                  </pic:spPr>
                </pic:pic>
              </a:graphicData>
            </a:graphic>
          </wp:anchor>
        </w:drawing>
      </w:r>
      <w:r>
        <w:br w:type="page"/>
      </w:r>
    </w:p>
    <w:p>
      <w:pPr>
        <w:tabs>
          <w:tab w:val="left" w:pos="2728"/>
        </w:tabs>
        <w:jc w:val="center"/>
        <w:rPr>
          <w:rFonts w:ascii="黑体" w:eastAsia="黑体" w:cs="Times New Roman" w:hAnsi="Times New Roman"/>
          <w:sz w:val="44"/>
          <w:szCs w:val="44"/>
        </w:rPr>
      </w:pPr>
      <w:r>
        <w:rPr>
          <w:rFonts w:ascii="黑体" w:eastAsia="黑体" w:cs="Times New Roman" w:hAnsi="Times New Roman" w:hint="eastAsia"/>
          <w:sz w:val="44"/>
          <w:szCs w:val="44"/>
        </w:rPr>
        <w:t>目    录</w:t>
      </w:r>
    </w:p>
    <w:p>
      <w:pPr>
        <w:widowControl/>
        <w:spacing w:after="160" w:line="580" w:lineRule="exact"/>
        <w:ind w:firstLineChars="200" w:firstLine="640"/>
        <w:rPr>
          <w:rFonts w:ascii="Times New Roman" w:eastAsia="黑体" w:cs="Times New Roman" w:hAnsi="Times New Roman"/>
          <w:sz w:val="32"/>
          <w:szCs w:val="32"/>
        </w:rPr>
      </w:pPr>
    </w:p>
    <w:p>
      <w:pPr>
        <w:widowControl/>
        <w:spacing w:after="160" w:line="580" w:lineRule="exact"/>
        <w:ind w:firstLineChars="200" w:firstLine="640"/>
        <w:rPr>
          <w:rFonts w:ascii="Times New Roman" w:eastAsia="仿宋_GB2312" w:cs="Times New Roman" w:hAnsi="Times New Roman"/>
          <w:sz w:val="24"/>
          <w:szCs w:val="32"/>
        </w:rPr>
      </w:pPr>
      <w:r>
        <w:rPr>
          <w:rFonts w:ascii="Times New Roman" w:eastAsia="黑体" w:cs="Times New Roman" w:hAnsi="Times New Roman"/>
          <w:sz w:val="32"/>
          <w:szCs w:val="32"/>
        </w:rPr>
        <w:t>第一部分</w:t>
      </w:r>
      <w:r>
        <w:rPr>
          <w:rFonts w:ascii="Times New Roman" w:eastAsia="黑体" w:cs="Times New Roman" w:hAnsi="Times New Roman" w:hint="eastAsia"/>
          <w:sz w:val="32"/>
          <w:szCs w:val="32"/>
        </w:rPr>
        <w:t xml:space="preserve">   </w:t>
      </w:r>
      <w:r>
        <w:rPr>
          <w:rFonts w:ascii="Times New Roman" w:eastAsia="黑体" w:cs="Times New Roman" w:hAnsi="Times New Roman"/>
          <w:sz w:val="32"/>
          <w:szCs w:val="32"/>
        </w:rPr>
        <w:t>部门概况</w:t>
      </w:r>
    </w:p>
    <w:p>
      <w:pPr>
        <w:widowControl/>
        <w:spacing w:after="160" w:line="580" w:lineRule="exact"/>
        <w:ind w:firstLineChars="398" w:firstLine="1274"/>
        <w:rPr>
          <w:rFonts w:ascii="Times New Roman" w:eastAsia="仿宋_GB2312" w:cs="Times New Roman" w:hAnsi="Times New Roman"/>
          <w:sz w:val="32"/>
          <w:szCs w:val="32"/>
        </w:rPr>
      </w:pPr>
      <w:r>
        <w:rPr>
          <w:rFonts w:ascii="Times New Roman" w:eastAsia="仿宋_GB2312" w:cs="Times New Roman" w:hAnsi="Times New Roman"/>
          <w:sz w:val="32"/>
          <w:szCs w:val="32"/>
        </w:rPr>
        <w:t>一、部门</w:t>
      </w:r>
      <w:r>
        <w:rPr>
          <w:rFonts w:ascii="Times New Roman" w:eastAsia="仿宋_GB2312" w:cs="Times New Roman" w:hAnsi="Times New Roman" w:hint="eastAsia"/>
          <w:sz w:val="32"/>
          <w:szCs w:val="32"/>
        </w:rPr>
        <w:t>职责</w:t>
      </w:r>
    </w:p>
    <w:p>
      <w:pPr>
        <w:widowControl/>
        <w:spacing w:after="160" w:line="580" w:lineRule="exact"/>
        <w:ind w:firstLineChars="398" w:firstLine="1274"/>
        <w:rPr>
          <w:rFonts w:ascii="Times New Roman" w:eastAsia="仿宋_GB2312" w:cs="Times New Roman" w:hAnsi="Times New Roman"/>
          <w:sz w:val="32"/>
          <w:szCs w:val="32"/>
        </w:rPr>
      </w:pPr>
      <w:r>
        <w:rPr>
          <w:rFonts w:ascii="Times New Roman" w:eastAsia="仿宋_GB2312" w:cs="Times New Roman" w:hAnsi="Times New Roman"/>
          <w:sz w:val="32"/>
          <w:szCs w:val="32"/>
        </w:rPr>
        <w:t>二、</w:t>
      </w:r>
      <w:r>
        <w:rPr>
          <w:rFonts w:ascii="Times New Roman" w:eastAsia="仿宋_GB2312" w:cs="Times New Roman" w:hAnsi="Times New Roman" w:hint="eastAsia"/>
          <w:sz w:val="32"/>
          <w:szCs w:val="32"/>
        </w:rPr>
        <w:t>机构设置</w:t>
      </w:r>
    </w:p>
    <w:p>
      <w:pPr>
        <w:widowControl/>
        <w:spacing w:after="160" w:line="580" w:lineRule="exact"/>
        <w:ind w:firstLineChars="200" w:firstLine="640"/>
        <w:rPr>
          <w:rFonts w:ascii="Times New Roman" w:eastAsia="黑体" w:cs="Times New Roman" w:hAnsi="Times New Roman"/>
          <w:sz w:val="32"/>
          <w:szCs w:val="32"/>
        </w:rPr>
      </w:pPr>
      <w:r>
        <w:rPr>
          <w:rFonts w:ascii="Times New Roman" w:eastAsia="黑体" w:cs="Times New Roman" w:hAnsi="Times New Roman"/>
          <w:sz w:val="32"/>
          <w:szCs w:val="32"/>
        </w:rPr>
        <w:t>第二部分</w:t>
      </w:r>
      <w:r>
        <w:rPr>
          <w:rFonts w:ascii="Times New Roman" w:eastAsia="黑体" w:cs="Times New Roman" w:hAnsi="Times New Roman" w:hint="eastAsia"/>
          <w:sz w:val="32"/>
          <w:szCs w:val="32"/>
        </w:rPr>
        <w:t xml:space="preserve">   2023年</w:t>
      </w:r>
      <w:r>
        <w:rPr>
          <w:rFonts w:ascii="Times New Roman" w:eastAsia="黑体" w:cs="Times New Roman" w:hAnsi="Times New Roman"/>
          <w:sz w:val="32"/>
          <w:szCs w:val="32"/>
        </w:rPr>
        <w:t>度部门决算报表</w:t>
      </w:r>
    </w:p>
    <w:p>
      <w:pPr>
        <w:widowControl/>
        <w:spacing w:after="160" w:line="580" w:lineRule="exact"/>
        <w:ind w:firstLineChars="400" w:firstLine="1280"/>
        <w:rPr>
          <w:rFonts w:ascii="Times New Roman" w:eastAsia="仿宋_GB2312" w:cs="Times New Roman" w:hAnsi="Times New Roman"/>
          <w:sz w:val="32"/>
          <w:szCs w:val="32"/>
        </w:rPr>
      </w:pPr>
      <w:r>
        <w:rPr>
          <w:rFonts w:ascii="Times New Roman" w:eastAsia="仿宋_GB2312" w:cs="Times New Roman" w:hAnsi="Times New Roman"/>
          <w:sz w:val="32"/>
          <w:szCs w:val="32"/>
        </w:rPr>
        <w:t>一、</w:t>
      </w:r>
      <w:r>
        <w:rPr>
          <w:rFonts w:ascii="Times New Roman" w:eastAsia="仿宋_GB2312" w:cs="Times New Roman" w:hAnsi="Times New Roman" w:hint="eastAsia"/>
          <w:sz w:val="32"/>
          <w:szCs w:val="32"/>
        </w:rPr>
        <w:t>收入支出决算总表</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sz w:val="32"/>
          <w:szCs w:val="32"/>
        </w:rPr>
        <w:t>二、收入决算</w:t>
      </w:r>
      <w:r>
        <w:rPr>
          <w:rFonts w:ascii="Times New Roman" w:eastAsia="仿宋_GB2312" w:cs="Times New Roman" w:hAnsi="Times New Roman" w:hint="eastAsia"/>
          <w:sz w:val="32"/>
          <w:szCs w:val="32"/>
        </w:rPr>
        <w:t>表</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sz w:val="32"/>
          <w:szCs w:val="32"/>
        </w:rPr>
        <w:t>三、支出决算</w:t>
      </w:r>
      <w:r>
        <w:rPr>
          <w:rFonts w:ascii="Times New Roman" w:eastAsia="仿宋_GB2312" w:cs="Times New Roman" w:hAnsi="Times New Roman" w:hint="eastAsia"/>
          <w:sz w:val="32"/>
          <w:szCs w:val="32"/>
        </w:rPr>
        <w:t>表</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sz w:val="32"/>
          <w:szCs w:val="32"/>
        </w:rPr>
        <w:t>四、</w:t>
      </w:r>
      <w:r>
        <w:rPr>
          <w:rFonts w:ascii="Times New Roman" w:eastAsia="仿宋_GB2312" w:cs="Times New Roman" w:hAnsi="Times New Roman" w:hint="eastAsia"/>
          <w:sz w:val="32"/>
          <w:szCs w:val="32"/>
        </w:rPr>
        <w:t>财政拨款收入支出决算总表</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hint="eastAsia"/>
          <w:sz w:val="32"/>
          <w:szCs w:val="32"/>
        </w:rPr>
        <w:t>五、一般公共预算财政拨款支出决算表</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hint="eastAsia"/>
          <w:sz w:val="32"/>
          <w:szCs w:val="32"/>
        </w:rPr>
        <w:t>六、一般公共预算财政拨款基本支出决算明细表</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hint="eastAsia"/>
          <w:sz w:val="32"/>
          <w:szCs w:val="32"/>
        </w:rPr>
        <w:t>七、政府性基金预算财政拨款收入支出决算表</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hint="eastAsia"/>
          <w:sz w:val="32"/>
          <w:szCs w:val="32"/>
        </w:rPr>
        <w:t>八</w:t>
      </w:r>
      <w:r>
        <w:rPr>
          <w:rFonts w:ascii="Times New Roman" w:eastAsia="仿宋_GB2312" w:cs="Times New Roman" w:hAnsi="Times New Roman"/>
          <w:sz w:val="32"/>
          <w:szCs w:val="32"/>
        </w:rPr>
        <w:t>、</w:t>
      </w:r>
      <w:r>
        <w:rPr>
          <w:rFonts w:ascii="Times New Roman" w:eastAsia="仿宋_GB2312" w:cs="Times New Roman" w:hAnsi="Times New Roman" w:hint="eastAsia"/>
          <w:sz w:val="32"/>
          <w:szCs w:val="32"/>
        </w:rPr>
        <w:t>国有资本经营预算财政拨款支出决算表</w:t>
      </w:r>
    </w:p>
    <w:p>
      <w:pPr>
        <w:widowControl/>
        <w:spacing w:after="160" w:line="580" w:lineRule="exact"/>
        <w:ind w:left="640" w:firstLineChars="200" w:firstLine="640"/>
        <w:rPr>
          <w:rFonts w:ascii="Times New Roman" w:eastAsia="仿宋_GB2312" w:cs="Times New Roman" w:hAnsi="Times New Roman"/>
          <w:sz w:val="20"/>
          <w:szCs w:val="32"/>
        </w:rPr>
      </w:pPr>
      <w:r>
        <w:rPr>
          <w:rFonts w:ascii="Times New Roman" w:eastAsia="仿宋_GB2312" w:cs="Times New Roman" w:hAnsi="Times New Roman" w:hint="eastAsia"/>
          <w:sz w:val="32"/>
          <w:szCs w:val="32"/>
        </w:rPr>
        <w:t>九、财政拨款“三公”经费支出决算表</w:t>
      </w:r>
    </w:p>
    <w:p>
      <w:pPr>
        <w:widowControl/>
        <w:spacing w:after="160" w:line="580" w:lineRule="exact"/>
        <w:ind w:firstLineChars="200" w:firstLine="640"/>
        <w:rPr>
          <w:rFonts w:ascii="Times New Roman" w:eastAsia="黑体" w:cs="Times New Roman" w:hAnsi="Times New Roman"/>
          <w:sz w:val="32"/>
          <w:szCs w:val="32"/>
        </w:rPr>
      </w:pPr>
      <w:r>
        <w:rPr>
          <w:rFonts w:ascii="Times New Roman" w:eastAsia="黑体" w:cs="Times New Roman" w:hAnsi="Times New Roman"/>
          <w:sz w:val="32"/>
          <w:szCs w:val="32"/>
        </w:rPr>
        <w:t>第三部分</w:t>
      </w:r>
      <w:r>
        <w:rPr>
          <w:rFonts w:ascii="Times New Roman" w:eastAsia="黑体" w:cs="Times New Roman" w:hAnsi="Times New Roman" w:hint="eastAsia"/>
          <w:sz w:val="32"/>
          <w:szCs w:val="32"/>
        </w:rPr>
        <w:t xml:space="preserve">   2023年度</w:t>
      </w:r>
      <w:r>
        <w:rPr>
          <w:rFonts w:ascii="Times New Roman" w:eastAsia="黑体" w:cs="Times New Roman" w:hAnsi="Times New Roman"/>
          <w:sz w:val="32"/>
          <w:szCs w:val="32"/>
        </w:rPr>
        <w:t>部门决算情况说明</w:t>
      </w:r>
    </w:p>
    <w:p>
      <w:pPr>
        <w:widowControl/>
        <w:spacing w:after="160" w:line="580" w:lineRule="exact"/>
        <w:ind w:firstLineChars="400" w:firstLine="1280"/>
        <w:rPr>
          <w:rFonts w:ascii="Times New Roman" w:eastAsia="仿宋_GB2312" w:cs="Times New Roman" w:hAnsi="Times New Roman"/>
          <w:sz w:val="32"/>
          <w:szCs w:val="32"/>
        </w:rPr>
      </w:pPr>
      <w:r>
        <w:rPr>
          <w:rFonts w:ascii="Times New Roman" w:eastAsia="仿宋_GB2312" w:cs="Times New Roman" w:hAnsi="Times New Roman"/>
          <w:sz w:val="32"/>
          <w:szCs w:val="32"/>
        </w:rPr>
        <w:t>一、</w:t>
      </w:r>
      <w:r>
        <w:rPr>
          <w:rFonts w:ascii="Times New Roman" w:eastAsia="仿宋_GB2312" w:cs="Times New Roman" w:hAnsi="Times New Roman" w:hint="eastAsia"/>
          <w:sz w:val="32"/>
          <w:szCs w:val="32"/>
        </w:rPr>
        <w:t>收入支出决算总体情况说明</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sz w:val="32"/>
          <w:szCs w:val="32"/>
        </w:rPr>
        <w:t>二、收入决算情况说明</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sz w:val="32"/>
          <w:szCs w:val="32"/>
        </w:rPr>
        <w:t>三、支出决算情况说明</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hint="eastAsia"/>
          <w:sz w:val="32"/>
          <w:szCs w:val="32"/>
        </w:rPr>
        <w:t>四、财政拨款收入支出决算总体情况说明</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hint="eastAsia"/>
          <w:sz w:val="32"/>
          <w:szCs w:val="32"/>
        </w:rPr>
        <w:t>五、财政拨款“三公”经费支出决算情况说明</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hint="eastAsia"/>
          <w:sz w:val="32"/>
          <w:szCs w:val="32"/>
        </w:rPr>
        <w:t>六、机关运行经费支出说明</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hint="eastAsia"/>
          <w:sz w:val="32"/>
          <w:szCs w:val="32"/>
        </w:rPr>
        <w:t>七、政府采购支出说明</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hint="eastAsia"/>
          <w:sz w:val="32"/>
          <w:szCs w:val="32"/>
        </w:rPr>
        <w:t>八、国有资产占用情况说明</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hint="eastAsia"/>
          <w:sz w:val="32"/>
          <w:szCs w:val="32"/>
        </w:rPr>
        <w:t>九、预算绩效情况说明</w:t>
      </w:r>
    </w:p>
    <w:p>
      <w:pPr>
        <w:widowControl/>
        <w:spacing w:after="160" w:line="580" w:lineRule="exact"/>
        <w:ind w:left="640" w:firstLineChars="200" w:firstLine="640"/>
        <w:rPr>
          <w:rFonts w:ascii="Times New Roman" w:eastAsia="仿宋_GB2312" w:cs="Times New Roman" w:hAnsi="Times New Roman"/>
          <w:sz w:val="32"/>
          <w:szCs w:val="32"/>
        </w:rPr>
      </w:pPr>
      <w:r>
        <w:rPr>
          <w:rFonts w:ascii="Times New Roman" w:eastAsia="仿宋_GB2312" w:cs="Times New Roman" w:hAnsi="Times New Roman" w:hint="eastAsia"/>
          <w:sz w:val="32"/>
          <w:szCs w:val="32"/>
        </w:rPr>
        <w:t>十、其他需要说明的情况</w:t>
      </w:r>
    </w:p>
    <w:p>
      <w:pPr>
        <w:widowControl/>
        <w:spacing w:after="160" w:line="580" w:lineRule="exact"/>
        <w:ind w:firstLineChars="200" w:firstLine="640"/>
        <w:rPr>
          <w:rFonts w:ascii="Times New Roman" w:eastAsia="黑体" w:cs="Times New Roman" w:hAnsi="Times New Roman"/>
          <w:sz w:val="32"/>
          <w:szCs w:val="32"/>
        </w:rPr>
      </w:pPr>
      <w:r>
        <w:rPr>
          <w:rFonts w:ascii="Times New Roman" w:eastAsia="黑体" w:cs="Times New Roman" w:hAnsi="Times New Roman"/>
          <w:sz w:val="32"/>
          <w:szCs w:val="32"/>
        </w:rPr>
        <w:t>第</w:t>
      </w:r>
      <w:r>
        <w:rPr>
          <w:rFonts w:ascii="Times New Roman" w:eastAsia="黑体" w:cs="Times New Roman" w:hAnsi="Times New Roman" w:hint="eastAsia"/>
          <w:sz w:val="32"/>
          <w:szCs w:val="32"/>
        </w:rPr>
        <w:t>四</w:t>
      </w:r>
      <w:r>
        <w:rPr>
          <w:rFonts w:ascii="Times New Roman" w:eastAsia="黑体" w:cs="Times New Roman" w:hAnsi="Times New Roman"/>
          <w:sz w:val="32"/>
          <w:szCs w:val="32"/>
        </w:rPr>
        <w:t>部分</w:t>
      </w:r>
      <w:r>
        <w:rPr>
          <w:rFonts w:ascii="Times New Roman" w:eastAsia="黑体" w:cs="Times New Roman" w:hAnsi="Times New Roman" w:hint="eastAsia"/>
          <w:sz w:val="32"/>
          <w:szCs w:val="32"/>
        </w:rPr>
        <w:t xml:space="preserve">   </w:t>
      </w:r>
      <w:r>
        <w:rPr>
          <w:rFonts w:ascii="Times New Roman" w:eastAsia="黑体" w:cs="Times New Roman" w:hAnsi="Times New Roman"/>
          <w:sz w:val="32"/>
          <w:szCs w:val="32"/>
        </w:rPr>
        <w:t>名词解释</w:t>
      </w:r>
    </w:p>
    <w:p>
      <w:pPr>
        <w:widowControl/>
        <w:spacing w:after="160" w:line="580" w:lineRule="exact"/>
        <w:ind w:firstLineChars="200" w:firstLine="640"/>
        <w:rPr>
          <w:rFonts w:ascii="Times New Roman" w:eastAsia="黑体" w:cs="Times New Roman" w:hAnsi="Times New Roman"/>
          <w:sz w:val="32"/>
          <w:szCs w:val="32"/>
        </w:rPr>
        <w:sectPr>
          <w:pgSz w:w="11906" w:h="16838"/>
          <w:pgMar w:top="1474" w:right="1531" w:bottom="1474" w:left="1531" w:header="851" w:footer="992" w:gutter="0"/>
          <w:pgBorders>
            <w:top w:val="none" w:sz="0" w:space="0" w:color="auto"/>
            <w:left w:val="none" w:sz="0" w:space="0" w:color="auto"/>
            <w:bottom w:val="none" w:sz="0" w:space="0" w:color="auto"/>
            <w:right w:val="none" w:sz="0" w:space="0" w:color="auto"/>
          </w:pgBorders>
          <w:cols w:num="1" w:space="0"/>
          <w:titlePg/>
          <w:docGrid w:type="lines" w:linePitch="312" w:charSpace="0"/>
        </w:sectPr>
      </w:pPr>
    </w:p>
    <w:p>
      <w:pPr>
        <w:pStyle w:val="1"/>
        <w:spacing w:before="0" w:after="0" w:line="580" w:lineRule="exact"/>
        <w:ind w:firstLineChars="200" w:firstLine="880"/>
        <w:jc w:val="center"/>
        <w:rPr>
          <w:rFonts w:ascii="黑体" w:eastAsia="黑体" w:cs="黑体" w:hAnsi="黑体"/>
          <w:b w:val="0"/>
          <w:bCs w:val="0"/>
          <w:color w:val="000000"/>
          <w:kern w:val="2"/>
        </w:rPr>
      </w:pPr>
    </w:p>
    <w:p>
      <w:pPr>
        <w:pStyle w:val="1"/>
        <w:spacing w:before="0" w:after="0" w:line="580" w:lineRule="exact"/>
        <w:ind w:firstLineChars="200" w:firstLine="880"/>
        <w:jc w:val="center"/>
        <w:rPr>
          <w:rFonts w:ascii="黑体" w:eastAsia="黑体" w:cs="黑体" w:hAnsi="黑体"/>
          <w:b w:val="0"/>
          <w:bCs w:val="0"/>
          <w:color w:val="000000"/>
          <w:kern w:val="2"/>
        </w:rPr>
      </w:pPr>
    </w:p>
    <w:p>
      <w:pPr>
        <w:pStyle w:val="1"/>
        <w:spacing w:before="0" w:after="0" w:line="580" w:lineRule="exact"/>
        <w:ind w:firstLineChars="200" w:firstLine="880"/>
        <w:jc w:val="center"/>
        <w:rPr>
          <w:rFonts w:ascii="黑体" w:eastAsia="黑体" w:cs="黑体" w:hAnsi="黑体"/>
          <w:b w:val="0"/>
          <w:bCs w:val="0"/>
          <w:color w:val="000000"/>
          <w:kern w:val="2"/>
        </w:rPr>
      </w:pPr>
    </w:p>
    <w:p>
      <w:pPr>
        <w:pStyle w:val="1"/>
        <w:spacing w:before="0" w:after="0" w:line="580" w:lineRule="exact"/>
        <w:ind w:firstLineChars="200" w:firstLine="880"/>
        <w:jc w:val="center"/>
        <w:rPr>
          <w:rFonts w:ascii="黑体" w:eastAsia="黑体" w:cs="黑体" w:hAnsi="黑体"/>
          <w:b w:val="0"/>
          <w:bCs w:val="0"/>
          <w:color w:val="000000"/>
          <w:kern w:val="2"/>
        </w:rPr>
      </w:pPr>
    </w:p>
    <w:p>
      <w:pPr>
        <w:pStyle w:val="1"/>
        <w:spacing w:before="0" w:after="0" w:line="580" w:lineRule="exact"/>
        <w:ind w:firstLineChars="200" w:firstLine="880"/>
        <w:jc w:val="center"/>
        <w:rPr>
          <w:rFonts w:ascii="黑体" w:eastAsia="黑体" w:cs="黑体" w:hAnsi="黑体"/>
          <w:b w:val="0"/>
          <w:bCs w:val="0"/>
          <w:color w:val="000000"/>
          <w:kern w:val="2"/>
        </w:rPr>
      </w:pPr>
    </w:p>
    <w:p>
      <w:pPr>
        <w:pStyle w:val="1"/>
        <w:spacing w:before="0" w:after="0" w:line="580" w:lineRule="exact"/>
        <w:ind w:firstLineChars="200" w:firstLine="880"/>
        <w:jc w:val="center"/>
        <w:rPr>
          <w:rFonts w:ascii="黑体" w:eastAsia="黑体" w:cs="黑体" w:hAnsi="黑体"/>
          <w:b w:val="0"/>
          <w:bCs w:val="0"/>
          <w:color w:val="000000"/>
          <w:kern w:val="2"/>
        </w:rPr>
      </w:pPr>
    </w:p>
    <w:p>
      <w:pPr>
        <w:pStyle w:val="1"/>
        <w:spacing w:before="0" w:after="0" w:line="580" w:lineRule="exact"/>
        <w:ind w:firstLineChars="200" w:firstLine="880"/>
        <w:jc w:val="center"/>
        <w:rPr>
          <w:rFonts w:ascii="黑体" w:eastAsia="黑体" w:cs="黑体" w:hAnsi="黑体"/>
          <w:b w:val="0"/>
          <w:bCs w:val="0"/>
          <w:color w:val="000000"/>
          <w:kern w:val="2"/>
        </w:rPr>
      </w:pPr>
    </w:p>
    <w:p/>
    <w:p>
      <w:pPr>
        <w:pStyle w:val="1"/>
        <w:spacing w:before="0" w:after="0" w:line="580" w:lineRule="exact"/>
        <w:ind w:firstLineChars="200" w:firstLine="880"/>
        <w:jc w:val="center"/>
        <w:rPr>
          <w:rFonts w:ascii="黑体" w:eastAsia="黑体" w:cs="黑体" w:hAnsi="黑体"/>
          <w:b w:val="0"/>
          <w:bCs w:val="0"/>
          <w:color w:val="000000"/>
          <w:kern w:val="2"/>
        </w:rPr>
      </w:pPr>
    </w:p>
    <w:p>
      <w:pPr>
        <w:pStyle w:val="1"/>
        <w:spacing w:before="0" w:after="0" w:line="580" w:lineRule="exact"/>
        <w:ind w:firstLineChars="200" w:firstLine="880"/>
        <w:jc w:val="center"/>
        <w:rPr>
          <w:rFonts w:ascii="黑体" w:eastAsia="黑体" w:cs="黑体" w:hAnsi="黑体"/>
          <w:b w:val="0"/>
          <w:bCs w:val="0"/>
          <w:color w:val="000000"/>
          <w:kern w:val="2"/>
        </w:rPr>
      </w:pPr>
    </w:p>
    <w:p>
      <w:pPr>
        <w:pStyle w:val="1"/>
        <w:spacing w:before="0" w:after="0" w:line="580" w:lineRule="exact"/>
        <w:ind w:left="0"/>
        <w:jc w:val="center"/>
        <w:rPr>
          <w:rFonts w:ascii="黑体" w:eastAsia="黑体" w:cs="黑体" w:hAnsi="黑体"/>
          <w:b w:val="0"/>
          <w:bCs w:val="0"/>
          <w:color w:val="000000"/>
          <w:kern w:val="2"/>
        </w:rPr>
        <w:sectPr>
          <w:headerReference w:type="default" r:id="rId7"/>
          <w:pgSz w:w="11906" w:h="16838"/>
          <w:pgMar w:top="1474" w:right="1474" w:bottom="1474" w:left="1474" w:header="851" w:footer="992" w:gutter="0"/>
          <w:pgBorders>
            <w:top w:val="none" w:sz="0" w:space="0" w:color="auto"/>
            <w:left w:val="none" w:sz="0" w:space="0" w:color="auto"/>
            <w:bottom w:val="none" w:sz="0" w:space="0" w:color="auto"/>
            <w:right w:val="none" w:sz="0" w:space="0" w:color="auto"/>
          </w:pgBorders>
          <w:cols w:num="1" w:space="0"/>
          <w:docGrid w:type="lines" w:linePitch="312" w:charSpace="0"/>
        </w:sectPr>
      </w:pPr>
      <w:r>
        <w:rPr>
          <w:rFonts w:ascii="黑体" w:eastAsia="黑体" w:cs="黑体" w:hAnsi="黑体" w:hint="eastAsia"/>
          <w:b w:val="0"/>
          <w:bCs w:val="0"/>
          <w:color w:val="000000"/>
          <w:kern w:val="2"/>
        </w:rPr>
        <w:t>第一部分  部门概况</w:t>
      </w:r>
    </w:p>
    <w:p>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t>一、部门职责</w:t>
      </w:r>
    </w:p>
    <w:p>
      <w:pPr>
        <w:keepNext/>
        <w:keepLines/>
        <w:spacing w:line="580" w:lineRule="exact"/>
        <w:ind w:firstLineChars="200" w:firstLine="640"/>
        <w:jc w:val="left"/>
        <w:outlineLvl w:val="0"/>
        <w:rPr>
          <w:rFonts w:ascii="仿宋_GB2312" w:eastAsia="仿宋_GB2312" w:cs="DengXian-Regular" w:hAnsi="Times New Roman" w:hint="eastAsia"/>
          <w:sz w:val="32"/>
          <w:szCs w:val="32"/>
        </w:rPr>
      </w:pPr>
      <w:r>
        <w:rPr>
          <w:rFonts w:ascii="仿宋_GB2312" w:eastAsia="仿宋_GB2312" w:cs="DengXian-Regular" w:hAnsi="Times New Roman" w:hint="eastAsia"/>
          <w:sz w:val="32"/>
          <w:szCs w:val="32"/>
        </w:rPr>
        <w:t>(一)宣传贯彻执行党的路线方针政策和党中央、上级党组织的决议。贯彻执行法律、法规、规章和上级人民代表大会及其常务委员会决议及上级政府的决定、命令，依法管理辖区公共事务。</w:t>
      </w:r>
    </w:p>
    <w:p>
      <w:pPr>
        <w:keepNext/>
        <w:keepLines/>
        <w:spacing w:line="580" w:lineRule="exact"/>
        <w:ind w:firstLineChars="200" w:firstLine="640"/>
        <w:jc w:val="left"/>
        <w:outlineLvl w:val="0"/>
        <w:rPr>
          <w:rFonts w:ascii="仿宋_GB2312" w:eastAsia="仿宋_GB2312" w:cs="DengXian-Regular" w:hAnsi="Times New Roman" w:hint="eastAsia"/>
          <w:sz w:val="32"/>
          <w:szCs w:val="32"/>
        </w:rPr>
      </w:pPr>
      <w:r>
        <w:rPr>
          <w:rFonts w:ascii="仿宋_GB2312" w:eastAsia="仿宋_GB2312" w:cs="DengXian-Regular" w:hAnsi="Times New Roman" w:hint="eastAsia"/>
          <w:sz w:val="32"/>
          <w:szCs w:val="32"/>
        </w:rPr>
        <w:t>(二)讨论并决定本街道重大问题，统筹、协调辖区单位和组织，团结、组织党内外干部和群众，抓好决策部署的组织实施和督促落实。组织实施与居民生活密切相关的公共服务，落实民政民生、卫生健康、住房保障、就业创业、社会保障、文化教育和体育事业等政策。</w:t>
      </w:r>
    </w:p>
    <w:p>
      <w:pPr>
        <w:keepNext/>
        <w:keepLines/>
        <w:spacing w:line="580" w:lineRule="exact"/>
        <w:ind w:firstLineChars="200" w:firstLine="640"/>
        <w:jc w:val="left"/>
        <w:outlineLvl w:val="0"/>
        <w:rPr>
          <w:rFonts w:ascii="仿宋_GB2312" w:eastAsia="仿宋_GB2312" w:cs="DengXian-Regular" w:hAnsi="Times New Roman" w:hint="eastAsia"/>
          <w:sz w:val="32"/>
          <w:szCs w:val="32"/>
        </w:rPr>
      </w:pPr>
      <w:r>
        <w:rPr>
          <w:rFonts w:ascii="仿宋_GB2312" w:eastAsia="仿宋_GB2312" w:cs="DengXian-Regular" w:hAnsi="Times New Roman" w:hint="eastAsia"/>
          <w:sz w:val="32"/>
          <w:szCs w:val="32"/>
        </w:rPr>
        <w:t>(三)负责办理上级人大常委会交办的监督、选举以及其他工作，做好人大代表工作，联系选民、反映群众意见和要求。</w:t>
      </w:r>
    </w:p>
    <w:p>
      <w:pPr>
        <w:keepNext/>
        <w:keepLines/>
        <w:spacing w:line="580" w:lineRule="exact"/>
        <w:ind w:firstLineChars="200" w:firstLine="640"/>
        <w:jc w:val="left"/>
        <w:outlineLvl w:val="0"/>
        <w:rPr>
          <w:rFonts w:ascii="仿宋_GB2312" w:eastAsia="仿宋_GB2312" w:cs="DengXian-Regular" w:hAnsi="Times New Roman" w:hint="eastAsia"/>
          <w:sz w:val="32"/>
          <w:szCs w:val="32"/>
        </w:rPr>
      </w:pPr>
      <w:r>
        <w:rPr>
          <w:rFonts w:ascii="仿宋_GB2312" w:eastAsia="仿宋_GB2312" w:cs="DengXian-Regular" w:hAnsi="Times New Roman" w:hint="eastAsia"/>
          <w:sz w:val="32"/>
          <w:szCs w:val="32"/>
        </w:rPr>
        <w:t>(四)加强街道党工委自身建设和基层党组织建设，履行全面从严治党主体责任，建立健全党建联席会议制度，全面推进辖区党的政治建设、思想建设、组织建设、作风建设、纪律建设:把制度建设贯穿其中，组织开展党风廉政建设和反腐败工作。</w:t>
      </w:r>
    </w:p>
    <w:p>
      <w:pPr>
        <w:keepNext/>
        <w:keepLines/>
        <w:spacing w:line="580" w:lineRule="exact"/>
        <w:ind w:firstLineChars="200" w:firstLine="640"/>
        <w:jc w:val="left"/>
        <w:outlineLvl w:val="0"/>
        <w:rPr>
          <w:rFonts w:ascii="仿宋_GB2312" w:eastAsia="仿宋_GB2312" w:cs="DengXian-Regular" w:hAnsi="Times New Roman" w:hint="eastAsia"/>
          <w:sz w:val="32"/>
          <w:szCs w:val="32"/>
        </w:rPr>
      </w:pPr>
      <w:r>
        <w:rPr>
          <w:rFonts w:ascii="仿宋_GB2312" w:eastAsia="仿宋_GB2312" w:cs="DengXian-Regular" w:hAnsi="Times New Roman" w:hint="eastAsia"/>
          <w:sz w:val="32"/>
          <w:szCs w:val="32"/>
        </w:rPr>
        <w:t>(五)街道党工委领导群团组织，加强指导和规范，支持和保证群团组织依照国家法律法规以及各自章程履行职责。坚持党管武装的根本原则和制度，协调各方力量，对街道人民武装工作实行统一领导。(六)指导居民委员会等基层群众性自治组织建设，健全自治平台。组织动员社区居民、单位和社会力量参与社区治理，整合辖区内社会力量，形成社区共治合力，为社区发展服务。对社区工作者队伍进行教育管理。</w:t>
      </w:r>
    </w:p>
    <w:p>
      <w:pPr>
        <w:keepNext/>
        <w:keepLines/>
        <w:spacing w:line="580" w:lineRule="exact"/>
        <w:ind w:firstLineChars="200" w:firstLine="640"/>
        <w:jc w:val="left"/>
        <w:outlineLvl w:val="0"/>
        <w:rPr>
          <w:rFonts w:ascii="仿宋_GB2312" w:eastAsia="仿宋_GB2312" w:cs="DengXian-Regular" w:hAnsi="Times New Roman" w:hint="eastAsia"/>
          <w:sz w:val="32"/>
          <w:szCs w:val="32"/>
        </w:rPr>
      </w:pPr>
      <w:r>
        <w:rPr>
          <w:rFonts w:ascii="仿宋_GB2312" w:eastAsia="仿宋_GB2312" w:cs="DengXian-Regular" w:hAnsi="Times New Roman" w:hint="eastAsia"/>
          <w:sz w:val="32"/>
          <w:szCs w:val="32"/>
        </w:rPr>
        <w:t>(七)按照管理权限,对街道机关及所属单位干部进行教育培训、选拔、考核和监督，对上级政府职能部门派出机构的工作考核和主要负责同志任免提出意见。</w:t>
      </w:r>
    </w:p>
    <w:p>
      <w:pPr>
        <w:keepNext/>
        <w:keepLines/>
        <w:spacing w:line="580" w:lineRule="exact"/>
        <w:ind w:firstLineChars="200" w:firstLine="640"/>
        <w:jc w:val="left"/>
        <w:outlineLvl w:val="0"/>
        <w:rPr>
          <w:rFonts w:ascii="仿宋_GB2312" w:eastAsia="仿宋_GB2312" w:cs="DengXian-Regular" w:hAnsi="Times New Roman" w:hint="eastAsia"/>
          <w:sz w:val="32"/>
          <w:szCs w:val="32"/>
        </w:rPr>
      </w:pPr>
      <w:r>
        <w:rPr>
          <w:rFonts w:ascii="仿宋_GB2312" w:eastAsia="仿宋_GB2312" w:cs="DengXian-Regular" w:hAnsi="Times New Roman" w:hint="eastAsia"/>
          <w:sz w:val="32"/>
          <w:szCs w:val="32"/>
        </w:rPr>
        <w:t>(八)统筹协调辖区经济社会发展，促进乡村全面振兴，组织维护辖区安全稳定，协调推动社会治安综合治理，做好应急管理、民族宗教工作，承担民兵、预备役、征兵、退役军人服务、拥军优属、防范邪教等工作。</w:t>
      </w:r>
    </w:p>
    <w:p>
      <w:pPr>
        <w:keepNext/>
        <w:keepLines/>
        <w:spacing w:line="580" w:lineRule="exact"/>
        <w:ind w:firstLineChars="200" w:firstLine="640"/>
        <w:jc w:val="left"/>
        <w:outlineLvl w:val="0"/>
        <w:rPr>
          <w:rFonts w:ascii="仿宋_GB2312" w:eastAsia="仿宋_GB2312" w:cs="DengXian-Regular" w:hAnsi="Times New Roman" w:hint="eastAsia"/>
          <w:sz w:val="32"/>
          <w:szCs w:val="32"/>
        </w:rPr>
      </w:pPr>
      <w:r>
        <w:rPr>
          <w:rFonts w:ascii="仿宋_GB2312" w:eastAsia="仿宋_GB2312" w:cs="DengXian-Regular" w:hAnsi="Times New Roman" w:hint="eastAsia"/>
          <w:sz w:val="32"/>
          <w:szCs w:val="32"/>
        </w:rPr>
        <w:t>(九)组织开展群众性文化、体育、科普活动，开展法治宣传和社会公德教育，推动社区公益事业发展。维护老年人、妇女、未成年人、残疾人等合法权益。</w:t>
      </w:r>
    </w:p>
    <w:p>
      <w:pPr>
        <w:keepNext/>
        <w:keepLines/>
        <w:spacing w:line="580" w:lineRule="exact"/>
        <w:ind w:firstLineChars="200" w:firstLine="640"/>
        <w:jc w:val="left"/>
        <w:outlineLvl w:val="0"/>
        <w:rPr>
          <w:rFonts w:ascii="仿宋_GB2312" w:eastAsia="仿宋_GB2312" w:cs="DengXian-Regular" w:hAnsi="Times New Roman" w:hint="eastAsia"/>
          <w:sz w:val="32"/>
          <w:szCs w:val="32"/>
        </w:rPr>
      </w:pPr>
      <w:r>
        <w:rPr>
          <w:rFonts w:ascii="仿宋_GB2312" w:eastAsia="仿宋_GB2312" w:cs="DengXian-Regular" w:hAnsi="Times New Roman" w:hint="eastAsia"/>
          <w:sz w:val="32"/>
          <w:szCs w:val="32"/>
        </w:rPr>
        <w:t>(十)参与辖区设施规划、建设和验收，综合管理、统筹调度和考核督办涉及辖区的公共事务，按照有关规定统筹使用下沉到街道社区的人财物等资源。</w:t>
      </w:r>
    </w:p>
    <w:p>
      <w:pPr>
        <w:keepNext/>
        <w:keepLines/>
        <w:spacing w:line="580" w:lineRule="exact"/>
        <w:ind w:firstLineChars="200" w:firstLine="640"/>
        <w:jc w:val="left"/>
        <w:outlineLvl w:val="0"/>
        <w:rPr>
          <w:rFonts w:ascii="仿宋_GB2312" w:eastAsia="仿宋_GB2312" w:cs="DengXian-Regular" w:hAnsi="Times New Roman" w:hint="eastAsia"/>
          <w:sz w:val="32"/>
          <w:szCs w:val="32"/>
        </w:rPr>
      </w:pPr>
      <w:r>
        <w:rPr>
          <w:rFonts w:ascii="仿宋_GB2312" w:eastAsia="仿宋_GB2312" w:cs="DengXian-Regular" w:hAnsi="Times New Roman" w:hint="eastAsia"/>
          <w:sz w:val="32"/>
          <w:szCs w:val="32"/>
        </w:rPr>
        <w:t>(十一)承办上级党委、人大、政府交办的其他事项。</w:t>
      </w:r>
    </w:p>
    <w:p>
      <w:pPr>
        <w:keepNext/>
        <w:keepLines/>
        <w:spacing w:line="580" w:lineRule="exact"/>
        <w:ind w:firstLineChars="200" w:firstLine="640"/>
        <w:jc w:val="left"/>
        <w:outlineLvl w:val="0"/>
        <w:rPr>
          <w:rFonts w:ascii="黑体" w:eastAsia="黑体" w:cs="黑体" w:hAnsi="Calibri"/>
          <w:kern w:val="0"/>
          <w:sz w:val="32"/>
          <w:szCs w:val="32"/>
        </w:rPr>
      </w:pPr>
      <w:r>
        <w:rPr>
          <w:rFonts w:ascii="黑体" w:eastAsia="黑体" w:cs="黑体" w:hAnsi="Calibri" w:hint="eastAsia"/>
          <w:kern w:val="0"/>
          <w:sz w:val="32"/>
          <w:szCs w:val="32"/>
        </w:rPr>
        <w:t>二、机构设置</w:t>
      </w:r>
    </w:p>
    <w:p>
      <w:pPr>
        <w:spacing w:line="580" w:lineRule="exact"/>
        <w:ind w:firstLineChars="200" w:firstLine="640"/>
        <w:rPr>
          <w:rFonts w:ascii="仿宋_GB2312" w:eastAsia="仿宋_GB2312" w:cs="ArialUnicodeMS" w:hAnsi="Calibri"/>
          <w:kern w:val="0"/>
          <w:sz w:val="32"/>
          <w:szCs w:val="32"/>
        </w:rPr>
      </w:pPr>
      <w:r>
        <w:rPr>
          <w:rFonts w:ascii="仿宋_GB2312" w:eastAsia="仿宋_GB2312" w:cs="ArialUnicodeMS" w:hAnsi="Calibri" w:hint="eastAsia"/>
          <w:kern w:val="0"/>
          <w:sz w:val="32"/>
          <w:szCs w:val="32"/>
        </w:rPr>
        <w:t>从决算编报单位构成看，纳入2023年度本部门决算汇编范围的独立核算单位（以下简称“单位”）共</w:t>
      </w:r>
      <w:r>
        <w:rPr>
          <w:rFonts w:ascii="仿宋_GB2312" w:eastAsia="仿宋_GB2312" w:cs="ArialUnicodeMS" w:hAnsi="Calibri" w:hint="eastAsia"/>
          <w:kern w:val="0"/>
          <w:sz w:val="32"/>
          <w:szCs w:val="32"/>
          <w:lang w:val="en-US" w:eastAsia="zh-CN"/>
        </w:rPr>
        <w:t>1</w:t>
      </w:r>
      <w:r>
        <w:rPr>
          <w:rFonts w:ascii="仿宋_GB2312" w:eastAsia="仿宋_GB2312" w:cs="ArialUnicodeMS" w:hAnsi="Calibri" w:hint="eastAsia"/>
          <w:kern w:val="0"/>
          <w:sz w:val="32"/>
          <w:szCs w:val="32"/>
        </w:rPr>
        <w:t>个，</w:t>
      </w:r>
      <w:r>
        <w:rPr>
          <w:rFonts w:ascii="仿宋_GB2312" w:eastAsia="仿宋_GB2312" w:cs="ArialUnicodeMS" w:hAnsi="Calibri" w:hint="eastAsia"/>
          <w:kern w:val="0"/>
          <w:sz w:val="32"/>
          <w:szCs w:val="32"/>
          <w:lang w:val="en-US" w:eastAsia="zh-CN"/>
        </w:rPr>
        <w:t xml:space="preserve"> </w:t>
      </w:r>
      <w:r>
        <w:rPr>
          <w:rFonts w:ascii="仿宋_GB2312" w:eastAsia="仿宋_GB2312" w:cs="ArialUnicodeMS" w:hAnsi="Calibri" w:hint="eastAsia"/>
          <w:kern w:val="0"/>
          <w:sz w:val="32"/>
          <w:szCs w:val="32"/>
        </w:rPr>
        <w:t>具体情况如下：</w:t>
      </w:r>
    </w:p>
    <w:tbl>
      <w:tblPr>
        <w:tblpPr w:leftFromText="180" w:rightFromText="180" w:vertAnchor="text" w:horzAnchor="page" w:tblpXSpec="center" w:tblpY="10"/>
        <w:tblOverlap w:val="never"/>
        <w:tblW w:w="9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985"/>
        <w:gridCol w:w="4488"/>
        <w:gridCol w:w="2220"/>
        <w:gridCol w:w="1887"/>
      </w:tblGrid>
      <w:tr>
        <w:trPr>
          <w:trHeight w:val="460"/>
        </w:trPr>
        <w:tc>
          <w:tcPr>
            <w:tcW w:w="985" w:type="dxa"/>
            <w:vAlign w:val="center"/>
          </w:tcPr>
          <w:p>
            <w:pPr>
              <w:spacing w:line="560" w:lineRule="exact"/>
              <w:jc w:val="center"/>
              <w:rPr>
                <w:rFonts w:ascii="仿宋_GB2312" w:eastAsia="仿宋_GB2312" w:cs="ArialUnicodeMS" w:hAnsi="Calibri"/>
                <w:b/>
                <w:bCs/>
                <w:kern w:val="0"/>
                <w:sz w:val="28"/>
                <w:szCs w:val="28"/>
              </w:rPr>
            </w:pPr>
            <w:r>
              <w:rPr>
                <w:rFonts w:ascii="仿宋_GB2312" w:eastAsia="仿宋_GB2312" w:cs="ArialUnicodeMS" w:hAnsi="Calibri" w:hint="eastAsia"/>
                <w:b/>
                <w:bCs/>
                <w:kern w:val="0"/>
                <w:sz w:val="28"/>
                <w:szCs w:val="28"/>
              </w:rPr>
              <w:t>序号</w:t>
            </w:r>
          </w:p>
        </w:tc>
        <w:tc>
          <w:tcPr>
            <w:tcW w:w="4488" w:type="dxa"/>
            <w:vAlign w:val="center"/>
          </w:tcPr>
          <w:p>
            <w:pPr>
              <w:spacing w:line="560" w:lineRule="exact"/>
              <w:jc w:val="center"/>
              <w:rPr>
                <w:rFonts w:ascii="仿宋_GB2312" w:eastAsia="仿宋_GB2312" w:cs="ArialUnicodeMS" w:hAnsi="Calibri"/>
                <w:b/>
                <w:bCs/>
                <w:kern w:val="0"/>
                <w:sz w:val="28"/>
                <w:szCs w:val="28"/>
              </w:rPr>
            </w:pPr>
            <w:r>
              <w:rPr>
                <w:rFonts w:ascii="仿宋_GB2312" w:eastAsia="仿宋_GB2312" w:cs="ArialUnicodeMS" w:hAnsi="Calibri" w:hint="eastAsia"/>
                <w:b/>
                <w:bCs/>
                <w:kern w:val="0"/>
                <w:sz w:val="28"/>
                <w:szCs w:val="28"/>
              </w:rPr>
              <w:t>单位名称</w:t>
            </w:r>
          </w:p>
        </w:tc>
        <w:tc>
          <w:tcPr>
            <w:tcW w:w="2220" w:type="dxa"/>
            <w:vAlign w:val="center"/>
          </w:tcPr>
          <w:p>
            <w:pPr>
              <w:spacing w:line="560" w:lineRule="exact"/>
              <w:jc w:val="center"/>
              <w:rPr>
                <w:rFonts w:ascii="仿宋_GB2312" w:eastAsia="仿宋_GB2312" w:cs="ArialUnicodeMS" w:hAnsi="Calibri"/>
                <w:b/>
                <w:bCs/>
                <w:kern w:val="0"/>
                <w:sz w:val="28"/>
                <w:szCs w:val="28"/>
              </w:rPr>
            </w:pPr>
            <w:r>
              <w:rPr>
                <w:rFonts w:ascii="仿宋_GB2312" w:eastAsia="仿宋_GB2312" w:cs="ArialUnicodeMS" w:hAnsi="Calibri" w:hint="eastAsia"/>
                <w:b/>
                <w:bCs/>
                <w:kern w:val="0"/>
                <w:sz w:val="28"/>
                <w:szCs w:val="28"/>
              </w:rPr>
              <w:t>单位基本性质</w:t>
            </w:r>
          </w:p>
        </w:tc>
        <w:tc>
          <w:tcPr>
            <w:tcW w:w="1887" w:type="dxa"/>
            <w:vAlign w:val="center"/>
          </w:tcPr>
          <w:p>
            <w:pPr>
              <w:spacing w:line="560" w:lineRule="exact"/>
              <w:jc w:val="center"/>
              <w:rPr>
                <w:rFonts w:ascii="仿宋_GB2312" w:eastAsia="仿宋_GB2312" w:cs="ArialUnicodeMS" w:hAnsi="Calibri"/>
                <w:b/>
                <w:bCs/>
                <w:kern w:val="0"/>
                <w:sz w:val="28"/>
                <w:szCs w:val="28"/>
              </w:rPr>
            </w:pPr>
            <w:r>
              <w:rPr>
                <w:rFonts w:ascii="仿宋_GB2312" w:eastAsia="仿宋_GB2312" w:cs="ArialUnicodeMS" w:hAnsi="Calibri" w:hint="eastAsia"/>
                <w:b/>
                <w:bCs/>
                <w:kern w:val="0"/>
                <w:sz w:val="28"/>
                <w:szCs w:val="28"/>
              </w:rPr>
              <w:t>经费形式</w:t>
            </w:r>
          </w:p>
        </w:tc>
      </w:tr>
      <w:tr>
        <w:trPr>
          <w:trHeight w:val="430"/>
        </w:trPr>
        <w:tc>
          <w:tcPr>
            <w:tcW w:w="985" w:type="dxa"/>
          </w:tcPr>
          <w:p>
            <w:pPr>
              <w:spacing w:line="560" w:lineRule="exact"/>
              <w:jc w:val="center"/>
              <w:rPr>
                <w:rFonts w:ascii="仿宋_GB2312" w:eastAsia="仿宋_GB2312" w:cs="ArialUnicodeMS" w:hAnsi="Calibri" w:hint="eastAsia"/>
                <w:kern w:val="0"/>
                <w:sz w:val="28"/>
                <w:szCs w:val="28"/>
              </w:rPr>
            </w:pPr>
            <w:r>
              <w:rPr>
                <w:rFonts w:ascii="仿宋_GB2312" w:eastAsia="仿宋_GB2312" w:cs="ArialUnicodeMS" w:hAnsi="Calibri" w:hint="eastAsia"/>
                <w:kern w:val="0"/>
                <w:sz w:val="28"/>
                <w:szCs w:val="28"/>
              </w:rPr>
              <w:t>1</w:t>
            </w:r>
          </w:p>
        </w:tc>
        <w:tc>
          <w:tcPr>
            <w:tcW w:w="4488" w:type="dxa"/>
          </w:tcPr>
          <w:p>
            <w:pPr>
              <w:spacing w:line="560" w:lineRule="exact"/>
              <w:jc w:val="center"/>
              <w:rPr>
                <w:rFonts w:ascii="仿宋_GB2312" w:eastAsia="仿宋_GB2312" w:cs="ArialUnicodeMS" w:hAnsi="Calibri" w:hint="eastAsia"/>
                <w:kern w:val="0"/>
                <w:sz w:val="28"/>
                <w:szCs w:val="28"/>
              </w:rPr>
            </w:pPr>
            <w:r>
              <w:rPr>
                <w:rFonts w:ascii="仿宋_GB2312" w:eastAsia="仿宋_GB2312" w:cs="ArialUnicodeMS" w:hAnsi="Calibri" w:hint="eastAsia"/>
                <w:kern w:val="0"/>
                <w:sz w:val="28"/>
                <w:szCs w:val="28"/>
                <w:lang w:eastAsia="zh-CN"/>
              </w:rPr>
              <w:t>石家庄市桥西区苑东街道办事处</w:t>
            </w:r>
          </w:p>
        </w:tc>
        <w:tc>
          <w:tcPr>
            <w:tcW w:w="2220" w:type="dxa"/>
          </w:tcPr>
          <w:p>
            <w:pPr>
              <w:spacing w:line="560" w:lineRule="exact"/>
              <w:jc w:val="center"/>
              <w:rPr>
                <w:rFonts w:ascii="仿宋_GB2312" w:eastAsia="仿宋_GB2312" w:cs="ArialUnicodeMS" w:hAnsi="Calibri" w:hint="eastAsia"/>
                <w:kern w:val="0"/>
                <w:sz w:val="28"/>
                <w:szCs w:val="28"/>
              </w:rPr>
            </w:pPr>
            <w:r>
              <w:rPr>
                <w:rFonts w:ascii="仿宋_GB2312" w:eastAsia="仿宋_GB2312" w:cs="ArialUnicodeMS" w:hAnsi="Calibri" w:hint="eastAsia"/>
                <w:kern w:val="0"/>
                <w:sz w:val="28"/>
                <w:szCs w:val="28"/>
                <w:lang w:eastAsia="zh-CN"/>
              </w:rPr>
              <w:t>行政单位</w:t>
            </w:r>
          </w:p>
        </w:tc>
        <w:tc>
          <w:tcPr>
            <w:tcW w:w="1887" w:type="dxa"/>
          </w:tcPr>
          <w:p>
            <w:pPr>
              <w:spacing w:line="560" w:lineRule="exact"/>
              <w:jc w:val="center"/>
              <w:rPr>
                <w:rFonts w:ascii="仿宋_GB2312" w:eastAsia="仿宋_GB2312" w:cs="ArialUnicodeMS" w:hAnsi="Calibri" w:hint="eastAsia"/>
                <w:kern w:val="0"/>
                <w:sz w:val="28"/>
                <w:szCs w:val="28"/>
              </w:rPr>
            </w:pPr>
            <w:r>
              <w:rPr>
                <w:rFonts w:ascii="仿宋_GB2312" w:eastAsia="仿宋_GB2312" w:cs="ArialUnicodeMS" w:hAnsi="Calibri" w:hint="eastAsia"/>
                <w:kern w:val="0"/>
                <w:sz w:val="28"/>
                <w:szCs w:val="28"/>
              </w:rPr>
              <w:t>财政拨款</w:t>
            </w:r>
          </w:p>
        </w:tc>
      </w:tr>
      <w:tr>
        <w:trPr>
          <w:trHeight w:val="550"/>
        </w:trPr>
        <w:tc>
          <w:tcPr>
            <w:tcW w:w="9580" w:type="dxa"/>
            <w:gridSpan w:val="4"/>
            <w:tcBorders>
              <w:top w:val="single" w:sz="4" w:space="0" w:color="auto"/>
              <w:left w:val="nil"/>
              <w:bottom w:val="nil"/>
              <w:right w:val="nil"/>
            </w:tcBorders>
          </w:tcPr>
          <w:p>
            <w:pPr>
              <w:spacing w:line="560" w:lineRule="exact"/>
              <w:jc w:val="left"/>
              <w:rPr>
                <w:rFonts w:ascii="仿宋_GB2312" w:eastAsia="仿宋_GB2312" w:cs="ArialUnicodeMS" w:hAnsi="Calibri"/>
                <w:kern w:val="0"/>
                <w:sz w:val="28"/>
                <w:szCs w:val="28"/>
              </w:rPr>
            </w:pPr>
            <w:r>
              <w:rPr>
                <w:rFonts w:ascii="仿宋_GB2312" w:eastAsia="仿宋_GB2312" w:cs="ArialUnicodeMS" w:hAnsi="Calibri" w:hint="eastAsia"/>
                <w:kern w:val="0"/>
                <w:sz w:val="28"/>
                <w:szCs w:val="28"/>
              </w:rPr>
              <w:t>注：1、单位基本性质分为行政单位、参公事业单位、财政补助事业单位、经费自理事业单位四类。</w:t>
            </w:r>
          </w:p>
          <w:p>
            <w:pPr>
              <w:numPr>
                <w:ilvl w:val="0"/>
                <w:numId w:val="1"/>
              </w:numPr>
              <w:spacing w:line="560" w:lineRule="exact"/>
              <w:ind w:left="0" w:firstLineChars="200" w:firstLine="560"/>
              <w:jc w:val="left"/>
              <w:rPr>
                <w:rFonts w:ascii="仿宋_GB2312" w:eastAsia="仿宋_GB2312" w:cs="ArialUnicodeMS" w:hAnsi="Calibri" w:hint="eastAsia"/>
                <w:kern w:val="0"/>
                <w:sz w:val="28"/>
                <w:szCs w:val="28"/>
              </w:rPr>
            </w:pPr>
            <w:r>
              <w:rPr>
                <w:rFonts w:ascii="仿宋_GB2312" w:eastAsia="仿宋_GB2312" w:cs="ArialUnicodeMS" w:hAnsi="Calibri" w:hint="eastAsia"/>
                <w:kern w:val="0"/>
                <w:sz w:val="28"/>
                <w:szCs w:val="28"/>
              </w:rPr>
              <w:t>经费形式分为财政拨款、财政性资金基本保证、财政性资金定额或定项补助、财政性资金零补助四类。</w:t>
            </w:r>
          </w:p>
          <w:p>
            <w:pPr>
              <w:numPr>
                <w:ilvl w:val="0"/>
                <w:numId w:val="1"/>
              </w:numPr>
              <w:spacing w:line="560" w:lineRule="exact"/>
              <w:ind w:left="0" w:firstLineChars="200" w:firstLine="560"/>
              <w:jc w:val="left"/>
              <w:rPr>
                <w:rFonts w:ascii="仿宋_GB2312" w:eastAsia="仿宋_GB2312" w:cs="ArialUnicodeMS" w:hAnsi="Calibri" w:hint="eastAsia"/>
                <w:kern w:val="0"/>
                <w:sz w:val="28"/>
                <w:szCs w:val="28"/>
              </w:rPr>
            </w:pPr>
            <w:r>
              <w:rPr>
                <w:rFonts w:ascii="仿宋_GB2312" w:eastAsia="仿宋_GB2312" w:cs="ArialUnicodeMS" w:hAnsi="Calibri" w:hint="eastAsia"/>
                <w:kern w:val="0"/>
                <w:sz w:val="28"/>
                <w:szCs w:val="28"/>
              </w:rPr>
              <w:t>我部门无二级预算单位，因此，</w:t>
            </w:r>
            <w:r>
              <w:rPr>
                <w:rFonts w:ascii="仿宋_GB2312" w:eastAsia="仿宋_GB2312" w:cs="ArialUnicodeMS" w:hAnsi="Calibri" w:hint="eastAsia"/>
                <w:kern w:val="0"/>
                <w:sz w:val="28"/>
                <w:szCs w:val="28"/>
                <w:lang w:eastAsia="zh-CN"/>
              </w:rPr>
              <w:t>石家庄市桥西区苑东街道办事处</w:t>
            </w:r>
            <w:r>
              <w:rPr>
                <w:rFonts w:ascii="仿宋_GB2312" w:eastAsia="仿宋_GB2312" w:cs="ArialUnicodeMS" w:hAnsi="Calibri" w:hint="eastAsia"/>
                <w:kern w:val="0"/>
                <w:sz w:val="28"/>
                <w:szCs w:val="28"/>
              </w:rPr>
              <w:t>2023年度部门决算即</w:t>
            </w:r>
            <w:r>
              <w:rPr>
                <w:rFonts w:ascii="仿宋_GB2312" w:eastAsia="仿宋_GB2312" w:cs="ArialUnicodeMS" w:hAnsi="Calibri" w:hint="eastAsia"/>
                <w:kern w:val="0"/>
                <w:sz w:val="28"/>
                <w:szCs w:val="28"/>
                <w:lang w:eastAsia="zh-CN"/>
              </w:rPr>
              <w:t>石家庄市桥西区苑东街道办事处</w:t>
            </w:r>
            <w:r>
              <w:rPr>
                <w:rFonts w:ascii="仿宋_GB2312" w:eastAsia="仿宋_GB2312" w:cs="ArialUnicodeMS" w:hAnsi="Calibri" w:hint="eastAsia"/>
                <w:kern w:val="0"/>
                <w:sz w:val="28"/>
                <w:szCs w:val="28"/>
              </w:rPr>
              <w:t>本级2023年度决算。</w:t>
            </w:r>
          </w:p>
        </w:tc>
      </w:tr>
    </w:tbl>
    <w:p>
      <w:pPr>
        <w:widowControl/>
        <w:spacing w:after="160" w:line="580" w:lineRule="exact"/>
        <w:ind w:firstLineChars="200" w:firstLine="880"/>
        <w:rPr>
          <w:rFonts w:ascii="黑体" w:eastAsia="黑体" w:cs="黑体" w:hAnsi="黑体"/>
          <w:color w:val="000000"/>
          <w:sz w:val="44"/>
          <w:szCs w:val="44"/>
          <w:lang w:eastAsia="zh-CN"/>
        </w:rPr>
        <w:sectPr>
          <w:pgSz w:w="11906" w:h="16838"/>
          <w:pgMar w:top="1474" w:right="1474" w:bottom="1474" w:left="1474" w:header="851" w:footer="992" w:gutter="0"/>
          <w:pgBorders>
            <w:top w:val="none" w:sz="0" w:space="0" w:color="auto"/>
            <w:left w:val="none" w:sz="0" w:space="0" w:color="auto"/>
            <w:bottom w:val="none" w:sz="0" w:space="0" w:color="auto"/>
            <w:right w:val="none" w:sz="0" w:space="0" w:color="auto"/>
          </w:pgBorders>
          <w:cols w:num="1" w:space="0"/>
          <w:docGrid w:type="lines" w:linePitch="312" w:charSpace="0"/>
        </w:sectPr>
      </w:pPr>
    </w:p>
    <w:p>
      <w:pPr>
        <w:pStyle w:val="18"/>
        <w:widowControl/>
        <w:spacing w:beforeAutospacing="0" w:afterAutospacing="0"/>
        <w:jc w:val="center"/>
        <w:outlineLvl w:val="0"/>
        <w:rPr>
          <w:rFonts w:ascii="黑体" w:eastAsia="黑体" w:cs="黑体" w:hAnsi="黑体"/>
          <w:color w:val="000000"/>
          <w:sz w:val="44"/>
          <w:szCs w:val="44"/>
        </w:rPr>
      </w:pPr>
    </w:p>
    <w:p>
      <w:pPr>
        <w:pStyle w:val="18"/>
        <w:widowControl/>
        <w:spacing w:beforeAutospacing="0" w:afterAutospacing="0"/>
        <w:jc w:val="center"/>
        <w:outlineLvl w:val="0"/>
        <w:rPr>
          <w:rFonts w:ascii="黑体" w:eastAsia="黑体" w:cs="黑体" w:hAnsi="黑体"/>
          <w:color w:val="000000"/>
          <w:sz w:val="44"/>
          <w:szCs w:val="44"/>
        </w:rPr>
      </w:pPr>
    </w:p>
    <w:p>
      <w:pPr>
        <w:pStyle w:val="18"/>
        <w:widowControl/>
        <w:spacing w:beforeAutospacing="0" w:afterAutospacing="0"/>
        <w:jc w:val="center"/>
        <w:outlineLvl w:val="0"/>
        <w:rPr>
          <w:rFonts w:ascii="黑体" w:eastAsia="黑体" w:cs="黑体" w:hAnsi="黑体"/>
          <w:color w:val="000000"/>
          <w:sz w:val="44"/>
          <w:szCs w:val="44"/>
        </w:rPr>
      </w:pPr>
    </w:p>
    <w:p>
      <w:pPr>
        <w:pStyle w:val="18"/>
        <w:widowControl/>
        <w:spacing w:beforeAutospacing="0" w:afterAutospacing="0"/>
        <w:jc w:val="center"/>
        <w:outlineLvl w:val="0"/>
        <w:rPr>
          <w:rFonts w:ascii="黑体" w:eastAsia="黑体" w:cs="黑体" w:hAnsi="黑体"/>
          <w:color w:val="000000"/>
          <w:sz w:val="44"/>
          <w:szCs w:val="44"/>
        </w:rPr>
      </w:pPr>
    </w:p>
    <w:p>
      <w:pPr>
        <w:pStyle w:val="18"/>
        <w:widowControl/>
        <w:spacing w:beforeAutospacing="0" w:afterAutospacing="0"/>
        <w:jc w:val="both"/>
        <w:outlineLvl w:val="0"/>
        <w:rPr>
          <w:rFonts w:ascii="黑体" w:eastAsia="黑体" w:cs="黑体" w:hAnsi="黑体"/>
          <w:color w:val="000000"/>
          <w:sz w:val="44"/>
          <w:szCs w:val="44"/>
        </w:rPr>
      </w:pPr>
    </w:p>
    <w:p>
      <w:pPr>
        <w:pStyle w:val="18"/>
        <w:widowControl/>
        <w:spacing w:beforeAutospacing="0" w:afterAutospacing="0"/>
        <w:jc w:val="center"/>
        <w:outlineLvl w:val="0"/>
        <w:rPr>
          <w:rFonts w:ascii="黑体" w:eastAsia="黑体" w:cs="黑体" w:hAnsi="黑体"/>
          <w:color w:val="000000"/>
          <w:sz w:val="44"/>
          <w:szCs w:val="44"/>
        </w:rPr>
      </w:pPr>
    </w:p>
    <w:p>
      <w:pPr>
        <w:pStyle w:val="18"/>
        <w:widowControl/>
        <w:spacing w:beforeAutospacing="0" w:afterAutospacing="0"/>
        <w:jc w:val="center"/>
        <w:outlineLvl w:val="0"/>
        <w:rPr>
          <w:rFonts w:ascii="黑体" w:eastAsia="黑体" w:cs="黑体" w:hAnsi="黑体" w:hint="eastAsia"/>
          <w:color w:val="000000"/>
          <w:sz w:val="44"/>
          <w:szCs w:val="44"/>
        </w:rPr>
        <w:sectPr>
          <w:pgSz w:w="11906" w:h="16838"/>
          <w:pgMar w:top="1474" w:right="1474" w:bottom="1474" w:left="1474" w:header="851" w:footer="992" w:gutter="0"/>
          <w:pgBorders>
            <w:top w:val="none" w:sz="0" w:space="0" w:color="auto"/>
            <w:left w:val="none" w:sz="0" w:space="0" w:color="auto"/>
            <w:bottom w:val="none" w:sz="0" w:space="0" w:color="auto"/>
            <w:right w:val="none" w:sz="0" w:space="0" w:color="auto"/>
          </w:pgBorders>
          <w:cols w:num="1" w:space="0"/>
          <w:docGrid w:type="lines" w:linePitch="312" w:charSpace="0"/>
        </w:sectPr>
      </w:pPr>
      <w:r>
        <w:rPr>
          <w:rFonts w:ascii="黑体" w:eastAsia="黑体" w:cs="黑体" w:hAnsi="黑体" w:hint="eastAsia"/>
          <w:color w:val="000000"/>
          <w:sz w:val="44"/>
          <w:szCs w:val="44"/>
        </w:rPr>
        <w:t>第二部分</w:t>
      </w:r>
      <w:r>
        <w:rPr>
          <w:rFonts w:ascii="黑体" w:eastAsia="黑体" w:cs="黑体" w:hAnsi="黑体"/>
          <w:color w:val="000000"/>
          <w:sz w:val="44"/>
          <w:szCs w:val="44"/>
        </w:rPr>
        <w:t xml:space="preserve"> </w:t>
      </w:r>
      <w:r>
        <w:rPr>
          <w:rFonts w:ascii="黑体" w:eastAsia="黑体" w:cs="黑体" w:hAnsi="黑体" w:hint="eastAsia"/>
          <w:color w:val="000000"/>
          <w:sz w:val="44"/>
          <w:szCs w:val="44"/>
        </w:rPr>
        <w:t>2023年度部门决算报表</w:t>
      </w:r>
    </w:p>
    <w:tbl>
      <w:tblPr>
        <w:jc w:val="center"/>
        <w:tblW w:w="10260" w:type="dxa"/>
        <w:tblBorders>
          <w:top w:val="none" w:sz="0" w:space="0" w:color="auto"/>
          <w:left w:val="none" w:sz="0" w:space="0" w:color="auto"/>
          <w:bottom w:val="none" w:sz="0" w:space="0" w:color="auto"/>
          <w:right w:val="none" w:sz="0" w:space="0" w:color="auto"/>
        </w:tblBorders>
        <w:tblLayout w:type="fixed"/>
        <w:tblCellMar>
          <w:top w:w="15" w:type="dxa"/>
          <w:left w:w="15" w:type="dxa"/>
          <w:bottom w:w="15" w:type="dxa"/>
          <w:right w:w="15" w:type="dxa"/>
        </w:tblCellMar>
        <w:tblLook w:val="0600" w:firstRow="0" w:lastRow="0" w:firstColumn="0" w:lastColumn="0" w:noHBand="1" w:noVBand="1"/>
      </w:tblPr>
      <w:tblGrid>
        <w:gridCol w:w="3490"/>
        <w:gridCol w:w="536"/>
        <w:gridCol w:w="26"/>
        <w:gridCol w:w="1324"/>
        <w:gridCol w:w="814"/>
        <w:gridCol w:w="2469"/>
        <w:gridCol w:w="502"/>
        <w:gridCol w:w="1099"/>
      </w:tblGrid>
      <w:tr>
        <w:trPr>
          <w:trHeight w:val="395"/>
        </w:trPr>
        <w:tc>
          <w:tcPr>
            <w:tcW w:w="10260" w:type="dxa"/>
            <w:gridSpan w:val="8"/>
            <w:tcBorders>
              <w:tl2br w:val="nil"/>
              <w:tr2bl w:val="nil"/>
            </w:tcBorders>
            <w:shd w:val="clear" w:color="auto" w:fill="FFFFFF"/>
            <w:vAlign w:val="bottom"/>
          </w:tcPr>
          <w:p>
            <w:pPr>
              <w:widowControl/>
              <w:spacing w:line="500" w:lineRule="exact"/>
              <w:jc w:val="center"/>
              <w:textAlignment w:val="center"/>
              <w:rPr>
                <w:rFonts w:ascii="Times New Roman" w:eastAsia="仿宋_GB2312" w:hAnsi="Times New Roman"/>
                <w:b/>
                <w:bCs/>
                <w:sz w:val="32"/>
                <w:szCs w:val="32"/>
              </w:rPr>
            </w:pPr>
            <w:r>
              <w:rPr>
                <w:rFonts w:ascii="Times New Roman" w:eastAsia="仿宋_GB2312" w:hAnsi="Times New Roman" w:hint="eastAsia"/>
                <w:b/>
                <w:bCs/>
                <w:sz w:val="36"/>
                <w:szCs w:val="36"/>
              </w:rPr>
              <w:t>收入支出决算总表</w:t>
            </w:r>
          </w:p>
        </w:tc>
      </w:tr>
      <w:tr>
        <w:trPr>
          <w:trHeight w:val="283"/>
        </w:trPr>
        <w:tc>
          <w:tcPr>
            <w:tcW w:w="10260" w:type="dxa"/>
            <w:gridSpan w:val="8"/>
            <w:tcBorders>
              <w:tl2br w:val="nil"/>
              <w:tr2bl w:val="nil"/>
            </w:tcBorders>
            <w:shd w:val="clear" w:color="auto" w:fill="FFFFFF"/>
            <w:vAlign w:val="center"/>
          </w:tcPr>
          <w:p>
            <w:pPr>
              <w:widowControl/>
              <w:jc w:val="right"/>
              <w:textAlignment w:val="center"/>
              <w:rPr>
                <w:rFonts w:ascii="宋体" w:eastAsia="宋体" w:cs="宋体" w:hAnsi="宋体"/>
                <w:color w:val="000000"/>
                <w:kern w:val="0"/>
                <w:sz w:val="22"/>
              </w:rPr>
            </w:pPr>
            <w:r>
              <w:rPr>
                <w:rFonts w:ascii="宋体" w:eastAsia="宋体" w:cs="宋体" w:hAnsi="宋体" w:hint="eastAsia"/>
                <w:color w:val="000000"/>
                <w:kern w:val="0"/>
                <w:sz w:val="20"/>
                <w:szCs w:val="20"/>
              </w:rPr>
              <w:t>公开01表</w:t>
            </w:r>
          </w:p>
        </w:tc>
      </w:tr>
      <w:tr>
        <w:trPr>
          <w:trHeight w:val="283"/>
        </w:trPr>
        <w:tc>
          <w:tcPr>
            <w:tcW w:w="4052" w:type="dxa"/>
            <w:gridSpan w:val="3"/>
            <w:tcBorders>
              <w:bottom w:val="single" w:sz="4" w:space="0" w:color="000000"/>
              <w:tl2br w:val="nil"/>
              <w:tr2bl w:val="nil"/>
            </w:tcBorders>
            <w:shd w:val="clear" w:color="auto" w:fill="FFFFFF"/>
            <w:vAlign w:val="center"/>
          </w:tcPr>
          <w:p>
            <w:pPr>
              <w:widowControl/>
              <w:jc w:val="left"/>
              <w:textAlignment w:val="center"/>
              <w:rPr>
                <w:rFonts w:ascii="宋体" w:eastAsia="宋体" w:cs="宋体" w:hAnsi="宋体"/>
                <w:color w:val="000000"/>
                <w:kern w:val="0"/>
                <w:sz w:val="20"/>
                <w:szCs w:val="20"/>
              </w:rPr>
            </w:pPr>
            <w:r>
              <w:rPr>
                <w:rFonts w:ascii="宋体" w:eastAsia="宋体" w:cs="宋体" w:hAnsi="宋体" w:hint="eastAsia"/>
                <w:color w:val="000000"/>
                <w:kern w:val="0"/>
                <w:sz w:val="20"/>
                <w:szCs w:val="20"/>
              </w:rPr>
              <w:t xml:space="preserve">部门： </w:t>
            </w:r>
            <w:r>
              <w:rPr>
                <w:rFonts w:ascii="方正仿宋_GB2312" w:eastAsia="方正仿宋_GB2312" w:cs="方正仿宋_GB2312" w:hAnsi="方正仿宋_GB2312" w:hint="eastAsia"/>
                <w:color w:val="000000"/>
                <w:sz w:val="20"/>
                <w:szCs w:val="20"/>
              </w:rPr>
              <w:t>石家庄市桥西区苑东街道办事处</w:t>
            </w:r>
            <w:r>
              <w:rPr>
                <w:rFonts w:ascii="宋体" w:eastAsia="宋体" w:cs="宋体" w:hAnsi="宋体" w:hint="eastAsia"/>
                <w:color w:val="000000"/>
                <w:kern w:val="0"/>
                <w:sz w:val="20"/>
                <w:szCs w:val="20"/>
              </w:rPr>
              <w:t xml:space="preserve">                   </w:t>
            </w:r>
          </w:p>
        </w:tc>
        <w:tc>
          <w:tcPr>
            <w:tcW w:w="2138" w:type="dxa"/>
            <w:gridSpan w:val="2"/>
            <w:tcBorders>
              <w:bottom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kern w:val="0"/>
                <w:sz w:val="20"/>
                <w:szCs w:val="20"/>
              </w:rPr>
            </w:pPr>
            <w:r>
              <w:rPr>
                <w:rFonts w:ascii="宋体" w:eastAsia="宋体" w:cs="宋体" w:hAnsi="宋体" w:hint="eastAsia"/>
                <w:color w:val="000000"/>
                <w:kern w:val="0"/>
                <w:sz w:val="20"/>
                <w:szCs w:val="20"/>
              </w:rPr>
              <w:t>2023年度</w:t>
            </w:r>
          </w:p>
        </w:tc>
        <w:tc>
          <w:tcPr>
            <w:tcW w:w="4070" w:type="dxa"/>
            <w:gridSpan w:val="3"/>
            <w:tcBorders>
              <w:bottom w:val="single" w:sz="4" w:space="0" w:color="000000"/>
              <w:tl2br w:val="nil"/>
              <w:tr2bl w:val="nil"/>
            </w:tcBorders>
            <w:shd w:val="clear" w:color="auto" w:fill="FFFFFF"/>
            <w:vAlign w:val="center"/>
          </w:tcPr>
          <w:p>
            <w:pPr>
              <w:widowControl/>
              <w:jc w:val="right"/>
              <w:textAlignment w:val="center"/>
              <w:rPr>
                <w:rFonts w:ascii="宋体" w:eastAsia="宋体" w:cs="宋体" w:hAnsi="宋体"/>
                <w:color w:val="000000"/>
                <w:kern w:val="0"/>
                <w:sz w:val="20"/>
                <w:szCs w:val="20"/>
              </w:rPr>
            </w:pPr>
            <w:r>
              <w:rPr>
                <w:rFonts w:ascii="宋体" w:eastAsia="宋体" w:cs="宋体" w:hAnsi="宋体" w:hint="eastAsia"/>
                <w:color w:val="000000"/>
                <w:kern w:val="0"/>
                <w:sz w:val="20"/>
                <w:szCs w:val="20"/>
              </w:rPr>
              <w:t>单位：万元</w:t>
            </w:r>
          </w:p>
        </w:tc>
      </w:tr>
      <w:tr>
        <w:trPr>
          <w:trHeight w:val="283"/>
        </w:trPr>
        <w:tc>
          <w:tcPr>
            <w:tcW w:w="5376" w:type="dxa"/>
            <w:gridSpan w:val="4"/>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收入</w:t>
            </w:r>
          </w:p>
        </w:tc>
        <w:tc>
          <w:tcPr>
            <w:tcW w:w="4884" w:type="dxa"/>
            <w:gridSpan w:val="4"/>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支出</w:t>
            </w: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项    目</w:t>
            </w: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b/>
                <w:bCs/>
                <w:color w:val="000000"/>
                <w:sz w:val="20"/>
                <w:szCs w:val="20"/>
              </w:rPr>
            </w:pPr>
            <w:r>
              <w:rPr>
                <w:rFonts w:ascii="宋体" w:eastAsia="宋体" w:cs="宋体" w:hAnsi="宋体" w:hint="eastAsia"/>
                <w:b/>
                <w:bCs/>
                <w:color w:val="000000"/>
                <w:kern w:val="0"/>
                <w:sz w:val="20"/>
                <w:szCs w:val="20"/>
              </w:rPr>
              <w:t>行次</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决算数</w:t>
            </w: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项    目</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b/>
                <w:bCs/>
                <w:color w:val="000000"/>
                <w:sz w:val="20"/>
                <w:szCs w:val="20"/>
              </w:rPr>
            </w:pPr>
            <w:r>
              <w:rPr>
                <w:rFonts w:ascii="宋体" w:eastAsia="宋体" w:cs="宋体" w:hAnsi="宋体" w:hint="eastAsia"/>
                <w:b/>
                <w:bCs/>
                <w:color w:val="000000"/>
                <w:kern w:val="0"/>
                <w:sz w:val="20"/>
                <w:szCs w:val="20"/>
              </w:rPr>
              <w:t>行次</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决算数</w:t>
            </w: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栏    次</w:t>
            </w: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jc w:val="center"/>
              <w:rPr>
                <w:rFonts w:ascii="宋体" w:eastAsia="宋体" w:cs="宋体" w:hAnsi="宋体"/>
                <w:color w:val="000000"/>
                <w:sz w:val="24"/>
              </w:rPr>
            </w:pP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1</w:t>
            </w: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栏    次</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jc w:val="center"/>
              <w:rPr>
                <w:rFonts w:ascii="宋体" w:eastAsia="宋体" w:cs="宋体" w:hAnsi="宋体"/>
                <w:color w:val="000000"/>
                <w:sz w:val="24"/>
              </w:rPr>
            </w:pP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2</w:t>
            </w: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widowControl/>
              <w:jc w:val="left"/>
              <w:textAlignment w:val="center"/>
              <w:rPr>
                <w:rFonts w:ascii="宋体" w:eastAsia="宋体" w:cs="宋体" w:hAnsi="宋体"/>
                <w:color w:val="000000"/>
                <w:sz w:val="22"/>
              </w:rPr>
            </w:pPr>
            <w:r>
              <w:rPr>
                <w:rFonts w:hint="eastAsia"/>
              </w:rPr>
              <w:t>一、一般公共预算财政拨款收入</w:t>
            </w: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sz w:val="22"/>
              </w:rPr>
            </w:pPr>
            <w:r>
              <w:rPr>
                <w:rFonts w:hint="eastAsia"/>
              </w:rPr>
              <w:t>1</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2,717.49</w:t>
            </w: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left"/>
              <w:textAlignment w:val="center"/>
              <w:rPr>
                <w:rFonts w:ascii="宋体" w:eastAsia="宋体" w:cs="宋体" w:hAnsi="宋体"/>
                <w:color w:val="000000"/>
                <w:sz w:val="22"/>
              </w:rPr>
            </w:pPr>
            <w:r>
              <w:rPr>
                <w:rFonts w:hint="eastAsia"/>
              </w:rPr>
              <w:t>一、一般公共服务支出</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sz w:val="22"/>
              </w:rPr>
            </w:pPr>
            <w:r>
              <w:rPr>
                <w:rFonts w:hint="eastAsia"/>
              </w:rPr>
              <w:t>32</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2,343.92</w:t>
            </w: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left"/>
              <w:textAlignment w:val="center"/>
              <w:rPr>
                <w:rFonts w:ascii="宋体" w:eastAsia="宋体" w:cs="宋体" w:hAnsi="宋体"/>
                <w:color w:val="000000"/>
                <w:sz w:val="22"/>
              </w:rPr>
            </w:pPr>
            <w:r>
              <w:rPr>
                <w:rFonts w:hint="eastAsia"/>
              </w:rPr>
              <w:t>二、政府性基金预算财政拨款收入</w:t>
            </w: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sz w:val="22"/>
              </w:rPr>
            </w:pPr>
            <w:r>
              <w:rPr>
                <w:rFonts w:hint="eastAsia"/>
              </w:rPr>
              <w:t>2</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530.36</w:t>
            </w: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left"/>
              <w:textAlignment w:val="center"/>
              <w:rPr>
                <w:rFonts w:ascii="宋体" w:eastAsia="宋体" w:cs="宋体" w:hAnsi="宋体"/>
                <w:color w:val="000000"/>
                <w:sz w:val="22"/>
              </w:rPr>
            </w:pPr>
            <w:r>
              <w:rPr>
                <w:rFonts w:hint="eastAsia"/>
              </w:rPr>
              <w:t>二、外交支出</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sz w:val="22"/>
              </w:rPr>
            </w:pPr>
            <w:r>
              <w:rPr>
                <w:rFonts w:hint="eastAsia"/>
              </w:rPr>
              <w:t>33</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widowControl/>
              <w:jc w:val="left"/>
              <w:textAlignment w:val="center"/>
              <w:rPr>
                <w:rFonts w:ascii="宋体" w:eastAsia="宋体" w:cs="宋体" w:hAnsi="宋体"/>
                <w:color w:val="000000"/>
                <w:sz w:val="22"/>
              </w:rPr>
            </w:pPr>
            <w:r>
              <w:rPr>
                <w:rFonts w:hint="eastAsia"/>
              </w:rPr>
              <w:t>三、国有资本经营预算财政拨款收入</w:t>
            </w: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sz w:val="22"/>
              </w:rPr>
            </w:pPr>
            <w:r>
              <w:rPr>
                <w:rFonts w:hint="eastAsia"/>
              </w:rPr>
              <w:t>3</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宋体" w:eastAsia="宋体" w:cs="宋体" w:hAnsi="宋体"/>
                <w:color w:val="000000"/>
                <w:sz w:val="22"/>
              </w:rPr>
            </w:pP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left"/>
              <w:textAlignment w:val="center"/>
              <w:rPr>
                <w:rFonts w:ascii="宋体" w:eastAsia="宋体" w:cs="宋体" w:hAnsi="宋体"/>
                <w:color w:val="000000"/>
                <w:sz w:val="22"/>
              </w:rPr>
            </w:pPr>
            <w:r>
              <w:rPr>
                <w:rFonts w:hint="eastAsia"/>
              </w:rPr>
              <w:t>三、国防支出</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sz w:val="22"/>
              </w:rPr>
            </w:pPr>
            <w:r>
              <w:rPr>
                <w:rFonts w:hint="eastAsia"/>
              </w:rPr>
              <w:t>34</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left"/>
              <w:textAlignment w:val="center"/>
              <w:rPr>
                <w:rFonts w:ascii="宋体" w:eastAsia="宋体" w:cs="宋体" w:hAnsi="宋体"/>
                <w:color w:val="000000"/>
                <w:sz w:val="22"/>
              </w:rPr>
            </w:pPr>
            <w:r>
              <w:rPr>
                <w:rFonts w:hint="eastAsia"/>
              </w:rPr>
              <w:t>四、上级补助收入</w:t>
            </w: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sz w:val="22"/>
              </w:rPr>
            </w:pPr>
            <w:r>
              <w:rPr>
                <w:rFonts w:hint="eastAsia"/>
              </w:rPr>
              <w:t>4</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宋体" w:eastAsia="宋体" w:cs="宋体" w:hAnsi="宋体"/>
                <w:color w:val="000000"/>
                <w:sz w:val="22"/>
              </w:rPr>
            </w:pP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left"/>
              <w:textAlignment w:val="center"/>
              <w:rPr>
                <w:rFonts w:ascii="宋体" w:eastAsia="宋体" w:cs="宋体" w:hAnsi="宋体"/>
                <w:color w:val="000000"/>
                <w:sz w:val="22"/>
              </w:rPr>
            </w:pPr>
            <w:r>
              <w:rPr>
                <w:rFonts w:hint="eastAsia"/>
              </w:rPr>
              <w:t>四、公共安全支出</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sz w:val="22"/>
              </w:rPr>
            </w:pPr>
            <w:r>
              <w:rPr>
                <w:rFonts w:hint="eastAsia"/>
              </w:rPr>
              <w:t>35</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left"/>
              <w:textAlignment w:val="center"/>
              <w:rPr>
                <w:rFonts w:ascii="宋体" w:eastAsia="宋体" w:cs="宋体" w:hAnsi="宋体"/>
                <w:color w:val="000000"/>
                <w:sz w:val="22"/>
              </w:rPr>
            </w:pPr>
            <w:r>
              <w:rPr>
                <w:rFonts w:hint="eastAsia"/>
              </w:rPr>
              <w:t>五、事业收入</w:t>
            </w: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sz w:val="22"/>
              </w:rPr>
            </w:pPr>
            <w:r>
              <w:rPr>
                <w:rFonts w:hint="eastAsia"/>
              </w:rPr>
              <w:t>5</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宋体" w:eastAsia="宋体" w:cs="宋体" w:hAnsi="宋体"/>
                <w:color w:val="000000"/>
                <w:sz w:val="22"/>
              </w:rPr>
            </w:pP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left"/>
              <w:textAlignment w:val="center"/>
              <w:rPr>
                <w:rFonts w:ascii="宋体" w:eastAsia="宋体" w:cs="宋体" w:hAnsi="宋体"/>
                <w:color w:val="000000"/>
                <w:sz w:val="22"/>
              </w:rPr>
            </w:pPr>
            <w:r>
              <w:rPr>
                <w:rFonts w:hint="eastAsia"/>
              </w:rPr>
              <w:t>五、教育支出</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sz w:val="22"/>
              </w:rPr>
            </w:pPr>
            <w:r>
              <w:rPr>
                <w:rFonts w:hint="eastAsia"/>
              </w:rPr>
              <w:t>36</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4.65</w:t>
            </w: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left"/>
              <w:textAlignment w:val="center"/>
              <w:rPr>
                <w:rFonts w:ascii="宋体" w:eastAsia="宋体" w:cs="宋体" w:hAnsi="宋体"/>
                <w:color w:val="000000"/>
                <w:sz w:val="22"/>
              </w:rPr>
            </w:pPr>
            <w:r>
              <w:rPr>
                <w:rFonts w:hint="eastAsia"/>
              </w:rPr>
              <w:t>六、经营收入</w:t>
            </w: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sz w:val="22"/>
              </w:rPr>
            </w:pPr>
            <w:r>
              <w:rPr>
                <w:rFonts w:hint="eastAsia"/>
              </w:rPr>
              <w:t>6</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宋体" w:eastAsia="宋体" w:cs="宋体" w:hAnsi="宋体"/>
                <w:color w:val="000000"/>
                <w:sz w:val="22"/>
              </w:rPr>
            </w:pP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left"/>
              <w:textAlignment w:val="center"/>
              <w:rPr>
                <w:rFonts w:ascii="宋体" w:eastAsia="宋体" w:cs="宋体" w:hAnsi="宋体"/>
                <w:color w:val="000000"/>
                <w:sz w:val="22"/>
              </w:rPr>
            </w:pPr>
            <w:r>
              <w:rPr>
                <w:rFonts w:hint="eastAsia"/>
              </w:rPr>
              <w:t>六、科学技术支出</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sz w:val="22"/>
              </w:rPr>
            </w:pPr>
            <w:r>
              <w:rPr>
                <w:rFonts w:hint="eastAsia"/>
              </w:rPr>
              <w:t>37</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left"/>
              <w:textAlignment w:val="center"/>
              <w:rPr>
                <w:rFonts w:ascii="宋体" w:eastAsia="宋体" w:cs="宋体" w:hAnsi="宋体"/>
                <w:color w:val="000000"/>
                <w:sz w:val="22"/>
              </w:rPr>
            </w:pPr>
            <w:r>
              <w:rPr>
                <w:rFonts w:hint="eastAsia"/>
              </w:rPr>
              <w:t>七、附属单位上缴收入</w:t>
            </w: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sz w:val="22"/>
              </w:rPr>
            </w:pPr>
            <w:r>
              <w:rPr>
                <w:rFonts w:hint="eastAsia"/>
              </w:rPr>
              <w:t>7</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宋体" w:eastAsia="宋体" w:cs="宋体" w:hAnsi="宋体"/>
                <w:color w:val="000000"/>
                <w:sz w:val="22"/>
              </w:rPr>
            </w:pP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widowControl/>
              <w:jc w:val="left"/>
              <w:textAlignment w:val="center"/>
              <w:rPr>
                <w:rFonts w:ascii="宋体" w:eastAsia="宋体" w:cs="宋体" w:hAnsi="宋体"/>
                <w:color w:val="000000"/>
                <w:sz w:val="24"/>
              </w:rPr>
            </w:pPr>
            <w:r>
              <w:rPr>
                <w:rFonts w:hint="eastAsia"/>
              </w:rPr>
              <w:t>七、文化旅游体育与传媒支出</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sz w:val="22"/>
              </w:rPr>
            </w:pPr>
            <w:r>
              <w:rPr>
                <w:rFonts w:hint="eastAsia"/>
              </w:rPr>
              <w:t>38</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1.50</w:t>
            </w: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left"/>
              <w:textAlignment w:val="center"/>
              <w:rPr>
                <w:rFonts w:ascii="宋体" w:eastAsia="宋体" w:cs="宋体" w:hAnsi="宋体"/>
                <w:color w:val="000000"/>
                <w:sz w:val="22"/>
              </w:rPr>
            </w:pPr>
            <w:r>
              <w:rPr>
                <w:rFonts w:hint="eastAsia"/>
              </w:rPr>
              <w:t>八、其他收入</w:t>
            </w: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sz w:val="22"/>
              </w:rPr>
            </w:pPr>
            <w:r>
              <w:rPr>
                <w:rFonts w:hint="eastAsia"/>
              </w:rPr>
              <w:t>8</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2"/>
              </w:rPr>
            </w:pP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2"/>
              </w:rPr>
            </w:pPr>
            <w:r>
              <w:rPr>
                <w:rFonts w:hint="eastAsia"/>
              </w:rPr>
              <w:t>八、社会保障和就业支出</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sz w:val="22"/>
              </w:rPr>
            </w:pPr>
            <w:r>
              <w:rPr>
                <w:rFonts w:hint="eastAsia"/>
              </w:rPr>
              <w:t>39</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164.21</w:t>
            </w: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0"/>
                <w:szCs w:val="20"/>
              </w:rPr>
            </w:pP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sz w:val="22"/>
              </w:rPr>
            </w:pPr>
            <w:r>
              <w:rPr>
                <w:rFonts w:hint="eastAsia"/>
              </w:rPr>
              <w:t>9</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宋体" w:eastAsia="宋体" w:cs="宋体" w:hAnsi="宋体"/>
                <w:color w:val="000000"/>
                <w:sz w:val="22"/>
              </w:rPr>
            </w:pP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0"/>
                <w:szCs w:val="20"/>
              </w:rPr>
            </w:pPr>
            <w:r>
              <w:rPr>
                <w:rFonts w:hint="eastAsia"/>
              </w:rPr>
              <w:t>九、卫生健康支出</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sz w:val="22"/>
              </w:rPr>
            </w:pPr>
            <w:r>
              <w:rPr>
                <w:rFonts w:hint="eastAsia"/>
              </w:rPr>
              <w:t>40</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121.73</w:t>
            </w: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0"/>
                <w:szCs w:val="20"/>
              </w:rPr>
            </w:pP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10</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宋体" w:eastAsia="宋体" w:cs="宋体" w:hAnsi="宋体"/>
                <w:color w:val="000000"/>
                <w:sz w:val="22"/>
              </w:rPr>
            </w:pP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0"/>
                <w:szCs w:val="20"/>
              </w:rPr>
            </w:pPr>
            <w:r>
              <w:rPr>
                <w:rFonts w:hint="eastAsia"/>
              </w:rPr>
              <w:t>十、节能环保支出</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41</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0"/>
                <w:szCs w:val="20"/>
              </w:rPr>
            </w:pP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11</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宋体" w:eastAsia="宋体" w:cs="宋体" w:hAnsi="宋体"/>
                <w:color w:val="000000"/>
                <w:sz w:val="22"/>
              </w:rPr>
            </w:pP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0"/>
                <w:szCs w:val="20"/>
              </w:rPr>
            </w:pPr>
            <w:r>
              <w:rPr>
                <w:rFonts w:hint="eastAsia"/>
              </w:rPr>
              <w:t>十一、城乡社区支出</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42</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533.09</w:t>
            </w: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0"/>
                <w:szCs w:val="20"/>
              </w:rPr>
            </w:pP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12</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宋体" w:eastAsia="宋体" w:cs="宋体" w:hAnsi="宋体"/>
                <w:color w:val="000000"/>
                <w:sz w:val="22"/>
              </w:rPr>
            </w:pP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0"/>
                <w:szCs w:val="20"/>
              </w:rPr>
            </w:pPr>
            <w:r>
              <w:rPr>
                <w:rFonts w:hint="eastAsia"/>
              </w:rPr>
              <w:t>十二、农林水支出</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43</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0"/>
                <w:szCs w:val="20"/>
              </w:rPr>
            </w:pP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13</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宋体" w:eastAsia="宋体" w:cs="宋体" w:hAnsi="宋体"/>
                <w:color w:val="000000"/>
                <w:sz w:val="22"/>
              </w:rPr>
            </w:pP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0"/>
                <w:szCs w:val="20"/>
              </w:rPr>
            </w:pPr>
            <w:r>
              <w:rPr>
                <w:rFonts w:hint="eastAsia"/>
              </w:rPr>
              <w:t>十三、交通运输支出</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44</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0"/>
                <w:szCs w:val="20"/>
              </w:rPr>
            </w:pP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14</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宋体" w:eastAsia="宋体" w:cs="宋体" w:hAnsi="宋体"/>
                <w:color w:val="000000"/>
                <w:sz w:val="22"/>
              </w:rPr>
            </w:pP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0"/>
                <w:szCs w:val="20"/>
              </w:rPr>
            </w:pPr>
            <w:r>
              <w:rPr>
                <w:rFonts w:hint="eastAsia"/>
              </w:rPr>
              <w:t>十四、资源勘探工业信息等支出</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45</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0"/>
                <w:szCs w:val="20"/>
              </w:rPr>
            </w:pP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15</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宋体" w:eastAsia="宋体" w:cs="宋体" w:hAnsi="宋体"/>
                <w:color w:val="000000"/>
                <w:sz w:val="22"/>
              </w:rPr>
            </w:pP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0"/>
                <w:szCs w:val="20"/>
              </w:rPr>
            </w:pPr>
            <w:r>
              <w:rPr>
                <w:rFonts w:hint="eastAsia"/>
              </w:rPr>
              <w:t>十五、商业服务业等支出</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46</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0"/>
                <w:szCs w:val="20"/>
              </w:rPr>
            </w:pP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16</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宋体" w:eastAsia="宋体" w:cs="宋体" w:hAnsi="宋体"/>
                <w:color w:val="000000"/>
                <w:sz w:val="22"/>
              </w:rPr>
            </w:pP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0"/>
                <w:szCs w:val="20"/>
              </w:rPr>
            </w:pPr>
            <w:r>
              <w:rPr>
                <w:rFonts w:hint="eastAsia"/>
              </w:rPr>
              <w:t>十六、金融支出</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47</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0"/>
                <w:szCs w:val="20"/>
              </w:rPr>
            </w:pP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17</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宋体" w:eastAsia="宋体" w:cs="宋体" w:hAnsi="宋体"/>
                <w:color w:val="000000"/>
                <w:sz w:val="22"/>
              </w:rPr>
            </w:pP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0"/>
                <w:szCs w:val="20"/>
              </w:rPr>
            </w:pPr>
            <w:r>
              <w:rPr>
                <w:rFonts w:hint="eastAsia"/>
              </w:rPr>
              <w:t>十七、援助其他地区支出</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48</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0"/>
                <w:szCs w:val="20"/>
              </w:rPr>
            </w:pP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0"/>
                <w:sz w:val="22"/>
                <w:szCs w:val="22"/>
                <w:lang w:val="en-US" w:eastAsia="zh-CN" w:bidi="ar-SA"/>
              </w:rPr>
            </w:pPr>
            <w:r>
              <w:rPr>
                <w:rFonts w:hint="eastAsia"/>
              </w:rPr>
              <w:t>18</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宋体" w:eastAsia="宋体" w:cs="宋体" w:hAnsi="宋体"/>
                <w:color w:val="000000"/>
                <w:kern w:val="2"/>
                <w:sz w:val="22"/>
                <w:szCs w:val="22"/>
                <w:lang w:val="en-US" w:eastAsia="zh-CN" w:bidi="ar-SA"/>
              </w:rPr>
            </w:pP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hint="eastAsia"/>
                <w:color w:val="000000"/>
                <w:kern w:val="2"/>
                <w:sz w:val="20"/>
                <w:szCs w:val="20"/>
                <w:lang w:val="en-US" w:eastAsia="zh-CN" w:bidi="ar-SA"/>
              </w:rPr>
            </w:pPr>
            <w:r>
              <w:rPr>
                <w:rFonts w:hint="eastAsia"/>
              </w:rPr>
              <w:t>十八、自然资源海洋气象等支出</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0"/>
                <w:sz w:val="22"/>
                <w:szCs w:val="22"/>
                <w:lang w:val="en-US" w:eastAsia="zh-CN" w:bidi="ar-SA"/>
              </w:rPr>
            </w:pPr>
            <w:r>
              <w:rPr>
                <w:rFonts w:hint="eastAsia"/>
              </w:rPr>
              <w:t>49</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0"/>
                <w:szCs w:val="20"/>
              </w:rPr>
            </w:pP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0"/>
                <w:sz w:val="22"/>
                <w:szCs w:val="22"/>
                <w:lang w:val="en-US" w:eastAsia="zh-CN" w:bidi="ar-SA"/>
              </w:rPr>
            </w:pPr>
            <w:r>
              <w:rPr>
                <w:rFonts w:hint="eastAsia"/>
              </w:rPr>
              <w:t>19</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宋体" w:eastAsia="宋体" w:cs="宋体" w:hAnsi="宋体"/>
                <w:color w:val="000000"/>
                <w:kern w:val="2"/>
                <w:sz w:val="22"/>
                <w:szCs w:val="22"/>
                <w:lang w:val="en-US" w:eastAsia="zh-CN" w:bidi="ar-SA"/>
              </w:rPr>
            </w:pP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hint="eastAsia"/>
                <w:color w:val="000000"/>
                <w:kern w:val="2"/>
                <w:sz w:val="20"/>
                <w:szCs w:val="20"/>
                <w:lang w:val="en-US" w:eastAsia="zh-CN" w:bidi="ar-SA"/>
              </w:rPr>
            </w:pPr>
            <w:r>
              <w:rPr>
                <w:rFonts w:hint="eastAsia"/>
              </w:rPr>
              <w:t>十九、住房保障支出</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0"/>
                <w:sz w:val="22"/>
                <w:szCs w:val="22"/>
                <w:lang w:val="en-US" w:eastAsia="zh-CN" w:bidi="ar-SA"/>
              </w:rPr>
            </w:pPr>
            <w:r>
              <w:rPr>
                <w:rFonts w:hint="eastAsia"/>
              </w:rPr>
              <w:t>50</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78.76</w:t>
            </w: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0"/>
                <w:szCs w:val="20"/>
              </w:rPr>
            </w:pP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0"/>
                <w:sz w:val="22"/>
                <w:szCs w:val="22"/>
                <w:lang w:val="en-US" w:eastAsia="zh-CN" w:bidi="ar-SA"/>
              </w:rPr>
            </w:pPr>
            <w:r>
              <w:rPr>
                <w:rFonts w:hint="eastAsia"/>
              </w:rPr>
              <w:t>20</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宋体" w:eastAsia="宋体" w:cs="宋体" w:hAnsi="宋体"/>
                <w:color w:val="000000"/>
                <w:kern w:val="2"/>
                <w:sz w:val="22"/>
                <w:szCs w:val="22"/>
                <w:lang w:val="en-US" w:eastAsia="zh-CN" w:bidi="ar-SA"/>
              </w:rPr>
            </w:pP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hint="eastAsia"/>
                <w:color w:val="000000"/>
                <w:kern w:val="2"/>
                <w:sz w:val="20"/>
                <w:szCs w:val="20"/>
                <w:lang w:val="en-US" w:eastAsia="zh-CN" w:bidi="ar-SA"/>
              </w:rPr>
            </w:pPr>
            <w:r>
              <w:rPr>
                <w:rFonts w:hint="eastAsia"/>
              </w:rPr>
              <w:t>二十、粮油物资储备支出</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0"/>
                <w:sz w:val="22"/>
                <w:szCs w:val="22"/>
                <w:lang w:val="en-US" w:eastAsia="zh-CN" w:bidi="ar-SA"/>
              </w:rPr>
            </w:pPr>
            <w:r>
              <w:rPr>
                <w:rFonts w:hint="eastAsia"/>
              </w:rPr>
              <w:t>51</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0"/>
                <w:szCs w:val="20"/>
              </w:rPr>
            </w:pP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0"/>
                <w:sz w:val="22"/>
                <w:szCs w:val="22"/>
                <w:lang w:val="en-US" w:eastAsia="zh-CN" w:bidi="ar-SA"/>
              </w:rPr>
            </w:pPr>
            <w:r>
              <w:rPr>
                <w:rFonts w:hint="eastAsia"/>
              </w:rPr>
              <w:t>21</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宋体" w:eastAsia="宋体" w:cs="宋体" w:hAnsi="宋体"/>
                <w:color w:val="000000"/>
                <w:kern w:val="2"/>
                <w:sz w:val="22"/>
                <w:szCs w:val="22"/>
                <w:lang w:val="en-US" w:eastAsia="zh-CN" w:bidi="ar-SA"/>
              </w:rPr>
            </w:pP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hint="eastAsia"/>
                <w:color w:val="000000"/>
                <w:kern w:val="2"/>
                <w:sz w:val="20"/>
                <w:szCs w:val="20"/>
                <w:lang w:val="en-US" w:eastAsia="zh-CN" w:bidi="ar-SA"/>
              </w:rPr>
            </w:pPr>
            <w:r>
              <w:rPr>
                <w:rFonts w:hint="eastAsia"/>
              </w:rPr>
              <w:t>二十一、国有资本经营预算支出</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0"/>
                <w:sz w:val="22"/>
                <w:szCs w:val="22"/>
                <w:lang w:val="en-US" w:eastAsia="zh-CN" w:bidi="ar-SA"/>
              </w:rPr>
            </w:pPr>
            <w:r>
              <w:rPr>
                <w:rFonts w:hint="eastAsia"/>
              </w:rPr>
              <w:t>52</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0"/>
                <w:szCs w:val="20"/>
              </w:rPr>
            </w:pP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0"/>
                <w:sz w:val="22"/>
                <w:szCs w:val="22"/>
                <w:lang w:val="en-US" w:eastAsia="zh-CN" w:bidi="ar-SA"/>
              </w:rPr>
            </w:pPr>
            <w:r>
              <w:rPr>
                <w:rFonts w:hint="eastAsia"/>
              </w:rPr>
              <w:t>22</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宋体" w:eastAsia="宋体" w:cs="宋体" w:hAnsi="宋体"/>
                <w:color w:val="000000"/>
                <w:kern w:val="2"/>
                <w:sz w:val="22"/>
                <w:szCs w:val="22"/>
                <w:lang w:val="en-US" w:eastAsia="zh-CN" w:bidi="ar-SA"/>
              </w:rPr>
            </w:pP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hint="eastAsia"/>
                <w:color w:val="000000"/>
                <w:kern w:val="2"/>
                <w:sz w:val="20"/>
                <w:szCs w:val="20"/>
                <w:lang w:val="en-US" w:eastAsia="zh-CN" w:bidi="ar-SA"/>
              </w:rPr>
            </w:pPr>
            <w:r>
              <w:rPr>
                <w:rFonts w:hint="eastAsia"/>
              </w:rPr>
              <w:t>二十二、灾害防治及应急管理支出</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0"/>
                <w:sz w:val="22"/>
                <w:szCs w:val="22"/>
                <w:lang w:val="en-US" w:eastAsia="zh-CN" w:bidi="ar-SA"/>
              </w:rPr>
            </w:pPr>
            <w:r>
              <w:rPr>
                <w:rFonts w:hint="eastAsia"/>
              </w:rPr>
              <w:t>53</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0"/>
                <w:szCs w:val="20"/>
              </w:rPr>
            </w:pP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0"/>
                <w:sz w:val="22"/>
                <w:szCs w:val="22"/>
                <w:lang w:val="en-US" w:eastAsia="zh-CN" w:bidi="ar-SA"/>
              </w:rPr>
            </w:pPr>
            <w:r>
              <w:rPr>
                <w:rFonts w:hint="eastAsia"/>
              </w:rPr>
              <w:t>23</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宋体" w:eastAsia="宋体" w:cs="宋体" w:hAnsi="宋体"/>
                <w:color w:val="000000"/>
                <w:kern w:val="2"/>
                <w:sz w:val="22"/>
                <w:szCs w:val="22"/>
                <w:lang w:val="en-US" w:eastAsia="zh-CN" w:bidi="ar-SA"/>
              </w:rPr>
            </w:pP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hint="eastAsia"/>
                <w:color w:val="000000"/>
                <w:kern w:val="2"/>
                <w:sz w:val="20"/>
                <w:szCs w:val="20"/>
                <w:lang w:val="en-US" w:eastAsia="zh-CN" w:bidi="ar-SA"/>
              </w:rPr>
            </w:pPr>
            <w:r>
              <w:rPr>
                <w:rFonts w:hint="eastAsia"/>
              </w:rPr>
              <w:t>二十三、其他支出</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0"/>
                <w:sz w:val="22"/>
                <w:szCs w:val="22"/>
                <w:lang w:val="en-US" w:eastAsia="zh-CN" w:bidi="ar-SA"/>
              </w:rPr>
            </w:pPr>
            <w:r>
              <w:rPr>
                <w:rFonts w:hint="eastAsia"/>
              </w:rPr>
              <w:t>54</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rPr>
                <w:rFonts w:ascii="宋体" w:eastAsia="宋体" w:cs="宋体" w:hAnsi="宋体"/>
                <w:b/>
                <w:color w:val="000000"/>
                <w:sz w:val="22"/>
              </w:rPr>
            </w:pP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0"/>
                <w:szCs w:val="20"/>
              </w:rPr>
            </w:pP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0"/>
                <w:sz w:val="22"/>
                <w:szCs w:val="22"/>
                <w:lang w:val="en-US" w:eastAsia="zh-CN" w:bidi="ar-SA"/>
              </w:rPr>
            </w:pPr>
            <w:r>
              <w:rPr>
                <w:rFonts w:hint="eastAsia"/>
              </w:rPr>
              <w:t>24</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宋体" w:eastAsia="宋体" w:cs="宋体" w:hAnsi="宋体"/>
                <w:color w:val="000000"/>
                <w:kern w:val="2"/>
                <w:sz w:val="22"/>
                <w:szCs w:val="22"/>
                <w:lang w:val="en-US" w:eastAsia="zh-CN" w:bidi="ar-SA"/>
              </w:rPr>
            </w:pP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hint="eastAsia"/>
                <w:color w:val="000000"/>
                <w:kern w:val="2"/>
                <w:sz w:val="20"/>
                <w:szCs w:val="20"/>
                <w:lang w:val="en-US" w:eastAsia="zh-CN" w:bidi="ar-SA"/>
              </w:rPr>
            </w:pPr>
            <w:r>
              <w:rPr>
                <w:rFonts w:hint="eastAsia"/>
              </w:rPr>
              <w:t>二十四、债务还本支出</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0"/>
                <w:sz w:val="22"/>
                <w:szCs w:val="22"/>
                <w:lang w:val="en-US" w:eastAsia="zh-CN" w:bidi="ar-SA"/>
              </w:rPr>
            </w:pPr>
            <w:r>
              <w:rPr>
                <w:rFonts w:hint="eastAsia"/>
              </w:rPr>
              <w:t>55</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rPr>
                <w:rFonts w:ascii="宋体" w:eastAsia="宋体" w:cs="宋体" w:hAnsi="宋体"/>
                <w:b/>
                <w:color w:val="000000"/>
                <w:sz w:val="22"/>
              </w:rPr>
            </w:pP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0"/>
                <w:szCs w:val="20"/>
              </w:rPr>
            </w:pP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0"/>
                <w:sz w:val="22"/>
                <w:szCs w:val="22"/>
                <w:lang w:val="en-US" w:eastAsia="zh-CN" w:bidi="ar-SA"/>
              </w:rPr>
            </w:pPr>
            <w:r>
              <w:rPr>
                <w:rFonts w:hint="eastAsia"/>
              </w:rPr>
              <w:t>25</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宋体" w:eastAsia="宋体" w:cs="宋体" w:hAnsi="宋体"/>
                <w:color w:val="000000"/>
                <w:kern w:val="2"/>
                <w:sz w:val="22"/>
                <w:szCs w:val="22"/>
                <w:lang w:val="en-US" w:eastAsia="zh-CN" w:bidi="ar-SA"/>
              </w:rPr>
            </w:pP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hint="eastAsia"/>
                <w:color w:val="000000"/>
                <w:kern w:val="2"/>
                <w:sz w:val="20"/>
                <w:szCs w:val="20"/>
                <w:lang w:val="en-US" w:eastAsia="zh-CN" w:bidi="ar-SA"/>
              </w:rPr>
            </w:pPr>
            <w:r>
              <w:rPr>
                <w:rFonts w:hint="eastAsia"/>
              </w:rPr>
              <w:t>二十五、债务付息支出</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0"/>
                <w:sz w:val="22"/>
                <w:szCs w:val="22"/>
                <w:lang w:val="en-US" w:eastAsia="zh-CN" w:bidi="ar-SA"/>
              </w:rPr>
            </w:pPr>
            <w:r>
              <w:rPr>
                <w:rFonts w:hint="eastAsia"/>
              </w:rPr>
              <w:t>56</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rPr>
                <w:rFonts w:ascii="宋体" w:eastAsia="宋体" w:cs="宋体" w:hAnsi="宋体"/>
                <w:b/>
                <w:color w:val="000000"/>
                <w:sz w:val="22"/>
              </w:rPr>
            </w:pP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color w:val="000000"/>
                <w:sz w:val="20"/>
                <w:szCs w:val="20"/>
              </w:rPr>
            </w:pP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0"/>
                <w:sz w:val="22"/>
                <w:szCs w:val="22"/>
                <w:lang w:val="en-US" w:eastAsia="zh-CN" w:bidi="ar-SA"/>
              </w:rPr>
            </w:pPr>
            <w:r>
              <w:rPr>
                <w:rFonts w:hint="eastAsia"/>
              </w:rPr>
              <w:t>26</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宋体" w:eastAsia="宋体" w:cs="宋体" w:hAnsi="宋体"/>
                <w:color w:val="000000"/>
                <w:kern w:val="2"/>
                <w:sz w:val="22"/>
                <w:szCs w:val="22"/>
                <w:lang w:val="en-US" w:eastAsia="zh-CN" w:bidi="ar-SA"/>
              </w:rPr>
            </w:pP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hint="eastAsia"/>
                <w:color w:val="000000"/>
                <w:kern w:val="2"/>
                <w:sz w:val="20"/>
                <w:szCs w:val="20"/>
                <w:lang w:val="en-US" w:eastAsia="zh-CN" w:bidi="ar-SA"/>
              </w:rPr>
            </w:pPr>
            <w:r>
              <w:rPr>
                <w:rFonts w:hint="eastAsia"/>
              </w:rPr>
              <w:t>二十六、抗疫特别国债安排的支出</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0"/>
                <w:sz w:val="22"/>
                <w:szCs w:val="22"/>
                <w:lang w:val="en-US" w:eastAsia="zh-CN" w:bidi="ar-SA"/>
              </w:rPr>
            </w:pPr>
            <w:r>
              <w:rPr>
                <w:rFonts w:hint="eastAsia"/>
              </w:rPr>
              <w:t>57</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rPr>
                <w:rFonts w:ascii="宋体" w:eastAsia="宋体" w:cs="宋体" w:hAnsi="宋体"/>
                <w:b/>
                <w:color w:val="000000"/>
                <w:sz w:val="22"/>
              </w:rPr>
            </w:pP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center"/>
              <w:rPr>
                <w:rFonts w:ascii="宋体" w:eastAsia="宋体" w:cs="宋体" w:hAnsi="宋体"/>
                <w:color w:val="000000"/>
                <w:kern w:val="2"/>
                <w:sz w:val="20"/>
                <w:szCs w:val="20"/>
                <w:lang w:val="en-US" w:eastAsia="zh-CN" w:bidi="ar-SA"/>
              </w:rPr>
            </w:pPr>
            <w:r>
              <w:rPr>
                <w:rFonts w:hint="eastAsia"/>
                <w:b/>
                <w:bCs/>
              </w:rPr>
              <w:t>本年收入合计</w:t>
            </w: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0"/>
                <w:sz w:val="22"/>
                <w:szCs w:val="22"/>
                <w:lang w:val="en-US" w:eastAsia="zh-CN" w:bidi="ar-SA"/>
              </w:rPr>
            </w:pPr>
            <w:r>
              <w:rPr>
                <w:rFonts w:hint="eastAsia"/>
              </w:rPr>
              <w:t>27</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3,247.86</w:t>
            </w: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center"/>
              <w:rPr>
                <w:rFonts w:ascii="宋体" w:eastAsia="宋体" w:cs="宋体" w:hAnsi="宋体" w:hint="eastAsia"/>
                <w:color w:val="000000"/>
                <w:kern w:val="2"/>
                <w:sz w:val="20"/>
                <w:szCs w:val="20"/>
                <w:lang w:val="en-US" w:eastAsia="zh-CN" w:bidi="ar-SA"/>
              </w:rPr>
            </w:pPr>
            <w:r>
              <w:rPr>
                <w:rFonts w:hint="eastAsia"/>
                <w:b/>
                <w:bCs/>
              </w:rPr>
              <w:t>本年支出合计</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0"/>
                <w:sz w:val="22"/>
                <w:szCs w:val="22"/>
                <w:lang w:val="en-US" w:eastAsia="zh-CN" w:bidi="ar-SA"/>
              </w:rPr>
            </w:pPr>
            <w:r>
              <w:rPr>
                <w:rFonts w:hint="eastAsia"/>
              </w:rPr>
              <w:t>58</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3,247.86</w:t>
            </w: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hint="eastAsia"/>
                <w:color w:val="000000"/>
                <w:kern w:val="2"/>
                <w:sz w:val="20"/>
                <w:szCs w:val="20"/>
                <w:lang w:val="en-US" w:eastAsia="zh-CN" w:bidi="ar-SA"/>
              </w:rPr>
            </w:pPr>
            <w:r>
              <w:rPr>
                <w:rFonts w:hint="eastAsia"/>
              </w:rPr>
              <w:t>使用非财政拨款结余（含专用结余）</w:t>
            </w: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0"/>
                <w:sz w:val="22"/>
                <w:szCs w:val="22"/>
                <w:lang w:val="en-US" w:eastAsia="zh-CN" w:bidi="ar-SA"/>
              </w:rPr>
            </w:pPr>
            <w:r>
              <w:rPr>
                <w:rFonts w:hint="eastAsia"/>
              </w:rPr>
              <w:t>28</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hint="eastAsia"/>
                <w:color w:val="000000"/>
                <w:kern w:val="2"/>
                <w:sz w:val="20"/>
                <w:szCs w:val="20"/>
                <w:lang w:val="en-US" w:eastAsia="zh-CN" w:bidi="ar-SA"/>
              </w:rPr>
            </w:pPr>
            <w:r>
              <w:rPr>
                <w:rFonts w:hint="eastAsia"/>
              </w:rPr>
              <w:t>结余分配</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0"/>
                <w:sz w:val="22"/>
                <w:szCs w:val="22"/>
                <w:lang w:val="en-US" w:eastAsia="zh-CN" w:bidi="ar-SA"/>
              </w:rPr>
            </w:pPr>
            <w:r>
              <w:rPr>
                <w:rFonts w:hint="eastAsia"/>
              </w:rPr>
              <w:t>59</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hint="eastAsia"/>
                <w:color w:val="000000"/>
                <w:kern w:val="2"/>
                <w:sz w:val="20"/>
                <w:szCs w:val="20"/>
                <w:lang w:val="en-US" w:eastAsia="zh-CN" w:bidi="ar-SA"/>
              </w:rPr>
            </w:pPr>
            <w:r>
              <w:rPr>
                <w:rFonts w:hint="eastAsia"/>
              </w:rPr>
              <w:t>年初结转和结余</w:t>
            </w: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0"/>
                <w:sz w:val="22"/>
                <w:szCs w:val="22"/>
                <w:lang w:val="en-US" w:eastAsia="zh-CN" w:bidi="ar-SA"/>
              </w:rPr>
            </w:pPr>
            <w:r>
              <w:rPr>
                <w:rFonts w:hint="eastAsia"/>
              </w:rPr>
              <w:t>29</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hint="eastAsia"/>
                <w:color w:val="000000"/>
                <w:kern w:val="2"/>
                <w:sz w:val="20"/>
                <w:szCs w:val="20"/>
                <w:lang w:val="en-US" w:eastAsia="zh-CN" w:bidi="ar-SA"/>
              </w:rPr>
            </w:pPr>
            <w:r>
              <w:rPr>
                <w:rFonts w:hint="eastAsia"/>
              </w:rPr>
              <w:t>年末结转和结余</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0"/>
                <w:sz w:val="22"/>
                <w:szCs w:val="22"/>
                <w:lang w:val="en-US" w:eastAsia="zh-CN" w:bidi="ar-SA"/>
              </w:rPr>
            </w:pPr>
            <w:r>
              <w:rPr>
                <w:rFonts w:hint="eastAsia"/>
              </w:rPr>
              <w:t>60</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hint="eastAsia"/>
                <w:color w:val="000000"/>
                <w:kern w:val="2"/>
                <w:sz w:val="20"/>
                <w:szCs w:val="20"/>
                <w:lang w:val="en-US" w:eastAsia="zh-CN" w:bidi="ar-SA"/>
              </w:rPr>
            </w:pP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0"/>
                <w:sz w:val="22"/>
                <w:szCs w:val="22"/>
                <w:lang w:val="en-US" w:eastAsia="zh-CN" w:bidi="ar-SA"/>
              </w:rPr>
            </w:pPr>
            <w:r>
              <w:rPr>
                <w:rFonts w:hint="eastAsia"/>
              </w:rPr>
              <w:t>30</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left"/>
              <w:rPr>
                <w:rFonts w:ascii="宋体" w:eastAsia="宋体" w:cs="宋体" w:hAnsi="宋体" w:hint="eastAsia"/>
                <w:color w:val="000000"/>
                <w:kern w:val="2"/>
                <w:sz w:val="20"/>
                <w:szCs w:val="20"/>
                <w:lang w:val="en-US" w:eastAsia="zh-CN" w:bidi="ar-SA"/>
              </w:rPr>
            </w:pP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0"/>
                <w:sz w:val="22"/>
                <w:szCs w:val="22"/>
                <w:lang w:val="en-US" w:eastAsia="zh-CN" w:bidi="ar-SA"/>
              </w:rPr>
            </w:pPr>
            <w:r>
              <w:rPr>
                <w:rFonts w:hint="eastAsia"/>
              </w:rPr>
              <w:t>61</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val="283"/>
        </w:trPr>
        <w:tc>
          <w:tcPr>
            <w:tcW w:w="3490"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widowControl/>
              <w:jc w:val="center"/>
              <w:textAlignment w:val="center"/>
              <w:rPr>
                <w:rFonts w:ascii="宋体" w:eastAsia="宋体" w:cs="宋体" w:hAnsi="宋体" w:hint="eastAsia"/>
                <w:b/>
                <w:color w:val="000000"/>
                <w:kern w:val="2"/>
                <w:sz w:val="22"/>
                <w:szCs w:val="22"/>
                <w:lang w:val="en-US" w:eastAsia="zh-CN" w:bidi="ar-SA"/>
              </w:rPr>
            </w:pPr>
            <w:r>
              <w:rPr>
                <w:rFonts w:hint="eastAsia"/>
                <w:b/>
                <w:bCs/>
              </w:rPr>
              <w:t>总计</w:t>
            </w:r>
          </w:p>
        </w:tc>
        <w:tc>
          <w:tcPr>
            <w:tcW w:w="536"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2"/>
                <w:sz w:val="22"/>
                <w:szCs w:val="22"/>
                <w:lang w:val="en-US" w:eastAsia="zh-CN" w:bidi="ar-SA"/>
              </w:rPr>
            </w:pPr>
            <w:r>
              <w:rPr>
                <w:rFonts w:hint="eastAsia"/>
              </w:rPr>
              <w:t>31</w:t>
            </w:r>
          </w:p>
        </w:tc>
        <w:tc>
          <w:tcPr>
            <w:tcW w:w="1350"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3,247.86</w:t>
            </w:r>
          </w:p>
        </w:tc>
        <w:tc>
          <w:tcPr>
            <w:tcW w:w="3283" w:type="dxa"/>
            <w:gridSpan w:val="2"/>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widowControl/>
              <w:jc w:val="center"/>
              <w:textAlignment w:val="center"/>
              <w:rPr>
                <w:rFonts w:ascii="宋体" w:eastAsia="宋体" w:cs="宋体" w:hAnsi="宋体" w:hint="eastAsia"/>
                <w:b/>
                <w:color w:val="000000"/>
                <w:kern w:val="2"/>
                <w:sz w:val="22"/>
                <w:szCs w:val="22"/>
                <w:lang w:val="en-US" w:eastAsia="zh-CN" w:bidi="ar-SA"/>
              </w:rPr>
            </w:pPr>
            <w:r>
              <w:rPr>
                <w:rFonts w:hint="eastAsia"/>
                <w:b/>
                <w:bCs/>
              </w:rPr>
              <w:t>总计</w:t>
            </w:r>
          </w:p>
        </w:tc>
        <w:tc>
          <w:tcPr>
            <w:tcW w:w="502" w:type="dxa"/>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pPr>
              <w:widowControl/>
              <w:jc w:val="center"/>
              <w:textAlignment w:val="center"/>
              <w:rPr>
                <w:rFonts w:ascii="宋体" w:eastAsia="宋体" w:cs="宋体" w:hAnsi="宋体" w:hint="eastAsia"/>
                <w:color w:val="000000"/>
                <w:kern w:val="2"/>
                <w:sz w:val="22"/>
                <w:szCs w:val="22"/>
                <w:lang w:val="en-US" w:eastAsia="zh-CN" w:bidi="ar-SA"/>
              </w:rPr>
            </w:pPr>
            <w:r>
              <w:rPr>
                <w:rFonts w:hint="eastAsia"/>
              </w:rPr>
              <w:t>62</w:t>
            </w:r>
          </w:p>
        </w:tc>
        <w:tc>
          <w:tcPr>
            <w:tcW w:w="1099" w:type="dxa"/>
            <w:tcBorders>
              <w:top w:val="single" w:sz="4" w:space="0" w:color="000000"/>
              <w:left w:val="single" w:sz="4" w:space="0" w:color="000000"/>
              <w:bottom w:val="single" w:sz="4" w:space="0" w:color="000000"/>
              <w:right w:val="single" w:sz="4" w:space="0" w:color="000000"/>
              <w:tl2br w:val="nil"/>
              <w:tr2bl w:val="nil"/>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3,247.86</w:t>
            </w:r>
          </w:p>
        </w:tc>
      </w:tr>
      <w:tr>
        <w:trPr>
          <w:trHeight w:val="340"/>
        </w:trPr>
        <w:tc>
          <w:tcPr>
            <w:tcW w:w="10260" w:type="dxa"/>
            <w:gridSpan w:val="8"/>
            <w:tcBorders>
              <w:top w:val="single" w:sz="4" w:space="0" w:color="000000"/>
              <w:tl2br w:val="nil"/>
              <w:tr2bl w:val="nil"/>
            </w:tcBorders>
            <w:shd w:val="clear" w:color="auto" w:fill="auto"/>
            <w:vAlign w:val="center"/>
          </w:tcPr>
          <w:p>
            <w:pPr>
              <w:widowControl/>
              <w:jc w:val="left"/>
              <w:textAlignment w:val="center"/>
              <w:rPr>
                <w:rFonts w:ascii="宋体" w:eastAsia="宋体" w:cs="宋体" w:hAnsi="宋体"/>
                <w:color w:val="000000"/>
                <w:kern w:val="0"/>
                <w:sz w:val="24"/>
                <w:szCs w:val="24"/>
              </w:rPr>
            </w:pPr>
            <w:r>
              <w:rPr>
                <w:rFonts w:ascii="宋体" w:eastAsia="宋体" w:cs="宋体" w:hAnsi="宋体" w:hint="eastAsia"/>
                <w:color w:val="000000"/>
                <w:kern w:val="0"/>
                <w:sz w:val="24"/>
                <w:szCs w:val="24"/>
              </w:rPr>
              <w:t>注：1.本表反映部门本年度的总收支和年末结转结余情况。</w:t>
            </w:r>
          </w:p>
          <w:p>
            <w:pPr>
              <w:rPr>
                <w:rFonts w:ascii="宋体" w:eastAsia="宋体" w:cs="宋体" w:hAnsi="宋体"/>
                <w:color w:val="000000"/>
                <w:kern w:val="2"/>
                <w:sz w:val="22"/>
                <w:szCs w:val="22"/>
                <w:lang w:val="en-US" w:eastAsia="zh-CN" w:bidi="ar-SA"/>
              </w:rPr>
            </w:pPr>
            <w:r>
              <w:rPr>
                <w:rFonts w:ascii="宋体" w:eastAsia="宋体" w:cs="宋体" w:hAnsi="宋体" w:hint="eastAsia"/>
                <w:color w:val="000000"/>
                <w:kern w:val="0"/>
                <w:sz w:val="24"/>
                <w:szCs w:val="24"/>
              </w:rPr>
              <w:t xml:space="preserve">    2.本套报表金额单位转换时可能存在尾数误差。</w:t>
            </w:r>
          </w:p>
        </w:tc>
      </w:tr>
    </w:tbl>
    <w:p>
      <w:pPr>
        <w:jc w:val="center"/>
        <w:rPr>
          <w:rFonts w:ascii="宋体" w:eastAsia="宋体" w:cs="宋体" w:hAnsi="宋体"/>
          <w:b/>
          <w:bCs/>
          <w:color w:val="000000"/>
          <w:kern w:val="0"/>
          <w:sz w:val="24"/>
          <w:szCs w:val="24"/>
        </w:rPr>
      </w:pPr>
      <w:r>
        <w:rPr>
          <w:rFonts w:ascii="宋体" w:eastAsia="宋体" w:cs="宋体" w:hAnsi="宋体" w:hint="eastAsia"/>
          <w:b/>
          <w:bCs/>
          <w:color w:val="000000"/>
          <w:kern w:val="0"/>
          <w:sz w:val="24"/>
          <w:szCs w:val="24"/>
        </w:rPr>
        <w:br w:type="page"/>
      </w:r>
    </w:p>
    <w:tbl>
      <w:tblPr>
        <w:jc w:val="center"/>
        <w:tblW w:w="10040" w:type="dxa"/>
        <w:tblBorders>
          <w:top w:val="none" w:sz="0" w:space="0" w:color="auto"/>
          <w:left w:val="none" w:sz="0" w:space="0" w:color="auto"/>
          <w:bottom w:val="none" w:sz="0" w:space="0" w:color="auto"/>
          <w:right w:val="none" w:sz="0" w:space="0" w:color="auto"/>
        </w:tblBorders>
        <w:tblLayout w:type="fixed"/>
        <w:tblCellMar>
          <w:top w:w="15" w:type="dxa"/>
          <w:left w:w="15" w:type="dxa"/>
          <w:bottom w:w="15" w:type="dxa"/>
          <w:right w:w="15" w:type="dxa"/>
        </w:tblCellMar>
        <w:tblLook w:val="0600" w:firstRow="0" w:lastRow="0" w:firstColumn="0" w:lastColumn="0" w:noHBand="1" w:noVBand="1"/>
      </w:tblPr>
      <w:tblGrid>
        <w:gridCol w:w="793"/>
        <w:gridCol w:w="240"/>
        <w:gridCol w:w="3486"/>
        <w:gridCol w:w="810"/>
        <w:gridCol w:w="765"/>
        <w:gridCol w:w="885"/>
        <w:gridCol w:w="690"/>
        <w:gridCol w:w="615"/>
        <w:gridCol w:w="1110"/>
        <w:gridCol w:w="646"/>
      </w:tblGrid>
      <w:tr>
        <w:trPr>
          <w:trHeight w:hRule="exact" w:val="552"/>
        </w:trPr>
        <w:tc>
          <w:tcPr>
            <w:tcW w:w="10040" w:type="dxa"/>
            <w:gridSpan w:val="10"/>
            <w:shd w:val="clear" w:color="auto" w:fill="auto"/>
            <w:vAlign w:val="center"/>
          </w:tcPr>
          <w:p>
            <w:pPr>
              <w:widowControl/>
              <w:jc w:val="center"/>
              <w:textAlignment w:val="center"/>
              <w:rPr>
                <w:rFonts w:ascii="华文中宋" w:eastAsia="华文中宋" w:cs="华文中宋" w:hAnsi="华文中宋"/>
                <w:b/>
                <w:bCs/>
                <w:color w:val="000000"/>
                <w:sz w:val="32"/>
                <w:szCs w:val="32"/>
              </w:rPr>
            </w:pPr>
            <w:r>
              <w:rPr>
                <w:rFonts w:ascii="华文中宋" w:eastAsia="华文中宋" w:cs="华文中宋" w:hAnsi="华文中宋" w:hint="eastAsia"/>
                <w:b/>
                <w:bCs/>
                <w:color w:val="000000"/>
                <w:kern w:val="0"/>
                <w:sz w:val="32"/>
                <w:szCs w:val="32"/>
              </w:rPr>
              <w:t>收入决算表</w:t>
            </w:r>
          </w:p>
        </w:tc>
      </w:tr>
      <w:tr>
        <w:trPr>
          <w:trHeight w:hRule="exact" w:val="330"/>
        </w:trPr>
        <w:tc>
          <w:tcPr>
            <w:tcW w:w="793" w:type="dxa"/>
            <w:shd w:val="clear" w:color="auto" w:fill="FFFFFF"/>
            <w:vAlign w:val="center"/>
          </w:tcPr>
          <w:p>
            <w:pPr>
              <w:jc w:val="right"/>
              <w:rPr>
                <w:rFonts w:ascii="宋体" w:eastAsia="宋体" w:cs="宋体" w:hAnsi="宋体"/>
                <w:color w:val="000000"/>
                <w:sz w:val="24"/>
              </w:rPr>
            </w:pPr>
          </w:p>
        </w:tc>
        <w:tc>
          <w:tcPr>
            <w:tcW w:w="240" w:type="dxa"/>
            <w:shd w:val="clear" w:color="auto" w:fill="FFFFFF"/>
            <w:vAlign w:val="center"/>
          </w:tcPr>
          <w:p>
            <w:pPr>
              <w:jc w:val="right"/>
              <w:rPr>
                <w:rFonts w:ascii="宋体" w:eastAsia="宋体" w:cs="宋体" w:hAnsi="宋体"/>
                <w:color w:val="000000"/>
                <w:sz w:val="24"/>
              </w:rPr>
            </w:pPr>
          </w:p>
        </w:tc>
        <w:tc>
          <w:tcPr>
            <w:tcW w:w="3486" w:type="dxa"/>
            <w:shd w:val="clear" w:color="auto" w:fill="FFFFFF"/>
            <w:vAlign w:val="center"/>
          </w:tcPr>
          <w:p>
            <w:pPr>
              <w:jc w:val="right"/>
              <w:rPr>
                <w:rFonts w:ascii="宋体" w:eastAsia="宋体" w:cs="宋体" w:hAnsi="宋体"/>
                <w:color w:val="000000"/>
                <w:sz w:val="24"/>
              </w:rPr>
            </w:pPr>
          </w:p>
        </w:tc>
        <w:tc>
          <w:tcPr>
            <w:tcW w:w="810" w:type="dxa"/>
            <w:shd w:val="clear" w:color="auto" w:fill="FFFFFF"/>
            <w:vAlign w:val="center"/>
          </w:tcPr>
          <w:p>
            <w:pPr>
              <w:jc w:val="right"/>
              <w:rPr>
                <w:rFonts w:ascii="宋体" w:eastAsia="宋体" w:cs="宋体" w:hAnsi="宋体"/>
                <w:color w:val="000000"/>
                <w:sz w:val="24"/>
              </w:rPr>
            </w:pPr>
          </w:p>
        </w:tc>
        <w:tc>
          <w:tcPr>
            <w:tcW w:w="765" w:type="dxa"/>
            <w:shd w:val="clear" w:color="auto" w:fill="FFFFFF"/>
            <w:vAlign w:val="center"/>
          </w:tcPr>
          <w:p>
            <w:pPr>
              <w:jc w:val="right"/>
              <w:rPr>
                <w:rFonts w:ascii="宋体" w:eastAsia="宋体" w:cs="宋体" w:hAnsi="宋体"/>
                <w:color w:val="000000"/>
                <w:sz w:val="24"/>
              </w:rPr>
            </w:pPr>
          </w:p>
        </w:tc>
        <w:tc>
          <w:tcPr>
            <w:tcW w:w="885" w:type="dxa"/>
            <w:shd w:val="clear" w:color="auto" w:fill="FFFFFF"/>
            <w:vAlign w:val="center"/>
          </w:tcPr>
          <w:p>
            <w:pPr>
              <w:jc w:val="right"/>
              <w:rPr>
                <w:rFonts w:ascii="宋体" w:eastAsia="宋体" w:cs="宋体" w:hAnsi="宋体"/>
                <w:color w:val="000000"/>
                <w:sz w:val="24"/>
              </w:rPr>
            </w:pPr>
          </w:p>
        </w:tc>
        <w:tc>
          <w:tcPr>
            <w:tcW w:w="690" w:type="dxa"/>
            <w:shd w:val="clear" w:color="auto" w:fill="FFFFFF"/>
            <w:vAlign w:val="center"/>
          </w:tcPr>
          <w:p>
            <w:pPr>
              <w:jc w:val="right"/>
              <w:rPr>
                <w:rFonts w:ascii="宋体" w:eastAsia="宋体" w:cs="宋体" w:hAnsi="宋体"/>
                <w:color w:val="000000"/>
                <w:sz w:val="24"/>
              </w:rPr>
            </w:pPr>
          </w:p>
        </w:tc>
        <w:tc>
          <w:tcPr>
            <w:tcW w:w="615" w:type="dxa"/>
            <w:shd w:val="clear" w:color="auto" w:fill="FFFFFF"/>
            <w:vAlign w:val="center"/>
          </w:tcPr>
          <w:p>
            <w:pPr>
              <w:jc w:val="right"/>
              <w:rPr>
                <w:rFonts w:ascii="宋体" w:eastAsia="宋体" w:cs="宋体" w:hAnsi="宋体"/>
                <w:color w:val="000000"/>
                <w:sz w:val="24"/>
              </w:rPr>
            </w:pPr>
          </w:p>
        </w:tc>
        <w:tc>
          <w:tcPr>
            <w:tcW w:w="1756" w:type="dxa"/>
            <w:gridSpan w:val="2"/>
            <w:shd w:val="clear" w:color="auto" w:fill="FFFFFF"/>
            <w:vAlign w:val="center"/>
          </w:tcPr>
          <w:p>
            <w:pPr>
              <w:widowControl/>
              <w:jc w:val="righ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公开02表</w:t>
            </w:r>
          </w:p>
        </w:tc>
      </w:tr>
      <w:tr>
        <w:trPr>
          <w:trHeight w:hRule="exact" w:val="289"/>
        </w:trPr>
        <w:tc>
          <w:tcPr>
            <w:tcW w:w="4519" w:type="dxa"/>
            <w:gridSpan w:val="3"/>
            <w:shd w:val="clear" w:color="auto" w:fill="FFFFFF"/>
            <w:vAlign w:val="center"/>
          </w:tcPr>
          <w:p>
            <w:pPr>
              <w:jc w:val="left"/>
              <w:rPr>
                <w:rFonts w:ascii="宋体" w:eastAsia="宋体" w:cs="宋体" w:hAnsi="宋体"/>
                <w:color w:val="000000"/>
                <w:sz w:val="24"/>
              </w:rPr>
            </w:pPr>
            <w:r>
              <w:rPr>
                <w:rFonts w:ascii="宋体" w:eastAsia="宋体" w:cs="宋体" w:hAnsi="宋体" w:hint="eastAsia"/>
                <w:color w:val="000000"/>
                <w:kern w:val="0"/>
                <w:sz w:val="20"/>
                <w:szCs w:val="20"/>
              </w:rPr>
              <w:t>部门：</w:t>
            </w:r>
            <w:r>
              <w:rPr>
                <w:rFonts w:ascii="方正仿宋_GB2312" w:eastAsia="方正仿宋_GB2312" w:cs="方正仿宋_GB2312" w:hAnsi="方正仿宋_GB2312" w:hint="eastAsia"/>
                <w:color w:val="000000"/>
                <w:sz w:val="20"/>
                <w:szCs w:val="20"/>
              </w:rPr>
              <w:t xml:space="preserve">石家庄市桥西区苑东街道办事处  </w:t>
            </w:r>
          </w:p>
        </w:tc>
        <w:tc>
          <w:tcPr>
            <w:tcW w:w="2460" w:type="dxa"/>
            <w:gridSpan w:val="3"/>
            <w:shd w:val="clear" w:color="auto" w:fill="FFFFFF"/>
            <w:vAlign w:val="center"/>
          </w:tcPr>
          <w:p>
            <w:pPr>
              <w:spacing w:line="240" w:lineRule="exact"/>
              <w:jc w:val="left"/>
              <w:rPr>
                <w:rFonts w:ascii="宋体" w:eastAsia="宋体" w:cs="宋体" w:hAnsi="宋体"/>
                <w:color w:val="000000"/>
                <w:sz w:val="20"/>
                <w:szCs w:val="20"/>
              </w:rPr>
            </w:pPr>
            <w:r>
              <w:rPr>
                <w:rFonts w:ascii="宋体" w:eastAsia="宋体" w:cs="宋体" w:hAnsi="宋体" w:hint="eastAsia"/>
                <w:color w:val="000000"/>
                <w:sz w:val="20"/>
                <w:szCs w:val="20"/>
              </w:rPr>
              <w:t>2023年度</w:t>
            </w:r>
          </w:p>
        </w:tc>
        <w:tc>
          <w:tcPr>
            <w:tcW w:w="690" w:type="dxa"/>
            <w:shd w:val="clear" w:color="auto" w:fill="FFFFFF"/>
            <w:vAlign w:val="center"/>
          </w:tcPr>
          <w:p>
            <w:pPr>
              <w:spacing w:line="240" w:lineRule="exact"/>
              <w:jc w:val="right"/>
              <w:rPr>
                <w:rFonts w:ascii="宋体" w:eastAsia="宋体" w:cs="宋体" w:hAnsi="宋体"/>
                <w:color w:val="000000"/>
                <w:sz w:val="24"/>
              </w:rPr>
            </w:pPr>
          </w:p>
        </w:tc>
        <w:tc>
          <w:tcPr>
            <w:tcW w:w="615" w:type="dxa"/>
            <w:shd w:val="clear" w:color="auto" w:fill="FFFFFF"/>
            <w:vAlign w:val="center"/>
          </w:tcPr>
          <w:p>
            <w:pPr>
              <w:jc w:val="right"/>
              <w:rPr>
                <w:rFonts w:ascii="宋体" w:eastAsia="宋体" w:cs="宋体" w:hAnsi="宋体"/>
                <w:color w:val="000000"/>
                <w:sz w:val="24"/>
              </w:rPr>
            </w:pPr>
          </w:p>
        </w:tc>
        <w:tc>
          <w:tcPr>
            <w:tcW w:w="1756" w:type="dxa"/>
            <w:gridSpan w:val="2"/>
            <w:shd w:val="clear" w:color="auto" w:fill="FFFFFF"/>
            <w:vAlign w:val="center"/>
          </w:tcPr>
          <w:p>
            <w:pPr>
              <w:widowControl/>
              <w:jc w:val="righ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单位：万元</w:t>
            </w:r>
          </w:p>
        </w:tc>
      </w:tr>
      <w:tr>
        <w:trPr>
          <w:trHeight w:hRule="exact" w:val="283"/>
        </w:trPr>
        <w:tc>
          <w:tcPr>
            <w:tcW w:w="4519"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项    目</w:t>
            </w:r>
          </w:p>
        </w:tc>
        <w:tc>
          <w:tcPr>
            <w:tcW w:w="81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本年收入合计</w:t>
            </w:r>
          </w:p>
        </w:tc>
        <w:tc>
          <w:tcPr>
            <w:tcW w:w="76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财政拨款收入</w:t>
            </w:r>
          </w:p>
        </w:tc>
        <w:tc>
          <w:tcPr>
            <w:tcW w:w="8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上级补助收入</w:t>
            </w:r>
          </w:p>
        </w:tc>
        <w:tc>
          <w:tcPr>
            <w:tcW w:w="69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事业收入</w:t>
            </w:r>
          </w:p>
        </w:tc>
        <w:tc>
          <w:tcPr>
            <w:tcW w:w="61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经营收入</w:t>
            </w:r>
          </w:p>
        </w:tc>
        <w:tc>
          <w:tcPr>
            <w:tcW w:w="111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附属单位上缴收入</w:t>
            </w:r>
          </w:p>
        </w:tc>
        <w:tc>
          <w:tcPr>
            <w:tcW w:w="64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其他收入</w:t>
            </w:r>
          </w:p>
        </w:tc>
      </w:tr>
      <w:tr>
        <w:trPr>
          <w:trHeight w:hRule="exact" w:val="312"/>
        </w:trPr>
        <w:tc>
          <w:tcPr>
            <w:tcW w:w="1033"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科目代码</w:t>
            </w:r>
          </w:p>
        </w:tc>
        <w:tc>
          <w:tcPr>
            <w:tcW w:w="348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科目名称</w:t>
            </w:r>
          </w:p>
        </w:tc>
        <w:tc>
          <w:tcPr>
            <w:tcW w:w="8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76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8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69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61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1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64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r>
      <w:tr>
        <w:trPr>
          <w:trHeight w:hRule="exact" w:val="312"/>
        </w:trPr>
        <w:tc>
          <w:tcPr>
            <w:tcW w:w="1033"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348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8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76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8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69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61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1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64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r>
      <w:tr>
        <w:trPr>
          <w:trHeight w:hRule="exact" w:val="283"/>
        </w:trPr>
        <w:tc>
          <w:tcPr>
            <w:tcW w:w="4519"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栏次</w:t>
            </w:r>
          </w:p>
        </w:tc>
        <w:tc>
          <w:tcPr>
            <w:tcW w:w="81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1</w:t>
            </w:r>
          </w:p>
        </w:tc>
        <w:tc>
          <w:tcPr>
            <w:tcW w:w="76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2</w:t>
            </w: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3</w:t>
            </w:r>
          </w:p>
        </w:tc>
        <w:tc>
          <w:tcPr>
            <w:tcW w:w="69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4</w:t>
            </w:r>
          </w:p>
        </w:tc>
        <w:tc>
          <w:tcPr>
            <w:tcW w:w="61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5</w:t>
            </w:r>
          </w:p>
        </w:tc>
        <w:tc>
          <w:tcPr>
            <w:tcW w:w="111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6</w:t>
            </w:r>
          </w:p>
        </w:tc>
        <w:tc>
          <w:tcPr>
            <w:tcW w:w="646"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7</w:t>
            </w:r>
          </w:p>
        </w:tc>
      </w:tr>
      <w:tr>
        <w:trPr>
          <w:trHeight w:hRule="exact" w:val="283"/>
        </w:trPr>
        <w:tc>
          <w:tcPr>
            <w:tcW w:w="4519"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合计</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spacing w:beforeAutospacing="0" w:afterAutospacing="0" w:line="280" w:lineRule="exact"/>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color w:val="000000"/>
                <w:sz w:val="16"/>
                <w:szCs w:val="16"/>
              </w:rPr>
              <w:t>3,247.86</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spacing w:beforeAutospacing="0" w:afterAutospacing="0" w:line="280" w:lineRule="exact"/>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color w:val="000000"/>
                <w:sz w:val="16"/>
                <w:szCs w:val="16"/>
              </w:rPr>
              <w:t>3,247.86</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spacing w:beforeAutospacing="0" w:afterAutospacing="0" w:line="280" w:lineRule="exact"/>
              <w:jc w:val="right"/>
              <w:rPr>
                <w:rFonts w:ascii="Times New Roman" w:eastAsia="宋体" w:cs="Times New Roman" w:hAnsi="Times New Roman"/>
                <w:color w:val="000000"/>
                <w:kern w:val="2"/>
                <w:sz w:val="20"/>
                <w:szCs w:val="20"/>
                <w:lang w:val="en-US" w:eastAsia="zh-CN" w:bidi="ar-SA"/>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spacing w:beforeAutospacing="0" w:afterAutospacing="0" w:line="280" w:lineRule="exact"/>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spacing w:beforeAutospacing="0" w:afterAutospacing="0" w:line="280" w:lineRule="exact"/>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spacing w:beforeAutospacing="0" w:afterAutospacing="0" w:line="280" w:lineRule="exact"/>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spacing w:beforeAutospacing="0" w:afterAutospacing="0" w:line="280" w:lineRule="exact"/>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201</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一般公共服务支出</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2,343.92</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2,343.92</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20103</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政府办公厅（室）及相关机构事务</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1,616.42</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1,616.42</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2010301</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行政运行</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1,440.20</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1,440.20</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2010308</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信访事务</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8.00</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8.00</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2010399</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其他政府办公厅（室）及相关机构事务支出</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168.22</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168.22</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20105</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统计信息事务</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2.62</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2.62</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2010507</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专项普查活动</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2.62</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2.62</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20132</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组织事务</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711.88</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711.88</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2013299</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其他组织事务支出</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711.88</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711.88</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20199</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其他一般公共服务支出</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13.00</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13.00</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2019999</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其他一般公共服务支出</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13.00</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13.00</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205</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教育支出</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4.65</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4.65</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20504</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成人教育</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4.65</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4.65</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2050499</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其他成人教育支出</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4.65</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4.65</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207</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文化旅游体育与传媒支出</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1.50</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1.50</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20799</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其他文化旅游体育与传媒支出</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1.50</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1.50</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2079999</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其他文化旅游体育与传媒支出</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1.50</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1.50</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208</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社会保障和就业支出</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164.21</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164.21</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20805</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行政事业单位养老支出</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164.21</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164.21</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2080505</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机关事业单位基本养老保险缴费支出</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164.21</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164.21</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210</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卫生健康支出</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121.73</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121.73</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21004</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公共卫生</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6.92</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6.92</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2100410</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突发公共卫生事件应急处理</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6.92</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6.92</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21007</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计划生育事务</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0.43</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0.43</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2100717</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计划生育服务</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0.43</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0.43</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21011</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行政事业单位医疗</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114.37</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114.37</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2101101</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行政单位医疗</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83.41</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83.41</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2101102</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事业单位医疗</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30.96</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30.96</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212</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城乡社区支出</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533.09</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533.09</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21201</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城乡社区管理事务</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2.73</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2.73</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2120199</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其他城乡社区管理事务支出</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2.73</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2.73</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21208</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国有土地使用权出让收入安排的支出</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530.36</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530.36</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2120801</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征地和拆迁补偿支出</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530.36</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530.36</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221</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住房保障支出</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78.76</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78.76</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22102</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住房改革支出</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78.76</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78.76</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33"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2210201</w:t>
            </w:r>
          </w:p>
        </w:tc>
        <w:tc>
          <w:tcPr>
            <w:tcW w:w="3486"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spacing w:val="-2"/>
                <w:sz w:val="20"/>
                <w:szCs w:val="20"/>
              </w:rPr>
              <w:t>住房公积金</w:t>
            </w:r>
          </w:p>
        </w:tc>
        <w:tc>
          <w:tcPr>
            <w:tcW w:w="8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78.76</w:t>
            </w:r>
          </w:p>
        </w:tc>
        <w:tc>
          <w:tcPr>
            <w:tcW w:w="76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6"/>
                <w:szCs w:val="16"/>
                <w:lang w:val="en-US" w:eastAsia="zh-CN" w:bidi="ar-SA"/>
              </w:rPr>
            </w:pPr>
            <w:r>
              <w:rPr>
                <w:rFonts w:ascii="Times New Roman" w:eastAsia="宋体" w:cs="Times New Roman" w:hAnsi="Times New Roman"/>
                <w:spacing w:val="-2"/>
                <w:sz w:val="16"/>
                <w:szCs w:val="16"/>
              </w:rPr>
              <w:t>78.76</w:t>
            </w:r>
          </w:p>
        </w:tc>
        <w:tc>
          <w:tcPr>
            <w:tcW w:w="88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1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1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64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040" w:type="dxa"/>
            <w:gridSpan w:val="10"/>
            <w:shd w:val="clear" w:color="auto" w:fill="auto"/>
            <w:vAlign w:val="center"/>
          </w:tcPr>
          <w:p>
            <w:pPr>
              <w:widowControl/>
              <w:spacing w:beforeAutospacing="0" w:afterAutospacing="0" w:line="280" w:lineRule="exact"/>
              <w:jc w:val="left"/>
              <w:textAlignment w:val="center"/>
              <w:rPr>
                <w:rFonts w:ascii="宋体" w:eastAsia="宋体" w:cs="宋体" w:hAnsi="宋体"/>
                <w:color w:val="000000"/>
                <w:sz w:val="24"/>
              </w:rPr>
            </w:pPr>
            <w:r>
              <w:rPr>
                <w:rFonts w:ascii="宋体" w:eastAsia="宋体" w:cs="宋体" w:hAnsi="宋体" w:hint="eastAsia"/>
                <w:color w:val="000000"/>
                <w:kern w:val="0"/>
                <w:sz w:val="24"/>
                <w:szCs w:val="24"/>
              </w:rPr>
              <w:t>注：本表反映部门本年度取得的各项收入情况。</w:t>
            </w:r>
          </w:p>
        </w:tc>
      </w:tr>
    </w:tbl>
    <w:p>
      <w:pPr>
        <w:sectPr>
          <w:pgSz w:w="11906" w:h="16838"/>
          <w:pgMar w:top="1474" w:right="1474" w:bottom="1474" w:left="1474" w:header="851" w:footer="992" w:gutter="0"/>
          <w:pgBorders>
            <w:top w:val="none" w:sz="0" w:space="0" w:color="auto"/>
            <w:left w:val="none" w:sz="0" w:space="0" w:color="auto"/>
            <w:bottom w:val="none" w:sz="0" w:space="0" w:color="auto"/>
            <w:right w:val="none" w:sz="0" w:space="0" w:color="auto"/>
          </w:pgBorders>
          <w:cols w:num="1" w:space="0"/>
          <w:docGrid w:type="lines" w:linePitch="312" w:charSpace="0"/>
        </w:sectPr>
      </w:pPr>
    </w:p>
    <w:tbl>
      <w:tblPr>
        <w:jc w:val="center"/>
        <w:tblW w:w="10286" w:type="dxa"/>
        <w:tblBorders>
          <w:top w:val="none" w:sz="0" w:space="0" w:color="auto"/>
          <w:left w:val="none" w:sz="0" w:space="0" w:color="auto"/>
          <w:bottom w:val="none" w:sz="0" w:space="0" w:color="auto"/>
          <w:right w:val="none" w:sz="0" w:space="0" w:color="auto"/>
        </w:tblBorders>
        <w:tblLayout w:type="fixed"/>
        <w:tblCellMar>
          <w:top w:w="15" w:type="dxa"/>
          <w:left w:w="15" w:type="dxa"/>
          <w:bottom w:w="15" w:type="dxa"/>
          <w:right w:w="15" w:type="dxa"/>
        </w:tblCellMar>
        <w:tblLook w:val="0600" w:firstRow="0" w:lastRow="0" w:firstColumn="0" w:lastColumn="0" w:noHBand="1" w:noVBand="1"/>
      </w:tblPr>
      <w:tblGrid>
        <w:gridCol w:w="657"/>
        <w:gridCol w:w="363"/>
        <w:gridCol w:w="3724"/>
        <w:gridCol w:w="1053"/>
        <w:gridCol w:w="1053"/>
        <w:gridCol w:w="1053"/>
        <w:gridCol w:w="748"/>
        <w:gridCol w:w="530"/>
        <w:gridCol w:w="1105"/>
      </w:tblGrid>
      <w:tr>
        <w:trPr>
          <w:trHeight w:hRule="exact" w:val="538"/>
        </w:trPr>
        <w:tc>
          <w:tcPr>
            <w:tcW w:w="10286" w:type="dxa"/>
            <w:gridSpan w:val="9"/>
            <w:shd w:val="clear" w:color="auto" w:fill="auto"/>
            <w:vAlign w:val="center"/>
          </w:tcPr>
          <w:p>
            <w:pPr>
              <w:widowControl/>
              <w:jc w:val="center"/>
              <w:textAlignment w:val="center"/>
              <w:rPr>
                <w:rFonts w:ascii="华文中宋" w:eastAsia="华文中宋" w:cs="华文中宋" w:hAnsi="华文中宋"/>
                <w:color w:val="000000"/>
                <w:sz w:val="32"/>
                <w:szCs w:val="32"/>
              </w:rPr>
            </w:pPr>
            <w:r>
              <w:rPr>
                <w:rFonts w:ascii="华文中宋" w:eastAsia="华文中宋" w:cs="华文中宋" w:hAnsi="华文中宋" w:hint="eastAsia"/>
                <w:b/>
                <w:bCs/>
                <w:color w:val="000000"/>
                <w:kern w:val="0"/>
                <w:sz w:val="32"/>
                <w:szCs w:val="32"/>
              </w:rPr>
              <w:t>支出决算表</w:t>
            </w:r>
          </w:p>
        </w:tc>
      </w:tr>
      <w:tr>
        <w:trPr>
          <w:trHeight w:hRule="exact" w:val="283"/>
        </w:trPr>
        <w:tc>
          <w:tcPr>
            <w:tcW w:w="657" w:type="dxa"/>
            <w:shd w:val="clear" w:color="auto" w:fill="FFFFFF"/>
            <w:vAlign w:val="center"/>
          </w:tcPr>
          <w:p>
            <w:pPr>
              <w:jc w:val="right"/>
              <w:rPr>
                <w:rFonts w:ascii="宋体" w:eastAsia="宋体" w:cs="宋体" w:hAnsi="宋体"/>
                <w:color w:val="000000"/>
                <w:sz w:val="24"/>
              </w:rPr>
            </w:pPr>
          </w:p>
        </w:tc>
        <w:tc>
          <w:tcPr>
            <w:tcW w:w="363" w:type="dxa"/>
            <w:shd w:val="clear" w:color="auto" w:fill="FFFFFF"/>
            <w:vAlign w:val="center"/>
          </w:tcPr>
          <w:p>
            <w:pPr>
              <w:jc w:val="right"/>
              <w:rPr>
                <w:rFonts w:ascii="宋体" w:eastAsia="宋体" w:cs="宋体" w:hAnsi="宋体"/>
                <w:color w:val="000000"/>
                <w:sz w:val="24"/>
              </w:rPr>
            </w:pPr>
          </w:p>
        </w:tc>
        <w:tc>
          <w:tcPr>
            <w:tcW w:w="3724" w:type="dxa"/>
            <w:shd w:val="clear" w:color="auto" w:fill="FFFFFF"/>
            <w:vAlign w:val="center"/>
          </w:tcPr>
          <w:p>
            <w:pPr>
              <w:jc w:val="right"/>
              <w:rPr>
                <w:rFonts w:ascii="宋体" w:eastAsia="宋体" w:cs="宋体" w:hAnsi="宋体"/>
                <w:color w:val="000000"/>
                <w:sz w:val="24"/>
              </w:rPr>
            </w:pPr>
          </w:p>
        </w:tc>
        <w:tc>
          <w:tcPr>
            <w:tcW w:w="1053" w:type="dxa"/>
            <w:shd w:val="clear" w:color="auto" w:fill="FFFFFF"/>
            <w:vAlign w:val="center"/>
          </w:tcPr>
          <w:p>
            <w:pPr>
              <w:jc w:val="right"/>
              <w:rPr>
                <w:rFonts w:ascii="宋体" w:eastAsia="宋体" w:cs="宋体" w:hAnsi="宋体"/>
                <w:color w:val="000000"/>
                <w:sz w:val="24"/>
              </w:rPr>
            </w:pPr>
          </w:p>
        </w:tc>
        <w:tc>
          <w:tcPr>
            <w:tcW w:w="1053" w:type="dxa"/>
            <w:shd w:val="clear" w:color="auto" w:fill="FFFFFF"/>
            <w:vAlign w:val="center"/>
          </w:tcPr>
          <w:p>
            <w:pPr>
              <w:jc w:val="right"/>
              <w:rPr>
                <w:rFonts w:ascii="宋体" w:eastAsia="宋体" w:cs="宋体" w:hAnsi="宋体"/>
                <w:color w:val="000000"/>
                <w:sz w:val="24"/>
              </w:rPr>
            </w:pPr>
          </w:p>
        </w:tc>
        <w:tc>
          <w:tcPr>
            <w:tcW w:w="1053" w:type="dxa"/>
            <w:shd w:val="clear" w:color="auto" w:fill="FFFFFF"/>
            <w:vAlign w:val="center"/>
          </w:tcPr>
          <w:p>
            <w:pPr>
              <w:jc w:val="right"/>
              <w:rPr>
                <w:rFonts w:ascii="宋体" w:eastAsia="宋体" w:cs="宋体" w:hAnsi="宋体"/>
                <w:color w:val="000000"/>
                <w:sz w:val="24"/>
              </w:rPr>
            </w:pPr>
          </w:p>
        </w:tc>
        <w:tc>
          <w:tcPr>
            <w:tcW w:w="748" w:type="dxa"/>
            <w:shd w:val="clear" w:color="auto" w:fill="FFFFFF"/>
            <w:vAlign w:val="center"/>
          </w:tcPr>
          <w:p>
            <w:pPr>
              <w:jc w:val="right"/>
              <w:rPr>
                <w:rFonts w:ascii="宋体" w:eastAsia="宋体" w:cs="宋体" w:hAnsi="宋体"/>
                <w:color w:val="000000"/>
                <w:sz w:val="24"/>
              </w:rPr>
            </w:pPr>
          </w:p>
        </w:tc>
        <w:tc>
          <w:tcPr>
            <w:tcW w:w="530" w:type="dxa"/>
            <w:shd w:val="clear" w:color="auto" w:fill="FFFFFF"/>
            <w:vAlign w:val="center"/>
          </w:tcPr>
          <w:p>
            <w:pPr>
              <w:jc w:val="right"/>
              <w:rPr>
                <w:rFonts w:ascii="宋体" w:eastAsia="宋体" w:cs="宋体" w:hAnsi="宋体"/>
                <w:color w:val="000000"/>
                <w:sz w:val="24"/>
              </w:rPr>
            </w:pPr>
          </w:p>
        </w:tc>
        <w:tc>
          <w:tcPr>
            <w:tcW w:w="1105" w:type="dxa"/>
            <w:shd w:val="clear" w:color="auto" w:fill="FFFFFF"/>
            <w:vAlign w:val="center"/>
          </w:tcPr>
          <w:p>
            <w:pPr>
              <w:widowControl/>
              <w:jc w:val="righ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公开03表</w:t>
            </w:r>
          </w:p>
        </w:tc>
      </w:tr>
      <w:tr>
        <w:trPr>
          <w:trHeight w:hRule="exact" w:val="283"/>
        </w:trPr>
        <w:tc>
          <w:tcPr>
            <w:tcW w:w="4744" w:type="dxa"/>
            <w:gridSpan w:val="3"/>
            <w:shd w:val="clear" w:color="auto" w:fill="FFFFFF"/>
            <w:vAlign w:val="center"/>
          </w:tcPr>
          <w:p>
            <w:pPr>
              <w:wordWrap/>
              <w:jc w:val="left"/>
              <w:rPr>
                <w:rFonts w:ascii="宋体" w:eastAsia="宋体" w:cs="宋体" w:hAnsi="宋体"/>
                <w:color w:val="000000"/>
                <w:sz w:val="24"/>
              </w:rPr>
            </w:pPr>
            <w:r>
              <w:rPr>
                <w:rFonts w:ascii="宋体" w:eastAsia="宋体" w:cs="宋体" w:hAnsi="宋体" w:hint="eastAsia"/>
                <w:color w:val="000000"/>
                <w:kern w:val="0"/>
                <w:sz w:val="20"/>
                <w:szCs w:val="20"/>
              </w:rPr>
              <w:t>部门：</w:t>
            </w:r>
            <w:r>
              <w:rPr>
                <w:rFonts w:ascii="方正仿宋_GB2312" w:eastAsia="方正仿宋_GB2312" w:cs="方正仿宋_GB2312" w:hAnsi="方正仿宋_GB2312" w:hint="eastAsia"/>
                <w:color w:val="000000"/>
                <w:sz w:val="20"/>
                <w:szCs w:val="20"/>
              </w:rPr>
              <w:t xml:space="preserve">石家庄市桥西区苑东街道办事处 </w:t>
            </w:r>
          </w:p>
        </w:tc>
        <w:tc>
          <w:tcPr>
            <w:tcW w:w="3159" w:type="dxa"/>
            <w:gridSpan w:val="3"/>
            <w:shd w:val="clear" w:color="auto" w:fill="FFFFFF"/>
            <w:vAlign w:val="center"/>
          </w:tcPr>
          <w:p>
            <w:pPr>
              <w:spacing w:beforeAutospacing="0" w:afterAutospacing="0" w:line="240" w:lineRule="exact"/>
              <w:jc w:val="left"/>
              <w:rPr>
                <w:rFonts w:ascii="宋体" w:eastAsia="宋体" w:cs="宋体" w:hAnsi="宋体"/>
                <w:color w:val="000000"/>
                <w:sz w:val="20"/>
                <w:szCs w:val="20"/>
              </w:rPr>
            </w:pPr>
            <w:r>
              <w:rPr>
                <w:rFonts w:ascii="宋体" w:eastAsia="宋体" w:cs="宋体" w:hAnsi="宋体" w:hint="eastAsia"/>
                <w:color w:val="000000"/>
                <w:sz w:val="20"/>
                <w:szCs w:val="20"/>
              </w:rPr>
              <w:t>2023年度</w:t>
            </w:r>
          </w:p>
        </w:tc>
        <w:tc>
          <w:tcPr>
            <w:tcW w:w="748" w:type="dxa"/>
            <w:shd w:val="clear" w:color="auto" w:fill="FFFFFF"/>
            <w:vAlign w:val="center"/>
          </w:tcPr>
          <w:p>
            <w:pPr>
              <w:jc w:val="right"/>
              <w:rPr>
                <w:rFonts w:ascii="宋体" w:eastAsia="宋体" w:cs="宋体" w:hAnsi="宋体"/>
                <w:color w:val="000000"/>
                <w:sz w:val="24"/>
              </w:rPr>
            </w:pPr>
          </w:p>
        </w:tc>
        <w:tc>
          <w:tcPr>
            <w:tcW w:w="530" w:type="dxa"/>
            <w:shd w:val="clear" w:color="auto" w:fill="FFFFFF"/>
            <w:vAlign w:val="center"/>
          </w:tcPr>
          <w:p>
            <w:pPr>
              <w:jc w:val="right"/>
              <w:rPr>
                <w:rFonts w:ascii="宋体" w:eastAsia="宋体" w:cs="宋体" w:hAnsi="宋体"/>
                <w:color w:val="000000"/>
                <w:sz w:val="24"/>
              </w:rPr>
            </w:pPr>
          </w:p>
        </w:tc>
        <w:tc>
          <w:tcPr>
            <w:tcW w:w="1105" w:type="dxa"/>
            <w:shd w:val="clear" w:color="auto" w:fill="FFFFFF"/>
            <w:vAlign w:val="center"/>
          </w:tcPr>
          <w:p>
            <w:pPr>
              <w:widowControl/>
              <w:jc w:val="righ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单位：万元</w:t>
            </w:r>
          </w:p>
        </w:tc>
      </w:tr>
      <w:tr>
        <w:trPr>
          <w:trHeight w:hRule="exact" w:val="338"/>
        </w:trPr>
        <w:tc>
          <w:tcPr>
            <w:tcW w:w="4744"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项    目</w:t>
            </w:r>
          </w:p>
        </w:tc>
        <w:tc>
          <w:tcPr>
            <w:tcW w:w="105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hint="eastAsia"/>
                <w:b/>
                <w:bCs/>
                <w:color w:val="000000"/>
                <w:kern w:val="0"/>
                <w:sz w:val="24"/>
                <w:szCs w:val="24"/>
              </w:rPr>
            </w:pPr>
            <w:r>
              <w:rPr>
                <w:rFonts w:ascii="宋体" w:eastAsia="宋体" w:cs="宋体" w:hAnsi="宋体" w:hint="eastAsia"/>
                <w:b/>
                <w:bCs/>
                <w:color w:val="000000"/>
                <w:kern w:val="0"/>
                <w:sz w:val="24"/>
                <w:szCs w:val="24"/>
              </w:rPr>
              <w:t>本年支</w:t>
            </w:r>
          </w:p>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出合计</w:t>
            </w:r>
          </w:p>
        </w:tc>
        <w:tc>
          <w:tcPr>
            <w:tcW w:w="105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hint="eastAsia"/>
                <w:b/>
                <w:bCs/>
                <w:color w:val="000000"/>
                <w:kern w:val="0"/>
                <w:sz w:val="24"/>
                <w:szCs w:val="24"/>
              </w:rPr>
            </w:pPr>
            <w:r>
              <w:rPr>
                <w:rFonts w:ascii="宋体" w:eastAsia="宋体" w:cs="宋体" w:hAnsi="宋体" w:hint="eastAsia"/>
                <w:b/>
                <w:bCs/>
                <w:color w:val="000000"/>
                <w:kern w:val="0"/>
                <w:sz w:val="24"/>
                <w:szCs w:val="24"/>
              </w:rPr>
              <w:t>基本</w:t>
            </w:r>
          </w:p>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支出</w:t>
            </w:r>
          </w:p>
        </w:tc>
        <w:tc>
          <w:tcPr>
            <w:tcW w:w="1053"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hint="eastAsia"/>
                <w:b/>
                <w:bCs/>
                <w:color w:val="000000"/>
                <w:kern w:val="0"/>
                <w:sz w:val="24"/>
                <w:szCs w:val="24"/>
              </w:rPr>
            </w:pPr>
            <w:r>
              <w:rPr>
                <w:rFonts w:ascii="宋体" w:eastAsia="宋体" w:cs="宋体" w:hAnsi="宋体" w:hint="eastAsia"/>
                <w:b/>
                <w:bCs/>
                <w:color w:val="000000"/>
                <w:kern w:val="0"/>
                <w:sz w:val="24"/>
                <w:szCs w:val="24"/>
              </w:rPr>
              <w:t>项目</w:t>
            </w:r>
          </w:p>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支出</w:t>
            </w:r>
          </w:p>
        </w:tc>
        <w:tc>
          <w:tcPr>
            <w:tcW w:w="74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上缴上级支出</w:t>
            </w:r>
          </w:p>
        </w:tc>
        <w:tc>
          <w:tcPr>
            <w:tcW w:w="53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经营支出</w:t>
            </w:r>
          </w:p>
        </w:tc>
        <w:tc>
          <w:tcPr>
            <w:tcW w:w="110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对附属单位补助支出</w:t>
            </w:r>
          </w:p>
        </w:tc>
      </w:tr>
      <w:tr>
        <w:trPr>
          <w:trHeight w:hRule="exact" w:val="312"/>
        </w:trPr>
        <w:tc>
          <w:tcPr>
            <w:tcW w:w="1020"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科目代码</w:t>
            </w:r>
          </w:p>
        </w:tc>
        <w:tc>
          <w:tcPr>
            <w:tcW w:w="372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科目名称</w:t>
            </w:r>
          </w:p>
        </w:tc>
        <w:tc>
          <w:tcPr>
            <w:tcW w:w="105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05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05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74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53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10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r>
      <w:tr>
        <w:trPr>
          <w:trHeight w:hRule="exact" w:val="312"/>
        </w:trPr>
        <w:tc>
          <w:tcPr>
            <w:tcW w:w="1020"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372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05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05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053"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74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53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c>
          <w:tcPr>
            <w:tcW w:w="110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tc>
      </w:tr>
      <w:tr>
        <w:trPr>
          <w:trHeight w:hRule="exact" w:val="283"/>
        </w:trPr>
        <w:tc>
          <w:tcPr>
            <w:tcW w:w="4744"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栏次</w:t>
            </w:r>
          </w:p>
        </w:tc>
        <w:tc>
          <w:tcPr>
            <w:tcW w:w="105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1</w:t>
            </w:r>
          </w:p>
        </w:tc>
        <w:tc>
          <w:tcPr>
            <w:tcW w:w="105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2</w:t>
            </w:r>
          </w:p>
        </w:tc>
        <w:tc>
          <w:tcPr>
            <w:tcW w:w="105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3</w:t>
            </w:r>
          </w:p>
        </w:tc>
        <w:tc>
          <w:tcPr>
            <w:tcW w:w="748"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4</w:t>
            </w:r>
          </w:p>
        </w:tc>
        <w:tc>
          <w:tcPr>
            <w:tcW w:w="53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5</w:t>
            </w:r>
          </w:p>
        </w:tc>
        <w:tc>
          <w:tcPr>
            <w:tcW w:w="110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6</w:t>
            </w:r>
          </w:p>
        </w:tc>
      </w:tr>
      <w:tr>
        <w:trPr>
          <w:trHeight w:hRule="exact" w:val="283"/>
        </w:trPr>
        <w:tc>
          <w:tcPr>
            <w:tcW w:w="4744"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合计</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3,247.86</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1,960.67</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1,287.19</w:t>
            </w: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201</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一般公共服务支出</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2,343.92</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1,602.89</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741.02</w:t>
            </w: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20103</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政府办公厅（室）及相关机构事务</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1,616.42</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1,401.53</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214.90</w:t>
            </w: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2010301</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行政运行</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1,440.20</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1,401.53</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38.67</w:t>
            </w: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2010308</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信访事务</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8.00</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8.00</w:t>
            </w: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2010399</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其他政府办公厅（室）及相关机构事务支出</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168.22</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168.22</w:t>
            </w: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20105</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统计信息事务</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2.62</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2.62</w:t>
            </w: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2010507</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专项普查活动</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2.62</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2.62</w:t>
            </w: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20132</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组织事务</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711.88</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201.37</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510.51</w:t>
            </w: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2013299</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其他组织事务支出</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711.88</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201.37</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510.51</w:t>
            </w: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20199</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其他一般公共服务支出</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13.00</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13.00</w:t>
            </w: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2019999</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其他一般公共服务支出</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13.00</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13.00</w:t>
            </w: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205</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教育支出</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4.65</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4.65</w:t>
            </w: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20504</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成人教育</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4.65</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4.65</w:t>
            </w: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2050499</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其他成人教育支出</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4.65</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4.65</w:t>
            </w: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207</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文化旅游体育与传媒支出</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1.50</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1.50</w:t>
            </w: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20799</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其他文化旅游体育与传媒支出</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1.50</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1.50</w:t>
            </w: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2079999</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其他文化旅游体育与传媒支出</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1.50</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1.50</w:t>
            </w: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208</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社会保障和就业支出</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164.21</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164.21</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20805</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行政事业单位养老支出</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164.21</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164.21</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2080505</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机关事业单位基本养老保险缴费支出</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164.21</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164.21</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210</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卫生健康支出</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121.73</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114.81</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6.92</w:t>
            </w: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21004</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公共卫生</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6.92</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6.92</w:t>
            </w: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2100410</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突发公共卫生事件应急处理</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6.92</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6.92</w:t>
            </w: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21007</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计划生育事务</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0.43</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0.43</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2100717</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计划生育服务</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0.43</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0.43</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21011</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行政事业单位医疗</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114.37</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114.37</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2101101</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行政单位医疗</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83.41</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83.41</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2101102</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事业单位医疗</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30.96</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30.96</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212</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城乡社区支出</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533.09</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533.09</w:t>
            </w: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21201</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城乡社区管理事务</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2.73</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2.73</w:t>
            </w: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2120199</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其他城乡社区管理事务支出</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2.73</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2.73</w:t>
            </w: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21208</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国有土地使用权出让收入安排的支出</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530.36</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530.36</w:t>
            </w: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2120801</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征地和拆迁补偿支出</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530.36</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530.36</w:t>
            </w: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221</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住房保障支出</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78.76</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78.76</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22102</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住房改革支出</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78.76</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78.76</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0"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2210201</w:t>
            </w:r>
          </w:p>
        </w:tc>
        <w:tc>
          <w:tcPr>
            <w:tcW w:w="372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住房公积金</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78.76</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78.76</w:t>
            </w:r>
          </w:p>
        </w:tc>
        <w:tc>
          <w:tcPr>
            <w:tcW w:w="105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4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c>
          <w:tcPr>
            <w:tcW w:w="110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4"/>
              </w:rPr>
            </w:pPr>
          </w:p>
        </w:tc>
      </w:tr>
      <w:tr>
        <w:trPr>
          <w:trHeight w:hRule="exact" w:val="283"/>
        </w:trPr>
        <w:tc>
          <w:tcPr>
            <w:tcW w:w="10286" w:type="dxa"/>
            <w:gridSpan w:val="9"/>
            <w:shd w:val="clear" w:color="auto" w:fill="auto"/>
            <w:vAlign w:val="center"/>
          </w:tcPr>
          <w:p>
            <w:pPr>
              <w:widowControl/>
              <w:spacing w:beforeAutospacing="0" w:afterAutospacing="0" w:line="280" w:lineRule="exact"/>
              <w:jc w:val="left"/>
              <w:textAlignment w:val="center"/>
              <w:rPr>
                <w:rFonts w:ascii="宋体" w:eastAsia="宋体" w:cs="宋体" w:hAnsi="宋体"/>
                <w:color w:val="000000"/>
                <w:sz w:val="24"/>
              </w:rPr>
            </w:pPr>
            <w:r>
              <w:rPr>
                <w:rFonts w:ascii="宋体" w:eastAsia="宋体" w:cs="宋体" w:hAnsi="宋体" w:hint="eastAsia"/>
                <w:color w:val="000000"/>
                <w:kern w:val="0"/>
                <w:sz w:val="24"/>
                <w:szCs w:val="24"/>
              </w:rPr>
              <w:t>注：本表反映部门本年度各项支出情况。</w:t>
            </w:r>
          </w:p>
        </w:tc>
      </w:tr>
    </w:tbl>
    <w:p>
      <w:pPr>
        <w:sectPr>
          <w:pgSz w:w="11906" w:h="16838"/>
          <w:pgMar w:top="1474" w:right="1474" w:bottom="1474" w:left="1474" w:header="851" w:footer="992" w:gutter="0"/>
          <w:pgBorders>
            <w:top w:val="none" w:sz="0" w:space="0" w:color="auto"/>
            <w:left w:val="none" w:sz="0" w:space="0" w:color="auto"/>
            <w:bottom w:val="none" w:sz="0" w:space="0" w:color="auto"/>
            <w:right w:val="none" w:sz="0" w:space="0" w:color="auto"/>
          </w:pgBorders>
          <w:cols w:num="1" w:space="0"/>
          <w:docGrid w:type="lines" w:linePitch="312" w:charSpace="0"/>
        </w:sectPr>
      </w:pPr>
    </w:p>
    <w:tbl>
      <w:tblPr>
        <w:jc w:val="center"/>
        <w:tblW w:w="10420" w:type="dxa"/>
        <w:tblBorders>
          <w:top w:val="none" w:sz="0" w:space="0" w:color="auto"/>
          <w:left w:val="none" w:sz="0" w:space="0" w:color="auto"/>
          <w:bottom w:val="none" w:sz="0" w:space="0" w:color="auto"/>
          <w:right w:val="none" w:sz="0" w:space="0" w:color="auto"/>
        </w:tblBorders>
        <w:tblLayout w:type="fixed"/>
        <w:tblCellMar>
          <w:top w:w="15" w:type="dxa"/>
          <w:left w:w="15" w:type="dxa"/>
          <w:bottom w:w="15" w:type="dxa"/>
          <w:right w:w="15" w:type="dxa"/>
        </w:tblCellMar>
        <w:tblLook w:val="0600" w:firstRow="0" w:lastRow="0" w:firstColumn="0" w:lastColumn="0" w:noHBand="1" w:noVBand="1"/>
      </w:tblPr>
      <w:tblGrid>
        <w:gridCol w:w="2407"/>
        <w:gridCol w:w="285"/>
        <w:gridCol w:w="971"/>
        <w:gridCol w:w="2794"/>
        <w:gridCol w:w="285"/>
        <w:gridCol w:w="971"/>
        <w:gridCol w:w="971"/>
        <w:gridCol w:w="971"/>
        <w:gridCol w:w="766"/>
      </w:tblGrid>
      <w:tr>
        <w:trPr>
          <w:trHeight w:hRule="exact" w:val="559"/>
        </w:trPr>
        <w:tc>
          <w:tcPr>
            <w:tcW w:w="964" w:type="dxa"/>
            <w:gridSpan w:val="9"/>
            <w:tcBorders>
              <w:top w:val="nil"/>
              <w:left w:val="nil"/>
              <w:bottom w:val="nil"/>
              <w:right w:val="nil"/>
            </w:tcBorders>
            <w:shd w:val="clear" w:color="auto" w:fill="FFFFFF"/>
            <w:vAlign w:val="center"/>
          </w:tcPr>
          <w:p>
            <w:pPr>
              <w:widowControl/>
              <w:jc w:val="center"/>
              <w:textAlignment w:val="center"/>
              <w:rPr>
                <w:rFonts w:ascii="宋体" w:eastAsia="宋体" w:cs="宋体" w:hAnsi="宋体"/>
                <w:color w:val="000000"/>
                <w:kern w:val="0"/>
                <w:sz w:val="24"/>
                <w:szCs w:val="24"/>
              </w:rPr>
            </w:pPr>
            <w:r>
              <w:rPr>
                <w:rFonts w:ascii="Times New Roman" w:eastAsia="仿宋_GB2312" w:hAnsi="Times New Roman" w:hint="eastAsia"/>
                <w:b/>
                <w:bCs/>
                <w:sz w:val="36"/>
                <w:szCs w:val="36"/>
              </w:rPr>
              <w:t>财政拨款收入支出决算总表</w:t>
            </w:r>
          </w:p>
        </w:tc>
      </w:tr>
      <w:tr>
        <w:trPr>
          <w:trHeight w:hRule="exact" w:val="250"/>
        </w:trPr>
        <w:tc>
          <w:tcPr>
            <w:tcW w:w="964" w:type="dxa"/>
            <w:gridSpan w:val="3"/>
            <w:tcBorders>
              <w:top w:val="nil"/>
              <w:left w:val="nil"/>
              <w:bottom w:val="nil"/>
              <w:right w:val="nil"/>
            </w:tcBorders>
            <w:shd w:val="clear" w:color="auto" w:fill="FFFFFF"/>
            <w:vAlign w:val="center"/>
          </w:tcPr>
          <w:p>
            <w:pPr>
              <w:widowControl/>
              <w:jc w:val="right"/>
              <w:textAlignment w:val="center"/>
              <w:rPr>
                <w:rFonts w:ascii="宋体" w:eastAsia="宋体" w:cs="宋体" w:hAnsi="宋体"/>
                <w:color w:val="000000"/>
                <w:kern w:val="0"/>
                <w:sz w:val="24"/>
                <w:szCs w:val="24"/>
              </w:rPr>
            </w:pPr>
          </w:p>
        </w:tc>
        <w:tc>
          <w:tcPr>
            <w:tcW w:w="964" w:type="dxa"/>
            <w:gridSpan w:val="6"/>
            <w:tcBorders>
              <w:top w:val="nil"/>
              <w:left w:val="nil"/>
              <w:bottom w:val="nil"/>
              <w:right w:val="nil"/>
            </w:tcBorders>
            <w:shd w:val="clear" w:color="auto" w:fill="FFFFFF"/>
            <w:vAlign w:val="center"/>
          </w:tcPr>
          <w:p>
            <w:pPr>
              <w:widowControl/>
              <w:jc w:val="right"/>
              <w:textAlignment w:val="center"/>
              <w:rPr>
                <w:rFonts w:ascii="宋体" w:eastAsia="宋体" w:cs="宋体" w:hAnsi="宋体"/>
                <w:color w:val="000000"/>
                <w:kern w:val="0"/>
                <w:sz w:val="24"/>
                <w:szCs w:val="24"/>
              </w:rPr>
            </w:pPr>
            <w:r>
              <w:rPr>
                <w:rFonts w:ascii="宋体" w:eastAsia="宋体" w:cs="宋体" w:hAnsi="宋体" w:hint="eastAsia"/>
                <w:color w:val="000000"/>
                <w:kern w:val="0"/>
                <w:sz w:val="20"/>
                <w:szCs w:val="20"/>
              </w:rPr>
              <w:t>公开04表</w:t>
            </w:r>
          </w:p>
        </w:tc>
      </w:tr>
      <w:tr>
        <w:trPr>
          <w:trHeight w:hRule="exact" w:val="250"/>
        </w:trPr>
        <w:tc>
          <w:tcPr>
            <w:tcW w:w="964" w:type="dxa"/>
            <w:gridSpan w:val="3"/>
            <w:tcBorders>
              <w:top w:val="nil"/>
              <w:left w:val="nil"/>
              <w:bottom w:val="nil"/>
              <w:right w:val="nil"/>
            </w:tcBorders>
            <w:shd w:val="clear" w:color="auto" w:fill="FFFFFF"/>
            <w:vAlign w:val="center"/>
          </w:tcPr>
          <w:p>
            <w:pPr>
              <w:widowControl/>
              <w:jc w:val="left"/>
              <w:textAlignment w:val="center"/>
            </w:pPr>
            <w:r>
              <w:rPr>
                <w:rFonts w:ascii="宋体" w:eastAsia="宋体" w:cs="宋体" w:hAnsi="宋体" w:hint="eastAsia"/>
                <w:color w:val="000000"/>
                <w:kern w:val="0"/>
                <w:sz w:val="20"/>
                <w:szCs w:val="20"/>
              </w:rPr>
              <w:t>部门：</w:t>
            </w:r>
            <w:r>
              <w:rPr>
                <w:rFonts w:ascii="方正仿宋_GB2312" w:eastAsia="方正仿宋_GB2312" w:cs="方正仿宋_GB2312" w:hAnsi="方正仿宋_GB2312" w:hint="eastAsia"/>
                <w:color w:val="000000"/>
                <w:sz w:val="20"/>
                <w:szCs w:val="20"/>
              </w:rPr>
              <w:t xml:space="preserve">石家庄市桥西区苑东街道办事处 </w:t>
            </w:r>
            <w:r>
              <w:rPr>
                <w:rFonts w:ascii="宋体" w:eastAsia="宋体" w:cs="宋体" w:hAnsi="宋体" w:hint="eastAsia"/>
                <w:color w:val="000000"/>
                <w:kern w:val="0"/>
                <w:sz w:val="20"/>
                <w:szCs w:val="20"/>
              </w:rPr>
              <w:t xml:space="preserve">                    </w:t>
            </w:r>
          </w:p>
        </w:tc>
        <w:tc>
          <w:tcPr>
            <w:tcW w:w="283" w:type="dxa"/>
            <w:gridSpan w:val="2"/>
            <w:tcBorders>
              <w:top w:val="nil"/>
              <w:left w:val="nil"/>
              <w:bottom w:val="nil"/>
              <w:right w:val="nil"/>
            </w:tcBorders>
            <w:shd w:val="clear" w:color="auto" w:fill="FFFFFF"/>
            <w:vAlign w:val="center"/>
          </w:tcPr>
          <w:p>
            <w:pPr>
              <w:widowControl/>
              <w:jc w:val="left"/>
              <w:textAlignment w:val="center"/>
            </w:pPr>
            <w:r>
              <w:rPr>
                <w:rFonts w:ascii="宋体" w:eastAsia="宋体" w:cs="宋体" w:hAnsi="宋体" w:hint="eastAsia"/>
                <w:color w:val="000000"/>
                <w:kern w:val="0"/>
                <w:sz w:val="20"/>
                <w:szCs w:val="20"/>
              </w:rPr>
              <w:t xml:space="preserve">                2023年度</w:t>
            </w:r>
          </w:p>
        </w:tc>
        <w:tc>
          <w:tcPr>
            <w:tcW w:w="964" w:type="dxa"/>
            <w:gridSpan w:val="4"/>
            <w:tcBorders>
              <w:top w:val="nil"/>
              <w:left w:val="nil"/>
              <w:bottom w:val="nil"/>
              <w:right w:val="nil"/>
            </w:tcBorders>
            <w:shd w:val="clear" w:color="auto" w:fill="FFFFFF"/>
            <w:vAlign w:val="center"/>
          </w:tcPr>
          <w:p>
            <w:pPr>
              <w:widowControl/>
              <w:jc w:val="right"/>
              <w:textAlignment w:val="center"/>
            </w:pPr>
            <w:r>
              <w:rPr>
                <w:rFonts w:ascii="宋体" w:eastAsia="宋体" w:cs="宋体" w:hAnsi="宋体" w:hint="eastAsia"/>
                <w:color w:val="000000"/>
                <w:kern w:val="0"/>
                <w:sz w:val="20"/>
                <w:szCs w:val="20"/>
              </w:rPr>
              <w:t>单位：万元</w:t>
            </w:r>
          </w:p>
        </w:tc>
      </w:tr>
      <w:tr>
        <w:trPr>
          <w:trHeight w:hRule="exact" w:val="340"/>
        </w:trPr>
        <w:tc>
          <w:tcPr>
            <w:tcW w:w="964"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收入</w:t>
            </w:r>
          </w:p>
        </w:tc>
        <w:tc>
          <w:tcPr>
            <w:tcW w:w="964" w:type="dxa"/>
            <w:gridSpan w:val="6"/>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支出</w:t>
            </w:r>
          </w:p>
        </w:tc>
      </w:tr>
      <w:tr>
        <w:trPr>
          <w:trHeight w:hRule="exact" w:val="1280"/>
        </w:trPr>
        <w:tc>
          <w:tcPr>
            <w:tcW w:w="239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项    目</w:t>
            </w: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b/>
                <w:bCs/>
                <w:color w:val="000000"/>
                <w:sz w:val="20"/>
                <w:szCs w:val="20"/>
              </w:rPr>
            </w:pPr>
            <w:r>
              <w:rPr>
                <w:rFonts w:ascii="宋体" w:eastAsia="宋体" w:cs="宋体" w:hAnsi="宋体" w:hint="eastAsia"/>
                <w:b/>
                <w:bCs/>
                <w:color w:val="000000"/>
                <w:kern w:val="0"/>
                <w:sz w:val="20"/>
                <w:szCs w:val="20"/>
              </w:rPr>
              <w:t>行次</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金额</w:t>
            </w:r>
          </w:p>
        </w:tc>
        <w:tc>
          <w:tcPr>
            <w:tcW w:w="277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项    目</w:t>
            </w: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b/>
                <w:bCs/>
                <w:color w:val="000000"/>
                <w:sz w:val="20"/>
                <w:szCs w:val="20"/>
              </w:rPr>
            </w:pPr>
            <w:r>
              <w:rPr>
                <w:rFonts w:ascii="宋体" w:eastAsia="宋体" w:cs="宋体" w:hAnsi="宋体" w:hint="eastAsia"/>
                <w:b/>
                <w:bCs/>
                <w:color w:val="000000"/>
                <w:kern w:val="0"/>
                <w:sz w:val="20"/>
                <w:szCs w:val="20"/>
              </w:rPr>
              <w:t>行次</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合计</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一般公共预算财政拨款</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政府性基金预算财政拨款</w:t>
            </w: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国有资本经营预算财政拨款</w:t>
            </w:r>
          </w:p>
        </w:tc>
      </w:tr>
      <w:tr>
        <w:trPr>
          <w:trHeight w:hRule="exact" w:val="300"/>
        </w:trPr>
        <w:tc>
          <w:tcPr>
            <w:tcW w:w="239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栏    次</w:t>
            </w: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spacing w:beforeAutospacing="0" w:afterAutospacing="0" w:line="280" w:lineRule="exact"/>
              <w:jc w:val="center"/>
              <w:rPr>
                <w:rFonts w:ascii="宋体" w:eastAsia="宋体" w:cs="宋体" w:hAnsi="宋体"/>
                <w:color w:val="000000"/>
                <w:sz w:val="24"/>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1</w:t>
            </w:r>
          </w:p>
        </w:tc>
        <w:tc>
          <w:tcPr>
            <w:tcW w:w="277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栏    次</w:t>
            </w: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spacing w:beforeAutospacing="0" w:afterAutospacing="0" w:line="280" w:lineRule="exact"/>
              <w:jc w:val="center"/>
              <w:rPr>
                <w:rFonts w:ascii="宋体" w:eastAsia="宋体" w:cs="宋体" w:hAnsi="宋体"/>
                <w:color w:val="000000"/>
                <w:sz w:val="24"/>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2</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3</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4</w:t>
            </w: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5</w:t>
            </w: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11"/>
                <w:szCs w:val="11"/>
              </w:rPr>
            </w:pPr>
            <w:r>
              <w:rPr>
                <w:rFonts w:hint="eastAsia"/>
                <w:sz w:val="18"/>
                <w:szCs w:val="21"/>
              </w:rPr>
              <w:t>一、一般公共预算财政拨款</w:t>
            </w: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2"/>
              </w:rPr>
            </w:pPr>
            <w:r>
              <w:rPr>
                <w:rFonts w:hint="eastAsia"/>
              </w:rPr>
              <w:t>1</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2,717.49</w:t>
            </w:r>
          </w:p>
        </w:tc>
        <w:tc>
          <w:tcPr>
            <w:tcW w:w="277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13"/>
                <w:szCs w:val="13"/>
              </w:rPr>
            </w:pPr>
            <w:r>
              <w:rPr>
                <w:rFonts w:hint="eastAsia"/>
                <w:sz w:val="20"/>
              </w:rPr>
              <w:t>一、一般公共服务支出</w:t>
            </w: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Cs w:val="21"/>
              </w:rPr>
            </w:pPr>
            <w:r>
              <w:rPr>
                <w:rFonts w:hint="eastAsia"/>
                <w:sz w:val="20"/>
              </w:rPr>
              <w:t>33</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2,343.92</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2,343.92</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11"/>
                <w:szCs w:val="11"/>
              </w:rPr>
            </w:pPr>
            <w:r>
              <w:rPr>
                <w:rFonts w:hint="eastAsia"/>
                <w:sz w:val="18"/>
                <w:szCs w:val="21"/>
              </w:rPr>
              <w:t>二、政府性基金预算财政拨款</w:t>
            </w: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2"/>
              </w:rPr>
            </w:pPr>
            <w:r>
              <w:rPr>
                <w:rFonts w:hint="eastAsia"/>
              </w:rPr>
              <w:t>2</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530.36</w:t>
            </w:r>
          </w:p>
        </w:tc>
        <w:tc>
          <w:tcPr>
            <w:tcW w:w="277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13"/>
                <w:szCs w:val="13"/>
              </w:rPr>
            </w:pPr>
            <w:r>
              <w:rPr>
                <w:rFonts w:hint="eastAsia"/>
                <w:sz w:val="20"/>
              </w:rPr>
              <w:t>二、外交支出</w:t>
            </w: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Cs w:val="21"/>
              </w:rPr>
            </w:pPr>
            <w:r>
              <w:rPr>
                <w:rFonts w:hint="eastAsia"/>
                <w:sz w:val="20"/>
              </w:rPr>
              <w:t>34</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11"/>
                <w:szCs w:val="11"/>
              </w:rPr>
            </w:pPr>
            <w:r>
              <w:rPr>
                <w:rFonts w:hint="eastAsia"/>
                <w:sz w:val="16"/>
                <w:szCs w:val="20"/>
              </w:rPr>
              <w:t>三、国有资本经营预算财政拨款</w:t>
            </w: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2"/>
              </w:rPr>
            </w:pPr>
            <w:r>
              <w:rPr>
                <w:rFonts w:hint="eastAsia"/>
              </w:rPr>
              <w:t>3</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13"/>
                <w:szCs w:val="13"/>
              </w:rPr>
            </w:pPr>
            <w:r>
              <w:rPr>
                <w:rFonts w:hint="eastAsia"/>
                <w:sz w:val="20"/>
              </w:rPr>
              <w:t>三、国防支出</w:t>
            </w: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Cs w:val="21"/>
              </w:rPr>
            </w:pPr>
            <w:r>
              <w:rPr>
                <w:rFonts w:hint="eastAsia"/>
                <w:sz w:val="20"/>
              </w:rPr>
              <w:t>35</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eastAsia="宋体" w:cs="宋体" w:hAnsi="宋体"/>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2"/>
              </w:rPr>
            </w:pPr>
            <w:r>
              <w:rPr>
                <w:rFonts w:hint="eastAsia"/>
              </w:rPr>
              <w:t>4</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13"/>
                <w:szCs w:val="13"/>
              </w:rPr>
            </w:pPr>
            <w:r>
              <w:rPr>
                <w:rFonts w:hint="eastAsia"/>
                <w:sz w:val="20"/>
              </w:rPr>
              <w:t>四、公共安全支出</w:t>
            </w: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Cs w:val="21"/>
              </w:rPr>
            </w:pPr>
            <w:r>
              <w:rPr>
                <w:rFonts w:hint="eastAsia"/>
                <w:sz w:val="20"/>
              </w:rPr>
              <w:t>36</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eastAsia="宋体" w:cs="宋体" w:hAnsi="宋体"/>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2"/>
              </w:rPr>
            </w:pPr>
            <w:r>
              <w:rPr>
                <w:rFonts w:hint="eastAsia"/>
              </w:rPr>
              <w:t>5</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13"/>
                <w:szCs w:val="13"/>
              </w:rPr>
            </w:pPr>
            <w:r>
              <w:rPr>
                <w:rFonts w:hint="eastAsia"/>
                <w:sz w:val="20"/>
              </w:rPr>
              <w:t>五、教育支出</w:t>
            </w: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Cs w:val="21"/>
              </w:rPr>
            </w:pPr>
            <w:r>
              <w:rPr>
                <w:rFonts w:hint="eastAsia"/>
                <w:sz w:val="20"/>
              </w:rPr>
              <w:t>37</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4.65</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4.65</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eastAsia="宋体" w:cs="宋体" w:hAnsi="宋体"/>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2"/>
              </w:rPr>
            </w:pPr>
            <w:r>
              <w:rPr>
                <w:rFonts w:hint="eastAsia"/>
              </w:rPr>
              <w:t>6</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13"/>
                <w:szCs w:val="13"/>
              </w:rPr>
            </w:pPr>
            <w:r>
              <w:rPr>
                <w:rFonts w:hint="eastAsia"/>
                <w:sz w:val="20"/>
              </w:rPr>
              <w:t>六、科学技术支出</w:t>
            </w: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Cs w:val="21"/>
              </w:rPr>
            </w:pPr>
            <w:r>
              <w:rPr>
                <w:rFonts w:hint="eastAsia"/>
                <w:sz w:val="20"/>
              </w:rPr>
              <w:t>38</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eastAsia="宋体" w:cs="宋体" w:hAnsi="宋体"/>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2"/>
              </w:rPr>
            </w:pPr>
            <w:r>
              <w:rPr>
                <w:rFonts w:hint="eastAsia"/>
              </w:rPr>
              <w:t>7</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15"/>
                <w:szCs w:val="15"/>
              </w:rPr>
            </w:pPr>
            <w:r>
              <w:rPr>
                <w:rFonts w:hint="eastAsia"/>
                <w:sz w:val="20"/>
              </w:rPr>
              <w:t>七、文化旅游体育与传媒支出</w:t>
            </w: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Cs w:val="21"/>
              </w:rPr>
            </w:pPr>
            <w:r>
              <w:rPr>
                <w:rFonts w:hint="eastAsia"/>
                <w:sz w:val="20"/>
              </w:rPr>
              <w:t>39</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1.50</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1.50</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eastAsia="宋体" w:cs="宋体" w:hAnsi="宋体"/>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2"/>
              </w:rPr>
            </w:pPr>
            <w:r>
              <w:rPr>
                <w:rFonts w:hint="eastAsia"/>
              </w:rPr>
              <w:t>8</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eastAsia="宋体" w:cs="宋体" w:hAnsi="宋体"/>
                <w:color w:val="000000"/>
                <w:sz w:val="13"/>
                <w:szCs w:val="13"/>
              </w:rPr>
            </w:pPr>
            <w:r>
              <w:rPr>
                <w:rFonts w:hint="eastAsia"/>
                <w:sz w:val="20"/>
              </w:rPr>
              <w:t>八、社会保障和就业支出</w:t>
            </w: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Cs w:val="21"/>
              </w:rPr>
            </w:pPr>
            <w:r>
              <w:rPr>
                <w:rFonts w:hint="eastAsia"/>
                <w:sz w:val="20"/>
              </w:rPr>
              <w:t>40</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164.21</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164.21</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eastAsia="宋体" w:cs="宋体" w:hAnsi="宋体"/>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2"/>
              </w:rPr>
            </w:pPr>
            <w:r>
              <w:rPr>
                <w:rFonts w:hint="eastAsia"/>
              </w:rPr>
              <w:t>9</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b/>
                <w:color w:val="000000"/>
                <w:sz w:val="13"/>
                <w:szCs w:val="13"/>
              </w:rPr>
            </w:pPr>
            <w:r>
              <w:rPr>
                <w:rFonts w:hint="eastAsia"/>
                <w:sz w:val="20"/>
              </w:rPr>
              <w:t>九、卫生健康支出</w:t>
            </w: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Cs w:val="21"/>
              </w:rPr>
            </w:pPr>
            <w:r>
              <w:rPr>
                <w:rFonts w:hint="eastAsia"/>
                <w:sz w:val="20"/>
              </w:rPr>
              <w:t>41</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121.73</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121.73</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b/>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2"/>
              </w:rPr>
            </w:pPr>
            <w:r>
              <w:rPr>
                <w:rFonts w:hint="eastAsia"/>
              </w:rPr>
              <w:t>10</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13"/>
                <w:szCs w:val="13"/>
              </w:rPr>
            </w:pPr>
            <w:r>
              <w:rPr>
                <w:rFonts w:hint="eastAsia"/>
                <w:sz w:val="20"/>
              </w:rPr>
              <w:t>十、节能环保支出</w:t>
            </w: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Cs w:val="21"/>
              </w:rPr>
            </w:pPr>
            <w:r>
              <w:rPr>
                <w:rFonts w:hint="eastAsia"/>
                <w:sz w:val="20"/>
              </w:rPr>
              <w:t>42</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2"/>
              </w:rPr>
            </w:pPr>
            <w:r>
              <w:rPr>
                <w:rFonts w:hint="eastAsia"/>
              </w:rPr>
              <w:t>11</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eastAsia="宋体" w:cs="宋体" w:hAnsi="宋体"/>
                <w:color w:val="000000"/>
                <w:sz w:val="13"/>
                <w:szCs w:val="13"/>
              </w:rPr>
            </w:pPr>
            <w:r>
              <w:rPr>
                <w:rFonts w:hint="eastAsia"/>
                <w:sz w:val="20"/>
              </w:rPr>
              <w:t>十一、城乡社区支出</w:t>
            </w: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Cs w:val="21"/>
              </w:rPr>
            </w:pPr>
            <w:r>
              <w:rPr>
                <w:rFonts w:hint="eastAsia"/>
                <w:sz w:val="20"/>
              </w:rPr>
              <w:t>43</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533.09</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2.73</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530.36</w:t>
            </w: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2"/>
              </w:rPr>
            </w:pPr>
            <w:r>
              <w:rPr>
                <w:rFonts w:hint="eastAsia"/>
              </w:rPr>
              <w:t>12</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eastAsia="宋体" w:cs="宋体" w:hAnsi="宋体"/>
                <w:color w:val="000000"/>
                <w:sz w:val="13"/>
                <w:szCs w:val="13"/>
              </w:rPr>
            </w:pPr>
            <w:r>
              <w:rPr>
                <w:rFonts w:hint="eastAsia"/>
                <w:sz w:val="20"/>
              </w:rPr>
              <w:t>十二、农林水支出</w:t>
            </w: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Cs w:val="21"/>
              </w:rPr>
            </w:pPr>
            <w:r>
              <w:rPr>
                <w:rFonts w:hint="eastAsia"/>
                <w:sz w:val="20"/>
              </w:rPr>
              <w:t>44</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2"/>
              </w:rPr>
            </w:pPr>
            <w:r>
              <w:rPr>
                <w:rFonts w:hint="eastAsia"/>
              </w:rPr>
              <w:t>13</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宋体" w:eastAsia="宋体" w:cs="宋体" w:hAnsi="宋体"/>
                <w:color w:val="000000"/>
                <w:sz w:val="13"/>
                <w:szCs w:val="13"/>
              </w:rPr>
            </w:pPr>
            <w:r>
              <w:rPr>
                <w:rFonts w:hint="eastAsia"/>
                <w:sz w:val="20"/>
              </w:rPr>
              <w:t>十三、交通运输支出</w:t>
            </w:r>
          </w:p>
        </w:tc>
        <w:tc>
          <w:tcPr>
            <w:tcW w:w="28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Cs w:val="21"/>
              </w:rPr>
            </w:pPr>
            <w:r>
              <w:rPr>
                <w:rFonts w:hint="eastAsia"/>
                <w:sz w:val="20"/>
              </w:rPr>
              <w:t>45</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b/>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sz w:val="22"/>
              </w:rPr>
            </w:pPr>
            <w:r>
              <w:rPr>
                <w:rFonts w:hint="eastAsia"/>
              </w:rPr>
              <w:t>14</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eastAsia="宋体" w:cs="宋体" w:hAnsi="宋体"/>
                <w:b/>
                <w:color w:val="000000"/>
                <w:sz w:val="13"/>
                <w:szCs w:val="13"/>
              </w:rPr>
            </w:pPr>
            <w:r>
              <w:rPr>
                <w:rFonts w:hint="eastAsia"/>
                <w:sz w:val="18"/>
                <w:szCs w:val="21"/>
              </w:rPr>
              <w:t>十四、资源勘探工业信息等支出</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szCs w:val="21"/>
              </w:rPr>
            </w:pPr>
            <w:r>
              <w:rPr>
                <w:rFonts w:hint="eastAsia"/>
                <w:sz w:val="20"/>
              </w:rPr>
              <w:t>46</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b/>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b/>
                <w:color w:val="000000"/>
                <w:kern w:val="0"/>
                <w:sz w:val="22"/>
              </w:rPr>
            </w:pP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15</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eastAsia="宋体" w:cs="宋体" w:hAnsi="宋体"/>
                <w:b/>
                <w:color w:val="000000"/>
                <w:kern w:val="0"/>
                <w:szCs w:val="21"/>
              </w:rPr>
            </w:pPr>
            <w:r>
              <w:rPr>
                <w:rFonts w:hint="eastAsia"/>
                <w:sz w:val="20"/>
              </w:rPr>
              <w:t>十五、商业服务业等支出</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Cs w:val="21"/>
              </w:rPr>
            </w:pPr>
            <w:r>
              <w:rPr>
                <w:rFonts w:hint="eastAsia"/>
                <w:sz w:val="20"/>
              </w:rPr>
              <w:t>47</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b/>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b/>
                <w:color w:val="000000"/>
                <w:kern w:val="0"/>
                <w:sz w:val="22"/>
              </w:rPr>
            </w:pP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16</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eastAsia="宋体" w:cs="宋体" w:hAnsi="宋体"/>
                <w:b/>
                <w:color w:val="000000"/>
                <w:kern w:val="0"/>
                <w:szCs w:val="21"/>
              </w:rPr>
            </w:pPr>
            <w:r>
              <w:rPr>
                <w:rFonts w:hint="eastAsia"/>
                <w:sz w:val="20"/>
              </w:rPr>
              <w:t>十六、金融支出</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Cs w:val="21"/>
              </w:rPr>
            </w:pPr>
            <w:r>
              <w:rPr>
                <w:rFonts w:hint="eastAsia"/>
                <w:sz w:val="20"/>
              </w:rPr>
              <w:t>48</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b/>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b/>
                <w:color w:val="000000"/>
                <w:kern w:val="0"/>
                <w:sz w:val="22"/>
              </w:rPr>
            </w:pP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17</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eastAsia="宋体" w:cs="宋体" w:hAnsi="宋体"/>
                <w:b/>
                <w:color w:val="000000"/>
                <w:kern w:val="0"/>
                <w:szCs w:val="21"/>
              </w:rPr>
            </w:pPr>
            <w:r>
              <w:rPr>
                <w:rFonts w:hint="eastAsia"/>
                <w:sz w:val="20"/>
              </w:rPr>
              <w:t>十七、援助其他地区支出</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Cs w:val="21"/>
              </w:rPr>
            </w:pPr>
            <w:r>
              <w:rPr>
                <w:rFonts w:hint="eastAsia"/>
                <w:sz w:val="20"/>
              </w:rPr>
              <w:t>49</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b/>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b/>
                <w:color w:val="000000"/>
                <w:kern w:val="0"/>
                <w:sz w:val="22"/>
              </w:rPr>
            </w:pP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18</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eastAsia="宋体" w:cs="宋体" w:hAnsi="宋体"/>
                <w:b/>
                <w:color w:val="000000"/>
                <w:kern w:val="0"/>
                <w:szCs w:val="21"/>
              </w:rPr>
            </w:pPr>
            <w:r>
              <w:rPr>
                <w:rFonts w:hint="eastAsia"/>
                <w:sz w:val="18"/>
                <w:szCs w:val="21"/>
              </w:rPr>
              <w:t>十八、自然资源海洋气象等支出</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Cs w:val="21"/>
              </w:rPr>
            </w:pPr>
            <w:r>
              <w:rPr>
                <w:rFonts w:hint="eastAsia"/>
                <w:sz w:val="20"/>
              </w:rPr>
              <w:t>50</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b/>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b/>
                <w:color w:val="000000"/>
                <w:kern w:val="0"/>
                <w:sz w:val="22"/>
              </w:rPr>
            </w:pP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19</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eastAsia="宋体" w:cs="宋体" w:hAnsi="宋体"/>
                <w:b/>
                <w:color w:val="000000"/>
                <w:kern w:val="0"/>
                <w:szCs w:val="21"/>
              </w:rPr>
            </w:pPr>
            <w:r>
              <w:rPr>
                <w:rFonts w:hint="eastAsia"/>
                <w:sz w:val="20"/>
              </w:rPr>
              <w:t>十九、住房保障支出</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Cs w:val="21"/>
              </w:rPr>
            </w:pPr>
            <w:r>
              <w:rPr>
                <w:rFonts w:hint="eastAsia"/>
                <w:sz w:val="20"/>
              </w:rPr>
              <w:t>51</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78.76</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78.76</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b/>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b/>
                <w:color w:val="000000"/>
                <w:kern w:val="0"/>
                <w:sz w:val="22"/>
              </w:rPr>
            </w:pP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20</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eastAsia="宋体" w:cs="宋体" w:hAnsi="宋体"/>
                <w:b/>
                <w:color w:val="000000"/>
                <w:kern w:val="0"/>
                <w:szCs w:val="21"/>
              </w:rPr>
            </w:pPr>
            <w:r>
              <w:rPr>
                <w:rFonts w:hint="eastAsia"/>
                <w:sz w:val="20"/>
              </w:rPr>
              <w:t>二十、粮油物资储备支出</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Cs w:val="21"/>
              </w:rPr>
            </w:pPr>
            <w:r>
              <w:rPr>
                <w:rFonts w:hint="eastAsia"/>
                <w:sz w:val="20"/>
              </w:rPr>
              <w:t>52</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b/>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b/>
                <w:color w:val="000000"/>
                <w:kern w:val="0"/>
                <w:sz w:val="22"/>
              </w:rPr>
            </w:pP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21</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eastAsia="宋体" w:cs="宋体" w:hAnsi="宋体"/>
                <w:b/>
                <w:color w:val="000000"/>
                <w:kern w:val="0"/>
                <w:szCs w:val="21"/>
              </w:rPr>
            </w:pPr>
            <w:r>
              <w:rPr>
                <w:rFonts w:hint="eastAsia"/>
                <w:sz w:val="18"/>
                <w:szCs w:val="21"/>
              </w:rPr>
              <w:t>二十一、国有资本经营预算支出</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Cs w:val="21"/>
              </w:rPr>
            </w:pPr>
            <w:r>
              <w:rPr>
                <w:rFonts w:hint="eastAsia"/>
                <w:sz w:val="20"/>
              </w:rPr>
              <w:t>53</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b/>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b/>
                <w:color w:val="000000"/>
                <w:kern w:val="0"/>
                <w:sz w:val="22"/>
              </w:rPr>
            </w:pP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22</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eastAsia="宋体" w:cs="宋体" w:hAnsi="宋体"/>
                <w:b/>
                <w:color w:val="000000"/>
                <w:kern w:val="0"/>
                <w:szCs w:val="21"/>
              </w:rPr>
            </w:pPr>
            <w:r>
              <w:rPr>
                <w:rFonts w:hint="eastAsia"/>
                <w:sz w:val="16"/>
                <w:szCs w:val="20"/>
              </w:rPr>
              <w:t>二十二、灾害防治及应急管理支出</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Cs w:val="21"/>
              </w:rPr>
            </w:pPr>
            <w:r>
              <w:rPr>
                <w:rFonts w:hint="eastAsia"/>
                <w:sz w:val="20"/>
              </w:rPr>
              <w:t>54</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b/>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b/>
                <w:color w:val="000000"/>
                <w:kern w:val="0"/>
                <w:sz w:val="22"/>
              </w:rPr>
            </w:pP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23</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eastAsia="宋体" w:cs="宋体" w:hAnsi="宋体"/>
                <w:b/>
                <w:color w:val="000000"/>
                <w:kern w:val="0"/>
                <w:szCs w:val="21"/>
              </w:rPr>
            </w:pPr>
            <w:r>
              <w:rPr>
                <w:rFonts w:hint="eastAsia"/>
                <w:sz w:val="20"/>
              </w:rPr>
              <w:t>二十三、其他支出</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Cs w:val="21"/>
              </w:rPr>
            </w:pPr>
            <w:r>
              <w:rPr>
                <w:rFonts w:hint="eastAsia"/>
                <w:sz w:val="20"/>
              </w:rPr>
              <w:t>55</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b/>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b/>
                <w:color w:val="000000"/>
                <w:kern w:val="0"/>
                <w:sz w:val="22"/>
              </w:rPr>
            </w:pP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24</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eastAsia="宋体" w:cs="宋体" w:hAnsi="宋体"/>
                <w:b/>
                <w:color w:val="000000"/>
                <w:kern w:val="0"/>
                <w:szCs w:val="21"/>
              </w:rPr>
            </w:pPr>
            <w:r>
              <w:rPr>
                <w:rFonts w:hint="eastAsia"/>
                <w:sz w:val="20"/>
              </w:rPr>
              <w:t>二十四、债务还本支出</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Cs w:val="21"/>
              </w:rPr>
            </w:pPr>
            <w:r>
              <w:rPr>
                <w:rFonts w:hint="eastAsia"/>
                <w:sz w:val="20"/>
              </w:rPr>
              <w:t>56</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b/>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b/>
                <w:color w:val="000000"/>
                <w:kern w:val="0"/>
                <w:sz w:val="22"/>
              </w:rPr>
            </w:pP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25</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eastAsia="宋体" w:cs="宋体" w:hAnsi="宋体"/>
                <w:b/>
                <w:color w:val="000000"/>
                <w:kern w:val="0"/>
                <w:szCs w:val="21"/>
              </w:rPr>
            </w:pPr>
            <w:r>
              <w:rPr>
                <w:rFonts w:hint="eastAsia"/>
                <w:sz w:val="20"/>
              </w:rPr>
              <w:t>二十五、债务付息支出</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Cs w:val="21"/>
              </w:rPr>
            </w:pPr>
            <w:r>
              <w:rPr>
                <w:rFonts w:hint="eastAsia"/>
                <w:sz w:val="20"/>
              </w:rPr>
              <w:t>57</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b/>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b/>
                <w:color w:val="000000"/>
                <w:kern w:val="0"/>
                <w:sz w:val="22"/>
              </w:rPr>
            </w:pP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26</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eastAsia="宋体" w:cs="宋体" w:hAnsi="宋体"/>
                <w:b/>
                <w:color w:val="000000"/>
                <w:kern w:val="0"/>
                <w:szCs w:val="21"/>
              </w:rPr>
            </w:pPr>
            <w:r>
              <w:rPr>
                <w:rFonts w:hint="eastAsia"/>
                <w:sz w:val="16"/>
                <w:szCs w:val="20"/>
              </w:rPr>
              <w:t>二十六、抗疫特别国债安排的支出</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Cs w:val="21"/>
              </w:rPr>
            </w:pPr>
            <w:r>
              <w:rPr>
                <w:rFonts w:hint="eastAsia"/>
                <w:sz w:val="20"/>
              </w:rPr>
              <w:t>58</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b/>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b/>
                <w:color w:val="000000"/>
                <w:kern w:val="0"/>
                <w:sz w:val="22"/>
              </w:rPr>
            </w:pPr>
            <w:r>
              <w:rPr>
                <w:rFonts w:hint="eastAsia"/>
                <w:b/>
                <w:bCs/>
              </w:rPr>
              <w:t>本年收入合计</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27</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3,247.86</w:t>
            </w:r>
          </w:p>
        </w:tc>
        <w:tc>
          <w:tcPr>
            <w:tcW w:w="277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b/>
                <w:color w:val="000000"/>
                <w:kern w:val="0"/>
                <w:szCs w:val="21"/>
              </w:rPr>
            </w:pPr>
            <w:r>
              <w:rPr>
                <w:rFonts w:hint="eastAsia"/>
                <w:b/>
                <w:bCs/>
                <w:sz w:val="20"/>
              </w:rPr>
              <w:t>本年支出合计</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Cs w:val="21"/>
              </w:rPr>
            </w:pPr>
            <w:r>
              <w:rPr>
                <w:rFonts w:hint="eastAsia"/>
                <w:sz w:val="20"/>
              </w:rPr>
              <w:t>59</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3,247.86</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2,717.49</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530.36</w:t>
            </w: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b/>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textAlignment w:val="center"/>
              <w:rPr>
                <w:rFonts w:ascii="宋体" w:eastAsia="宋体" w:cs="宋体" w:hAnsi="宋体"/>
                <w:b/>
                <w:color w:val="000000"/>
                <w:kern w:val="0"/>
                <w:sz w:val="20"/>
                <w:szCs w:val="20"/>
              </w:rPr>
            </w:pPr>
            <w:r>
              <w:rPr>
                <w:rFonts w:hint="eastAsia"/>
                <w:sz w:val="18"/>
                <w:szCs w:val="21"/>
              </w:rPr>
              <w:t>年初财政拨款结转和结余</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28</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eastAsia="宋体" w:cs="宋体" w:hAnsi="宋体"/>
                <w:b/>
                <w:color w:val="000000"/>
                <w:kern w:val="0"/>
                <w:szCs w:val="21"/>
              </w:rPr>
            </w:pPr>
            <w:r>
              <w:rPr>
                <w:rFonts w:hint="eastAsia"/>
                <w:sz w:val="20"/>
              </w:rPr>
              <w:t>年末财政拨款结转和结余</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Cs w:val="21"/>
              </w:rPr>
            </w:pPr>
            <w:r>
              <w:rPr>
                <w:rFonts w:hint="eastAsia"/>
                <w:sz w:val="20"/>
              </w:rPr>
              <w:t>60</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b/>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textAlignment w:val="center"/>
              <w:rPr>
                <w:rFonts w:ascii="宋体" w:eastAsia="宋体" w:cs="宋体" w:hAnsi="宋体"/>
                <w:b/>
                <w:color w:val="000000"/>
                <w:kern w:val="0"/>
                <w:sz w:val="20"/>
                <w:szCs w:val="20"/>
              </w:rPr>
            </w:pPr>
            <w:r>
              <w:rPr>
                <w:rFonts w:hint="eastAsia"/>
                <w:sz w:val="18"/>
                <w:szCs w:val="21"/>
              </w:rPr>
              <w:t>一般公共预算财政拨款</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29</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eastAsia="宋体" w:cs="宋体" w:hAnsi="宋体"/>
                <w:b/>
                <w:color w:val="000000"/>
                <w:kern w:val="0"/>
                <w:szCs w:val="21"/>
              </w:rPr>
            </w:pP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Cs w:val="21"/>
              </w:rPr>
            </w:pPr>
            <w:r>
              <w:rPr>
                <w:rFonts w:hint="eastAsia"/>
                <w:sz w:val="20"/>
              </w:rPr>
              <w:t>61</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b/>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textAlignment w:val="center"/>
              <w:rPr>
                <w:rFonts w:ascii="宋体" w:eastAsia="宋体" w:cs="宋体" w:hAnsi="宋体"/>
                <w:b/>
                <w:color w:val="000000"/>
                <w:kern w:val="0"/>
                <w:sz w:val="20"/>
                <w:szCs w:val="20"/>
              </w:rPr>
            </w:pPr>
            <w:r>
              <w:rPr>
                <w:rFonts w:hint="eastAsia"/>
                <w:sz w:val="18"/>
                <w:szCs w:val="21"/>
              </w:rPr>
              <w:t>政府性基金预算财政拨款</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30</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eastAsia="宋体" w:cs="宋体" w:hAnsi="宋体"/>
                <w:b/>
                <w:color w:val="000000"/>
                <w:kern w:val="0"/>
                <w:szCs w:val="21"/>
              </w:rPr>
            </w:pP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Cs w:val="21"/>
              </w:rPr>
            </w:pPr>
            <w:r>
              <w:rPr>
                <w:rFonts w:hint="eastAsia"/>
                <w:sz w:val="20"/>
              </w:rPr>
              <w:t>62</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b/>
                <w:color w:val="000000"/>
                <w:sz w:val="22"/>
              </w:rPr>
            </w:pPr>
          </w:p>
        </w:tc>
      </w:tr>
      <w:tr>
        <w:trPr>
          <w:trHeight w:hRule="exact" w:val="283"/>
        </w:trPr>
        <w:tc>
          <w:tcPr>
            <w:tcW w:w="239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textAlignment w:val="center"/>
              <w:rPr>
                <w:rFonts w:ascii="宋体" w:eastAsia="宋体" w:cs="宋体" w:hAnsi="宋体"/>
                <w:b/>
                <w:color w:val="000000"/>
                <w:kern w:val="0"/>
                <w:sz w:val="20"/>
                <w:szCs w:val="20"/>
              </w:rPr>
            </w:pPr>
            <w:r>
              <w:rPr>
                <w:rFonts w:hint="eastAsia"/>
                <w:sz w:val="16"/>
                <w:szCs w:val="20"/>
              </w:rPr>
              <w:t>国有资本经营预算财政拨款</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 w:val="22"/>
              </w:rPr>
            </w:pPr>
            <w:r>
              <w:rPr>
                <w:rFonts w:hint="eastAsia"/>
              </w:rPr>
              <w:t>31</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77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left"/>
              <w:textAlignment w:val="center"/>
              <w:rPr>
                <w:rFonts w:ascii="宋体" w:eastAsia="宋体" w:cs="宋体" w:hAnsi="宋体"/>
                <w:b/>
                <w:color w:val="000000"/>
                <w:kern w:val="0"/>
                <w:szCs w:val="21"/>
              </w:rPr>
            </w:pP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Cs w:val="21"/>
              </w:rPr>
            </w:pPr>
            <w:r>
              <w:rPr>
                <w:rFonts w:hint="eastAsia"/>
                <w:sz w:val="20"/>
              </w:rPr>
              <w:t>63</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b/>
                <w:color w:val="000000"/>
                <w:sz w:val="22"/>
              </w:rPr>
            </w:pPr>
          </w:p>
        </w:tc>
      </w:tr>
      <w:tr>
        <w:trPr>
          <w:trHeight w:hRule="exact" w:val="340"/>
        </w:trPr>
        <w:tc>
          <w:tcPr>
            <w:tcW w:w="2390"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b/>
                <w:color w:val="000000"/>
                <w:kern w:val="0"/>
                <w:sz w:val="22"/>
              </w:rPr>
            </w:pPr>
            <w:r>
              <w:rPr>
                <w:rFonts w:hint="eastAsia"/>
                <w:b/>
                <w:bCs/>
              </w:rPr>
              <w:t>总计</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pPr>
            <w:r>
              <w:rPr>
                <w:rFonts w:hint="eastAsia"/>
              </w:rPr>
              <w:t>32</w:t>
            </w: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3,247.86</w:t>
            </w:r>
          </w:p>
        </w:tc>
        <w:tc>
          <w:tcPr>
            <w:tcW w:w="2775"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b/>
                <w:color w:val="000000"/>
                <w:kern w:val="0"/>
                <w:szCs w:val="21"/>
              </w:rPr>
            </w:pPr>
            <w:r>
              <w:rPr>
                <w:rFonts w:hint="eastAsia"/>
                <w:b/>
                <w:bCs/>
                <w:sz w:val="20"/>
              </w:rPr>
              <w:t>总计</w:t>
            </w:r>
          </w:p>
        </w:tc>
        <w:tc>
          <w:tcPr>
            <w:tcW w:w="283"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jc w:val="center"/>
              <w:textAlignment w:val="center"/>
              <w:rPr>
                <w:rFonts w:ascii="宋体" w:eastAsia="宋体" w:cs="宋体" w:hAnsi="宋体"/>
                <w:color w:val="000000"/>
                <w:kern w:val="0"/>
                <w:szCs w:val="21"/>
              </w:rPr>
            </w:pPr>
            <w:r>
              <w:rPr>
                <w:rFonts w:hint="eastAsia"/>
                <w:sz w:val="20"/>
              </w:rPr>
              <w:t>64</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3,247.86</w:t>
            </w:r>
          </w:p>
        </w:tc>
        <w:tc>
          <w:tcPr>
            <w:tcW w:w="964" w:type="dxa"/>
            <w:tcBorders>
              <w:top w:val="single" w:sz="4" w:space="0" w:color="000000"/>
              <w:left w:val="single" w:sz="4" w:space="0" w:color="000000"/>
              <w:bottom w:val="single" w:sz="4" w:space="0" w:color="000000"/>
              <w:right w:val="single" w:sz="4" w:space="0" w:color="000000"/>
            </w:tcBorders>
            <w:shd w:val="clear" w:color="auto" w:fill="FFFFFF"/>
            <w:vAlign w:val="center"/>
          </w:tcPr>
          <w:p>
            <w:pPr>
              <w:jc w:val="right"/>
              <w:rPr>
                <w:rFonts w:ascii="Times New Roman" w:cs="Times New Roman" w:hAnsi="Times New Roman"/>
                <w:sz w:val="20"/>
                <w:szCs w:val="20"/>
              </w:rPr>
            </w:pPr>
          </w:p>
          <w:p>
            <w:pPr>
              <w:jc w:val="right"/>
              <w:rPr>
                <w:rFonts w:ascii="Times New Roman" w:cs="Times New Roman" w:hAnsi="Times New Roman"/>
                <w:sz w:val="20"/>
                <w:szCs w:val="20"/>
              </w:rPr>
            </w:pPr>
            <w:r>
              <w:rPr>
                <w:rFonts w:ascii="Times New Roman" w:cs="Times New Roman" w:hAnsi="Times New Roman"/>
                <w:sz w:val="20"/>
                <w:szCs w:val="20"/>
              </w:rPr>
              <w:t>2,717.49</w:t>
            </w:r>
          </w:p>
          <w:p>
            <w:pPr>
              <w:jc w:val="right"/>
              <w:rPr>
                <w:rFonts w:ascii="Times New Roman" w:eastAsia="宋体" w:cs="Times New Roman" w:hAnsi="Times New Roman"/>
                <w:color w:val="000000"/>
                <w:kern w:val="2"/>
                <w:sz w:val="20"/>
                <w:szCs w:val="20"/>
                <w:lang w:val="en-US" w:eastAsia="zh-CN" w:bidi="ar-SA"/>
              </w:rPr>
            </w:pPr>
          </w:p>
        </w:tc>
        <w:tc>
          <w:tcPr>
            <w:tcW w:w="964"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530.36</w:t>
            </w:r>
          </w:p>
        </w:tc>
        <w:tc>
          <w:tcPr>
            <w:tcW w:w="7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b/>
                <w:color w:val="000000"/>
                <w:sz w:val="22"/>
              </w:rPr>
            </w:pPr>
          </w:p>
        </w:tc>
      </w:tr>
      <w:tr>
        <w:trPr>
          <w:trHeight w:hRule="exact" w:val="655"/>
        </w:trPr>
        <w:tc>
          <w:tcPr>
            <w:tcW w:w="964" w:type="dxa"/>
            <w:gridSpan w:val="9"/>
            <w:shd w:val="clear" w:color="auto" w:fill="auto"/>
            <w:vAlign w:val="center"/>
          </w:tcPr>
          <w:p>
            <w:pPr>
              <w:widowControl/>
              <w:jc w:val="left"/>
              <w:textAlignment w:val="center"/>
              <w:rPr>
                <w:rFonts w:ascii="宋体" w:eastAsia="宋体" w:cs="宋体" w:hAnsi="宋体"/>
                <w:color w:val="000000"/>
                <w:sz w:val="24"/>
              </w:rPr>
            </w:pPr>
            <w:r>
              <w:rPr>
                <w:rFonts w:ascii="宋体" w:eastAsia="宋体" w:cs="宋体" w:hAnsi="宋体" w:hint="eastAsia"/>
                <w:color w:val="000000"/>
                <w:kern w:val="0"/>
                <w:sz w:val="24"/>
                <w:szCs w:val="24"/>
              </w:rPr>
              <w:t>注：本表反映部门本年度一般公共预算财政拨款、政府性基金预算财政拨款和国有资本经营预算财政拨款的总收支和年末结转结余情况。</w:t>
            </w:r>
          </w:p>
        </w:tc>
      </w:tr>
    </w:tbl>
    <w:p>
      <w:pPr>
        <w:widowControl/>
        <w:jc w:val="center"/>
        <w:textAlignment w:val="center"/>
        <w:rPr>
          <w:rFonts w:ascii="华文中宋" w:eastAsia="华文中宋" w:cs="华文中宋" w:hAnsi="华文中宋"/>
          <w:color w:val="000000"/>
          <w:kern w:val="0"/>
          <w:sz w:val="32"/>
          <w:szCs w:val="32"/>
        </w:rPr>
      </w:pPr>
      <w:r>
        <w:rPr>
          <w:rFonts w:ascii="华文中宋" w:eastAsia="华文中宋" w:cs="华文中宋" w:hAnsi="华文中宋" w:hint="eastAsia"/>
          <w:color w:val="000000"/>
          <w:kern w:val="0"/>
          <w:sz w:val="32"/>
          <w:szCs w:val="32"/>
        </w:rPr>
        <w:br w:type="page"/>
      </w:r>
    </w:p>
    <w:tbl>
      <w:tblPr>
        <w:jc w:val="center"/>
        <w:tblW w:w="10900" w:type="dxa"/>
        <w:tblBorders>
          <w:top w:val="none" w:sz="0" w:space="0" w:color="auto"/>
          <w:left w:val="none" w:sz="0" w:space="0" w:color="auto"/>
          <w:bottom w:val="none" w:sz="0" w:space="0" w:color="auto"/>
          <w:right w:val="none" w:sz="0" w:space="0" w:color="auto"/>
        </w:tblBorders>
        <w:tblLayout w:type="fixed"/>
        <w:tblCellMar>
          <w:top w:w="15" w:type="dxa"/>
          <w:left w:w="15" w:type="dxa"/>
          <w:bottom w:w="15" w:type="dxa"/>
          <w:right w:w="15" w:type="dxa"/>
        </w:tblCellMar>
        <w:tblLook w:val="0600" w:firstRow="0" w:lastRow="0" w:firstColumn="0" w:lastColumn="0" w:noHBand="1" w:noVBand="1"/>
      </w:tblPr>
      <w:tblGrid>
        <w:gridCol w:w="602"/>
        <w:gridCol w:w="240"/>
        <w:gridCol w:w="3852"/>
        <w:gridCol w:w="1727"/>
        <w:gridCol w:w="2186"/>
        <w:gridCol w:w="2293"/>
      </w:tblGrid>
      <w:tr>
        <w:trPr>
          <w:trHeight w:hRule="exact" w:val="538"/>
        </w:trPr>
        <w:tc>
          <w:tcPr>
            <w:tcW w:w="10900" w:type="dxa"/>
            <w:gridSpan w:val="6"/>
            <w:shd w:val="clear" w:color="auto" w:fill="FFFFFF"/>
            <w:vAlign w:val="center"/>
          </w:tcPr>
          <w:p>
            <w:pPr>
              <w:widowControl/>
              <w:jc w:val="center"/>
              <w:textAlignment w:val="center"/>
              <w:rPr>
                <w:rFonts w:ascii="华文中宋" w:eastAsia="华文中宋" w:cs="华文中宋" w:hAnsi="华文中宋"/>
                <w:b/>
                <w:bCs/>
                <w:color w:val="000000"/>
                <w:sz w:val="32"/>
                <w:szCs w:val="32"/>
              </w:rPr>
            </w:pPr>
            <w:r>
              <w:rPr>
                <w:rFonts w:ascii="华文中宋" w:eastAsia="华文中宋" w:cs="华文中宋" w:hAnsi="华文中宋" w:hint="eastAsia"/>
                <w:b/>
                <w:bCs/>
                <w:color w:val="000000"/>
                <w:kern w:val="0"/>
                <w:sz w:val="32"/>
                <w:szCs w:val="32"/>
              </w:rPr>
              <w:t>一般公共预算财政拨款支出决算表</w:t>
            </w:r>
          </w:p>
        </w:tc>
      </w:tr>
      <w:tr>
        <w:trPr>
          <w:trHeight w:hRule="exact" w:val="283"/>
        </w:trPr>
        <w:tc>
          <w:tcPr>
            <w:tcW w:w="602" w:type="dxa"/>
            <w:shd w:val="clear" w:color="auto" w:fill="FFFFFF"/>
            <w:vAlign w:val="center"/>
          </w:tcPr>
          <w:p>
            <w:pPr>
              <w:jc w:val="center"/>
              <w:rPr>
                <w:rFonts w:ascii="宋体" w:eastAsia="宋体" w:cs="宋体" w:hAnsi="宋体"/>
                <w:color w:val="000000"/>
                <w:sz w:val="20"/>
                <w:szCs w:val="20"/>
              </w:rPr>
            </w:pPr>
          </w:p>
        </w:tc>
        <w:tc>
          <w:tcPr>
            <w:tcW w:w="240" w:type="dxa"/>
            <w:shd w:val="clear" w:color="auto" w:fill="FFFFFF"/>
            <w:vAlign w:val="center"/>
          </w:tcPr>
          <w:p>
            <w:pPr>
              <w:jc w:val="center"/>
              <w:rPr>
                <w:rFonts w:ascii="宋体" w:eastAsia="宋体" w:cs="宋体" w:hAnsi="宋体"/>
                <w:color w:val="000000"/>
                <w:sz w:val="20"/>
                <w:szCs w:val="20"/>
              </w:rPr>
            </w:pPr>
          </w:p>
        </w:tc>
        <w:tc>
          <w:tcPr>
            <w:tcW w:w="3852" w:type="dxa"/>
            <w:shd w:val="clear" w:color="auto" w:fill="FFFFFF"/>
            <w:vAlign w:val="center"/>
          </w:tcPr>
          <w:p>
            <w:pPr>
              <w:jc w:val="center"/>
              <w:rPr>
                <w:rFonts w:ascii="宋体" w:eastAsia="宋体" w:cs="宋体" w:hAnsi="宋体"/>
                <w:color w:val="000000"/>
                <w:sz w:val="20"/>
                <w:szCs w:val="20"/>
              </w:rPr>
            </w:pPr>
          </w:p>
        </w:tc>
        <w:tc>
          <w:tcPr>
            <w:tcW w:w="1727" w:type="dxa"/>
            <w:shd w:val="clear" w:color="auto" w:fill="FFFFFF"/>
            <w:vAlign w:val="center"/>
          </w:tcPr>
          <w:p>
            <w:pPr>
              <w:rPr>
                <w:rFonts w:ascii="宋体" w:eastAsia="宋体" w:cs="宋体" w:hAnsi="宋体"/>
                <w:color w:val="000000"/>
                <w:sz w:val="20"/>
                <w:szCs w:val="20"/>
              </w:rPr>
            </w:pPr>
          </w:p>
        </w:tc>
        <w:tc>
          <w:tcPr>
            <w:tcW w:w="2186" w:type="dxa"/>
            <w:shd w:val="clear" w:color="auto" w:fill="FFFFFF"/>
            <w:vAlign w:val="center"/>
          </w:tcPr>
          <w:p>
            <w:pPr>
              <w:rPr>
                <w:rFonts w:ascii="宋体" w:eastAsia="宋体" w:cs="宋体" w:hAnsi="宋体"/>
                <w:color w:val="000000"/>
                <w:sz w:val="20"/>
                <w:szCs w:val="20"/>
              </w:rPr>
            </w:pPr>
          </w:p>
        </w:tc>
        <w:tc>
          <w:tcPr>
            <w:tcW w:w="2293" w:type="dxa"/>
            <w:shd w:val="clear" w:color="auto" w:fill="FFFFFF"/>
            <w:vAlign w:val="center"/>
          </w:tcPr>
          <w:p>
            <w:pPr>
              <w:widowControl/>
              <w:jc w:val="righ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公开0</w:t>
            </w:r>
            <w:r>
              <w:rPr>
                <w:rStyle w:val="19"/>
              </w:rPr>
              <w:t>5表</w:t>
            </w:r>
          </w:p>
        </w:tc>
      </w:tr>
      <w:tr>
        <w:trPr>
          <w:trHeight w:hRule="exact" w:val="283"/>
        </w:trPr>
        <w:tc>
          <w:tcPr>
            <w:tcW w:w="4694" w:type="dxa"/>
            <w:gridSpan w:val="3"/>
            <w:shd w:val="clear" w:color="auto" w:fill="FFFFFF"/>
            <w:vAlign w:val="center"/>
          </w:tcPr>
          <w:p>
            <w:pPr>
              <w:jc w:val="left"/>
              <w:rPr>
                <w:rFonts w:ascii="宋体" w:eastAsia="宋体" w:cs="宋体" w:hAnsi="宋体"/>
                <w:color w:val="000000"/>
                <w:sz w:val="20"/>
                <w:szCs w:val="20"/>
              </w:rPr>
            </w:pPr>
            <w:r>
              <w:rPr>
                <w:rFonts w:ascii="宋体" w:eastAsia="宋体" w:cs="宋体" w:hAnsi="宋体" w:hint="eastAsia"/>
                <w:color w:val="000000"/>
                <w:kern w:val="0"/>
                <w:sz w:val="20"/>
                <w:szCs w:val="20"/>
              </w:rPr>
              <w:t>部门：</w:t>
            </w:r>
            <w:r>
              <w:rPr>
                <w:rFonts w:ascii="方正仿宋_GB2312" w:eastAsia="方正仿宋_GB2312" w:cs="方正仿宋_GB2312" w:hAnsi="方正仿宋_GB2312" w:hint="eastAsia"/>
                <w:color w:val="000000"/>
                <w:sz w:val="20"/>
                <w:szCs w:val="20"/>
              </w:rPr>
              <w:t>石家庄市桥西区苑东街道办事处</w:t>
            </w:r>
          </w:p>
        </w:tc>
        <w:tc>
          <w:tcPr>
            <w:tcW w:w="1727" w:type="dxa"/>
            <w:shd w:val="clear" w:color="auto" w:fill="FFFFFF"/>
            <w:vAlign w:val="center"/>
          </w:tcPr>
          <w:p>
            <w:pPr>
              <w:jc w:val="center"/>
              <w:rPr>
                <w:rFonts w:ascii="宋体" w:eastAsia="宋体" w:cs="宋体" w:hAnsi="宋体"/>
                <w:color w:val="000000"/>
                <w:sz w:val="20"/>
                <w:szCs w:val="20"/>
              </w:rPr>
            </w:pPr>
            <w:r>
              <w:rPr>
                <w:rFonts w:ascii="宋体" w:eastAsia="宋体" w:cs="宋体" w:hAnsi="宋体" w:hint="eastAsia"/>
                <w:color w:val="000000"/>
                <w:sz w:val="20"/>
                <w:szCs w:val="20"/>
              </w:rPr>
              <w:t>2023年度</w:t>
            </w:r>
          </w:p>
        </w:tc>
        <w:tc>
          <w:tcPr>
            <w:tcW w:w="2186" w:type="dxa"/>
            <w:shd w:val="clear" w:color="auto" w:fill="FFFFFF"/>
            <w:vAlign w:val="center"/>
          </w:tcPr>
          <w:p>
            <w:pPr>
              <w:rPr>
                <w:rFonts w:ascii="宋体" w:eastAsia="宋体" w:cs="宋体" w:hAnsi="宋体"/>
                <w:color w:val="000000"/>
                <w:sz w:val="20"/>
                <w:szCs w:val="20"/>
              </w:rPr>
            </w:pPr>
          </w:p>
        </w:tc>
        <w:tc>
          <w:tcPr>
            <w:tcW w:w="2293" w:type="dxa"/>
            <w:shd w:val="clear" w:color="auto" w:fill="FFFFFF"/>
            <w:vAlign w:val="center"/>
          </w:tcPr>
          <w:p>
            <w:pPr>
              <w:widowControl/>
              <w:jc w:val="righ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单位：万元</w:t>
            </w:r>
          </w:p>
        </w:tc>
      </w:tr>
      <w:tr>
        <w:trPr>
          <w:trHeight w:hRule="exact" w:val="323"/>
        </w:trPr>
        <w:tc>
          <w:tcPr>
            <w:tcW w:w="4694"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 xml:space="preserve">项 </w:t>
            </w:r>
            <w:r>
              <w:rPr>
                <w:rStyle w:val="21"/>
              </w:rPr>
              <w:t>目</w:t>
            </w:r>
          </w:p>
        </w:tc>
        <w:tc>
          <w:tcPr>
            <w:tcW w:w="6206"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本年支出</w:t>
            </w:r>
          </w:p>
        </w:tc>
      </w:tr>
      <w:tr>
        <w:trPr>
          <w:trHeight w:hRule="exact" w:val="312"/>
        </w:trPr>
        <w:tc>
          <w:tcPr>
            <w:tcW w:w="842"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hint="eastAsia"/>
                <w:color w:val="000000"/>
                <w:kern w:val="0"/>
                <w:sz w:val="24"/>
                <w:szCs w:val="24"/>
              </w:rPr>
            </w:pPr>
            <w:r>
              <w:rPr>
                <w:rFonts w:ascii="宋体" w:eastAsia="宋体" w:cs="宋体" w:hAnsi="宋体" w:hint="eastAsia"/>
                <w:color w:val="000000"/>
                <w:kern w:val="0"/>
                <w:sz w:val="24"/>
                <w:szCs w:val="24"/>
              </w:rPr>
              <w:t>科目</w:t>
            </w:r>
          </w:p>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代码</w:t>
            </w:r>
          </w:p>
        </w:tc>
        <w:tc>
          <w:tcPr>
            <w:tcW w:w="385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hint="eastAsia"/>
                <w:color w:val="000000"/>
                <w:kern w:val="0"/>
                <w:sz w:val="24"/>
                <w:szCs w:val="24"/>
              </w:rPr>
            </w:pPr>
            <w:r>
              <w:rPr>
                <w:rFonts w:ascii="宋体" w:eastAsia="宋体" w:cs="宋体" w:hAnsi="宋体" w:hint="eastAsia"/>
                <w:color w:val="000000"/>
                <w:kern w:val="0"/>
                <w:sz w:val="24"/>
                <w:szCs w:val="24"/>
              </w:rPr>
              <w:t>科目</w:t>
            </w:r>
          </w:p>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名称</w:t>
            </w:r>
          </w:p>
        </w:tc>
        <w:tc>
          <w:tcPr>
            <w:tcW w:w="172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小计</w:t>
            </w:r>
          </w:p>
        </w:tc>
        <w:tc>
          <w:tcPr>
            <w:tcW w:w="218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 xml:space="preserve">基本支出  </w:t>
            </w:r>
          </w:p>
        </w:tc>
        <w:tc>
          <w:tcPr>
            <w:tcW w:w="229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项目支出</w:t>
            </w:r>
          </w:p>
        </w:tc>
      </w:tr>
      <w:tr>
        <w:trPr>
          <w:trHeight w:hRule="exact" w:val="312"/>
        </w:trPr>
        <w:tc>
          <w:tcPr>
            <w:tcW w:w="842"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385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72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218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229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r>
      <w:tr>
        <w:trPr>
          <w:trHeight w:hRule="exact" w:val="312"/>
        </w:trPr>
        <w:tc>
          <w:tcPr>
            <w:tcW w:w="842"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385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72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218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229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r>
      <w:tr>
        <w:trPr>
          <w:trHeight w:hRule="exact" w:val="283"/>
        </w:trPr>
        <w:tc>
          <w:tcPr>
            <w:tcW w:w="4694"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栏次</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1</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2</w:t>
            </w: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3</w:t>
            </w:r>
          </w:p>
        </w:tc>
      </w:tr>
      <w:tr>
        <w:trPr>
          <w:trHeight w:hRule="exact" w:val="283"/>
        </w:trPr>
        <w:tc>
          <w:tcPr>
            <w:tcW w:w="4694"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spacing w:beforeAutospacing="0" w:afterAutospacing="0" w:line="280" w:lineRule="exact"/>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合计</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spacing w:beforeAutospacing="0" w:afterAutospacing="0" w:line="280" w:lineRule="exact"/>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2,717.49</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spacing w:beforeAutospacing="0" w:afterAutospacing="0" w:line="280" w:lineRule="exact"/>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1,960.67</w:t>
            </w: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spacing w:beforeAutospacing="0" w:afterAutospacing="0" w:line="280" w:lineRule="exact"/>
              <w:jc w:val="right"/>
              <w:rPr>
                <w:rFonts w:ascii="Times New Roman" w:eastAsia="宋体" w:cs="Times New Roman" w:hAnsi="Times New Roman"/>
                <w:color w:val="000000"/>
                <w:kern w:val="2"/>
                <w:sz w:val="20"/>
                <w:szCs w:val="20"/>
                <w:lang w:val="en-US" w:eastAsia="zh-CN" w:bidi="ar-SA"/>
              </w:rPr>
            </w:pPr>
            <w:r>
              <w:rPr>
                <w:rFonts w:ascii="Times New Roman" w:cs="Times New Roman" w:hAnsi="Times New Roman"/>
                <w:sz w:val="20"/>
                <w:szCs w:val="20"/>
              </w:rPr>
              <w:t>756.82</w:t>
            </w: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201</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一般公共服务支出</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2,343.92</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1,602.89</w:t>
            </w: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741.02</w:t>
            </w: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20103</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政府办公厅（室）及相关机构事务</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1,616.42</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1,401.53</w:t>
            </w: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214.90</w:t>
            </w: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2010301</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行政运行</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1,440.20</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1,401.53</w:t>
            </w: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38.67</w:t>
            </w: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2010308</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信访事务</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8.00</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8.00</w:t>
            </w: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2010399</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其他政府办公厅（室）及相关机构事务支出</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168.22</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168.22</w:t>
            </w: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20105</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统计信息事务</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2.62</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2.62</w:t>
            </w: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2010507</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专项普查活动</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2.62</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2.62</w:t>
            </w: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20132</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组织事务</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711.88</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201.37</w:t>
            </w: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510.51</w:t>
            </w: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2013299</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其他组织事务支出</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711.88</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201.37</w:t>
            </w: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510.51</w:t>
            </w: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20199</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其他一般公共服务支出</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13.00</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13.00</w:t>
            </w: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2019999</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其他一般公共服务支出</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13.00</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13.00</w:t>
            </w: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205</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教育支出</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4.65</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4.65</w:t>
            </w: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20504</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成人教育</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4.65</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4.65</w:t>
            </w: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2050499</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其他成人教育支出</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4.65</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4.65</w:t>
            </w: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207</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文化旅游体育与传媒支出</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1.50</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1.50</w:t>
            </w: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20799</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其他文化旅游体育与传媒支出</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1.50</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1.50</w:t>
            </w: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2079999</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其他文化旅游体育与传媒支出</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1.50</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1.50</w:t>
            </w: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208</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社会保障和就业支出</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164.21</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164.21</w:t>
            </w: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20805</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行政事业单位养老支出</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164.21</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164.21</w:t>
            </w: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2080505</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机关事业单位基本养老保险缴费支出</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164.21</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164.21</w:t>
            </w: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210</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卫生健康支出</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121.73</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114.81</w:t>
            </w: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6.92</w:t>
            </w: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21004</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公共卫生</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6.92</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6.92</w:t>
            </w: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2100410</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突发公共卫生事件应急处理</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6.92</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6.92</w:t>
            </w: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21007</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计划生育事务</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0.43</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0.43</w:t>
            </w: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2100717</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计划生育服务</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0.43</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0.43</w:t>
            </w: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21011</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行政事业单位医疗</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114.37</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114.37</w:t>
            </w: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2101101</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行政单位医疗</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83.41</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83.41</w:t>
            </w: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2101102</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事业单位医疗</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30.96</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30.96</w:t>
            </w: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212</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城乡社区支出</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2.73</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2.73</w:t>
            </w: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21201</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城乡社区管理事务</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2.73</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2.73</w:t>
            </w: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2120199</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其他城乡社区管理事务支出</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2.73</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2.73</w:t>
            </w: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221</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住房保障支出</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78.76</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78.76</w:t>
            </w: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22102</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住房改革支出</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78.76</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78.76</w:t>
            </w: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hRule="exact" w:val="283"/>
        </w:trPr>
        <w:tc>
          <w:tcPr>
            <w:tcW w:w="84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2210201</w:t>
            </w:r>
          </w:p>
        </w:tc>
        <w:tc>
          <w:tcPr>
            <w:tcW w:w="3852"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住房公积金</w:t>
            </w:r>
          </w:p>
        </w:tc>
        <w:tc>
          <w:tcPr>
            <w:tcW w:w="172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78.76</w:t>
            </w:r>
          </w:p>
        </w:tc>
        <w:tc>
          <w:tcPr>
            <w:tcW w:w="218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78.76</w:t>
            </w:r>
          </w:p>
        </w:tc>
        <w:tc>
          <w:tcPr>
            <w:tcW w:w="229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hRule="exact" w:val="283"/>
        </w:trPr>
        <w:tc>
          <w:tcPr>
            <w:tcW w:w="10900" w:type="dxa"/>
            <w:gridSpan w:val="6"/>
            <w:shd w:val="clear" w:color="auto" w:fill="auto"/>
            <w:vAlign w:val="center"/>
          </w:tcPr>
          <w:p>
            <w:pPr>
              <w:widowControl/>
              <w:spacing w:beforeAutospacing="0" w:afterAutospacing="0" w:line="280" w:lineRule="exact"/>
              <w:jc w:val="left"/>
              <w:textAlignment w:val="center"/>
              <w:rPr>
                <w:rFonts w:ascii="宋体" w:eastAsia="宋体" w:cs="宋体" w:hAnsi="宋体"/>
                <w:color w:val="000000"/>
                <w:sz w:val="24"/>
              </w:rPr>
            </w:pPr>
            <w:r>
              <w:rPr>
                <w:rFonts w:ascii="宋体" w:eastAsia="宋体" w:cs="宋体" w:hAnsi="宋体" w:hint="eastAsia"/>
                <w:color w:val="000000"/>
                <w:kern w:val="0"/>
                <w:sz w:val="24"/>
                <w:szCs w:val="24"/>
              </w:rPr>
              <w:t>注：本表反映部门本年度一般公共预算财政拨款支出情况。</w:t>
            </w:r>
          </w:p>
        </w:tc>
      </w:tr>
    </w:tbl>
    <w:p>
      <w:pPr>
        <w:sectPr>
          <w:pgSz w:w="11906" w:h="16838"/>
          <w:pgMar w:top="1474" w:right="1474" w:bottom="1474" w:left="1474" w:header="851" w:footer="992" w:gutter="0"/>
          <w:pgBorders>
            <w:top w:val="none" w:sz="0" w:space="0" w:color="auto"/>
            <w:left w:val="none" w:sz="0" w:space="0" w:color="auto"/>
            <w:bottom w:val="none" w:sz="0" w:space="0" w:color="auto"/>
            <w:right w:val="none" w:sz="0" w:space="0" w:color="auto"/>
          </w:pgBorders>
          <w:cols w:num="1" w:space="0"/>
          <w:docGrid w:type="lines" w:linePitch="312" w:charSpace="0"/>
        </w:sectPr>
      </w:pPr>
    </w:p>
    <w:tbl>
      <w:tblPr>
        <w:jc w:val="center"/>
        <w:tblW w:w="10776" w:type="dxa"/>
        <w:tblBorders>
          <w:top w:val="none" w:sz="0" w:space="0" w:color="auto"/>
          <w:left w:val="none" w:sz="0" w:space="0" w:color="auto"/>
          <w:bottom w:val="none" w:sz="0" w:space="0" w:color="auto"/>
          <w:right w:val="none" w:sz="0" w:space="0" w:color="auto"/>
        </w:tblBorders>
        <w:tblLayout w:type="fixed"/>
        <w:tblCellMar>
          <w:top w:w="15" w:type="dxa"/>
          <w:left w:w="15" w:type="dxa"/>
          <w:bottom w:w="15" w:type="dxa"/>
          <w:right w:w="15" w:type="dxa"/>
        </w:tblCellMar>
        <w:tblLook w:val="0600" w:firstRow="0" w:lastRow="0" w:firstColumn="0" w:lastColumn="0" w:noHBand="1" w:noVBand="1"/>
      </w:tblPr>
      <w:tblGrid>
        <w:gridCol w:w="653"/>
        <w:gridCol w:w="2147"/>
        <w:gridCol w:w="866"/>
        <w:gridCol w:w="582"/>
        <w:gridCol w:w="1650"/>
        <w:gridCol w:w="630"/>
        <w:gridCol w:w="640"/>
        <w:gridCol w:w="2948"/>
        <w:gridCol w:w="659"/>
      </w:tblGrid>
      <w:tr>
        <w:trPr>
          <w:trHeight w:val="619"/>
        </w:trPr>
        <w:tc>
          <w:tcPr>
            <w:tcW w:w="10776" w:type="dxa"/>
            <w:gridSpan w:val="9"/>
            <w:shd w:val="clear" w:color="auto" w:fill="FFFFFF"/>
            <w:vAlign w:val="center"/>
          </w:tcPr>
          <w:p>
            <w:pPr>
              <w:widowControl/>
              <w:tabs>
                <w:tab w:val="left" w:pos="3809"/>
              </w:tabs>
              <w:jc w:val="center"/>
              <w:textAlignment w:val="center"/>
              <w:rPr>
                <w:rFonts w:ascii="宋体" w:eastAsia="宋体" w:cs="宋体" w:hAnsi="宋体"/>
                <w:color w:val="000000"/>
                <w:kern w:val="0"/>
                <w:sz w:val="20"/>
                <w:szCs w:val="20"/>
              </w:rPr>
            </w:pPr>
            <w:r>
              <w:rPr>
                <w:rFonts w:ascii="华文中宋" w:eastAsia="华文中宋" w:cs="华文中宋" w:hAnsi="华文中宋" w:hint="eastAsia"/>
                <w:b/>
                <w:bCs/>
                <w:color w:val="000000"/>
                <w:kern w:val="0"/>
                <w:sz w:val="32"/>
                <w:szCs w:val="32"/>
              </w:rPr>
              <w:t>一般公共预算财政拨款基本支出决算</w:t>
            </w:r>
            <w:r>
              <w:rPr>
                <w:rStyle w:val="22"/>
                <w:b/>
                <w:bCs/>
              </w:rPr>
              <w:t>明细</w:t>
            </w:r>
            <w:r>
              <w:rPr>
                <w:rStyle w:val="23"/>
                <w:b/>
                <w:bCs/>
              </w:rPr>
              <w:t>表</w:t>
            </w:r>
          </w:p>
        </w:tc>
      </w:tr>
      <w:tr>
        <w:trPr>
          <w:trHeight w:val="211"/>
        </w:trPr>
        <w:tc>
          <w:tcPr>
            <w:tcW w:w="653" w:type="dxa"/>
            <w:shd w:val="clear" w:color="auto" w:fill="FFFFFF"/>
            <w:vAlign w:val="center"/>
          </w:tcPr>
          <w:p>
            <w:pPr>
              <w:jc w:val="center"/>
              <w:rPr>
                <w:rFonts w:ascii="宋体" w:eastAsia="宋体" w:cs="宋体" w:hAnsi="宋体"/>
                <w:color w:val="000000"/>
                <w:sz w:val="20"/>
                <w:szCs w:val="20"/>
              </w:rPr>
            </w:pPr>
          </w:p>
        </w:tc>
        <w:tc>
          <w:tcPr>
            <w:tcW w:w="2147" w:type="dxa"/>
            <w:shd w:val="clear" w:color="auto" w:fill="FFFFFF"/>
            <w:vAlign w:val="center"/>
          </w:tcPr>
          <w:p>
            <w:pPr>
              <w:jc w:val="center"/>
              <w:rPr>
                <w:rFonts w:ascii="宋体" w:eastAsia="宋体" w:cs="宋体" w:hAnsi="宋体"/>
                <w:color w:val="000000"/>
                <w:sz w:val="20"/>
                <w:szCs w:val="20"/>
              </w:rPr>
            </w:pPr>
          </w:p>
        </w:tc>
        <w:tc>
          <w:tcPr>
            <w:tcW w:w="866" w:type="dxa"/>
            <w:shd w:val="clear" w:color="auto" w:fill="FFFFFF"/>
            <w:vAlign w:val="center"/>
          </w:tcPr>
          <w:p>
            <w:pPr>
              <w:jc w:val="center"/>
              <w:rPr>
                <w:rFonts w:ascii="宋体" w:eastAsia="宋体" w:cs="宋体" w:hAnsi="宋体"/>
                <w:color w:val="000000"/>
                <w:sz w:val="20"/>
                <w:szCs w:val="20"/>
              </w:rPr>
            </w:pPr>
          </w:p>
        </w:tc>
        <w:tc>
          <w:tcPr>
            <w:tcW w:w="582" w:type="dxa"/>
            <w:shd w:val="clear" w:color="auto" w:fill="FFFFFF"/>
            <w:vAlign w:val="center"/>
          </w:tcPr>
          <w:p>
            <w:pPr>
              <w:rPr>
                <w:rFonts w:ascii="宋体" w:eastAsia="宋体" w:cs="宋体" w:hAnsi="宋体"/>
                <w:color w:val="000000"/>
                <w:sz w:val="20"/>
                <w:szCs w:val="20"/>
              </w:rPr>
            </w:pPr>
          </w:p>
        </w:tc>
        <w:tc>
          <w:tcPr>
            <w:tcW w:w="1650" w:type="dxa"/>
            <w:shd w:val="clear" w:color="auto" w:fill="FFFFFF"/>
            <w:vAlign w:val="center"/>
          </w:tcPr>
          <w:p>
            <w:pPr>
              <w:rPr>
                <w:rFonts w:ascii="宋体" w:eastAsia="宋体" w:cs="宋体" w:hAnsi="宋体"/>
                <w:color w:val="000000"/>
                <w:sz w:val="20"/>
                <w:szCs w:val="20"/>
              </w:rPr>
            </w:pPr>
          </w:p>
        </w:tc>
        <w:tc>
          <w:tcPr>
            <w:tcW w:w="630" w:type="dxa"/>
            <w:shd w:val="clear" w:color="auto" w:fill="FFFFFF"/>
            <w:vAlign w:val="center"/>
          </w:tcPr>
          <w:p>
            <w:pPr>
              <w:rPr>
                <w:rFonts w:ascii="宋体" w:eastAsia="宋体" w:cs="宋体" w:hAnsi="宋体"/>
                <w:color w:val="000000"/>
                <w:sz w:val="20"/>
                <w:szCs w:val="20"/>
              </w:rPr>
            </w:pPr>
          </w:p>
        </w:tc>
        <w:tc>
          <w:tcPr>
            <w:tcW w:w="640" w:type="dxa"/>
            <w:shd w:val="clear" w:color="auto" w:fill="FFFFFF"/>
            <w:vAlign w:val="center"/>
          </w:tcPr>
          <w:p>
            <w:pPr>
              <w:rPr>
                <w:rFonts w:ascii="宋体" w:eastAsia="宋体" w:cs="宋体" w:hAnsi="宋体"/>
                <w:color w:val="000000"/>
                <w:sz w:val="20"/>
                <w:szCs w:val="20"/>
              </w:rPr>
            </w:pPr>
          </w:p>
        </w:tc>
        <w:tc>
          <w:tcPr>
            <w:tcW w:w="3608" w:type="dxa"/>
            <w:gridSpan w:val="2"/>
            <w:shd w:val="clear" w:color="auto" w:fill="FFFFFF"/>
            <w:vAlign w:val="center"/>
          </w:tcPr>
          <w:p>
            <w:pPr>
              <w:widowControl/>
              <w:jc w:val="righ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公开06表</w:t>
            </w:r>
          </w:p>
        </w:tc>
      </w:tr>
      <w:tr>
        <w:trPr>
          <w:trHeight w:val="266"/>
        </w:trPr>
        <w:tc>
          <w:tcPr>
            <w:tcW w:w="4249" w:type="dxa"/>
            <w:gridSpan w:val="4"/>
            <w:shd w:val="clear" w:color="auto" w:fill="auto"/>
            <w:vAlign w:val="center"/>
          </w:tcPr>
          <w:p>
            <w:pPr>
              <w:rPr>
                <w:rFonts w:ascii="宋体" w:eastAsia="宋体" w:cs="宋体" w:hAnsi="宋体"/>
                <w:color w:val="000000"/>
                <w:sz w:val="20"/>
                <w:szCs w:val="20"/>
              </w:rPr>
            </w:pPr>
            <w:r>
              <w:rPr>
                <w:rFonts w:ascii="宋体" w:eastAsia="宋体" w:cs="宋体" w:hAnsi="宋体" w:hint="eastAsia"/>
                <w:color w:val="000000"/>
                <w:kern w:val="0"/>
                <w:sz w:val="20"/>
                <w:szCs w:val="20"/>
              </w:rPr>
              <w:t>部门：</w:t>
            </w:r>
            <w:r>
              <w:rPr>
                <w:rFonts w:ascii="方正仿宋_GB2312" w:eastAsia="方正仿宋_GB2312" w:cs="方正仿宋_GB2312" w:hAnsi="方正仿宋_GB2312" w:hint="eastAsia"/>
                <w:color w:val="000000"/>
                <w:sz w:val="18"/>
                <w:szCs w:val="18"/>
              </w:rPr>
              <w:t xml:space="preserve">石家庄市桥西区苑东街道办事处 </w:t>
            </w:r>
          </w:p>
        </w:tc>
        <w:tc>
          <w:tcPr>
            <w:tcW w:w="1650" w:type="dxa"/>
            <w:shd w:val="clear" w:color="auto" w:fill="auto"/>
            <w:vAlign w:val="center"/>
          </w:tcPr>
          <w:p>
            <w:pPr>
              <w:ind w:firstLineChars="300" w:firstLine="600"/>
              <w:rPr>
                <w:rFonts w:ascii="宋体" w:eastAsia="宋体" w:cs="宋体" w:hAnsi="宋体"/>
                <w:color w:val="000000"/>
                <w:sz w:val="20"/>
                <w:szCs w:val="20"/>
              </w:rPr>
            </w:pPr>
            <w:r>
              <w:rPr>
                <w:rFonts w:ascii="宋体" w:eastAsia="宋体" w:cs="宋体" w:hAnsi="宋体" w:hint="eastAsia"/>
                <w:color w:val="000000"/>
                <w:sz w:val="20"/>
                <w:szCs w:val="20"/>
              </w:rPr>
              <w:t>2023年度</w:t>
            </w:r>
          </w:p>
        </w:tc>
        <w:tc>
          <w:tcPr>
            <w:tcW w:w="630" w:type="dxa"/>
            <w:shd w:val="clear" w:color="auto" w:fill="auto"/>
            <w:vAlign w:val="center"/>
          </w:tcPr>
          <w:p>
            <w:pPr>
              <w:rPr>
                <w:rFonts w:ascii="宋体" w:eastAsia="宋体" w:cs="宋体" w:hAnsi="宋体"/>
                <w:color w:val="000000"/>
                <w:sz w:val="20"/>
                <w:szCs w:val="20"/>
              </w:rPr>
            </w:pPr>
          </w:p>
        </w:tc>
        <w:tc>
          <w:tcPr>
            <w:tcW w:w="640" w:type="dxa"/>
            <w:shd w:val="clear" w:color="auto" w:fill="auto"/>
            <w:vAlign w:val="center"/>
          </w:tcPr>
          <w:p>
            <w:pPr>
              <w:rPr>
                <w:rFonts w:ascii="宋体" w:eastAsia="宋体" w:cs="宋体" w:hAnsi="宋体"/>
                <w:color w:val="000000"/>
                <w:sz w:val="20"/>
                <w:szCs w:val="20"/>
              </w:rPr>
            </w:pPr>
          </w:p>
        </w:tc>
        <w:tc>
          <w:tcPr>
            <w:tcW w:w="3608" w:type="dxa"/>
            <w:gridSpan w:val="2"/>
            <w:shd w:val="clear" w:color="auto" w:fill="auto"/>
            <w:vAlign w:val="center"/>
          </w:tcPr>
          <w:p>
            <w:pPr>
              <w:widowControl/>
              <w:jc w:val="righ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单位：万元</w:t>
            </w:r>
          </w:p>
        </w:tc>
      </w:tr>
      <w:tr>
        <w:trPr>
          <w:trHeight w:val="629"/>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hint="eastAsia"/>
                <w:color w:val="000000"/>
                <w:kern w:val="0"/>
                <w:sz w:val="20"/>
                <w:szCs w:val="20"/>
              </w:rPr>
            </w:pPr>
            <w:r>
              <w:rPr>
                <w:rFonts w:ascii="宋体" w:eastAsia="宋体" w:cs="宋体" w:hAnsi="宋体" w:hint="eastAsia"/>
                <w:color w:val="000000"/>
                <w:kern w:val="0"/>
                <w:sz w:val="20"/>
                <w:szCs w:val="20"/>
              </w:rPr>
              <w:t>科目</w:t>
            </w:r>
          </w:p>
          <w:p>
            <w:pPr>
              <w:widowControl/>
              <w:jc w:val="center"/>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代码</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科目名称</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决算数</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hint="eastAsia"/>
                <w:color w:val="000000"/>
                <w:kern w:val="0"/>
                <w:sz w:val="20"/>
                <w:szCs w:val="20"/>
              </w:rPr>
            </w:pPr>
            <w:r>
              <w:rPr>
                <w:rFonts w:ascii="宋体" w:eastAsia="宋体" w:cs="宋体" w:hAnsi="宋体" w:hint="eastAsia"/>
                <w:color w:val="000000"/>
                <w:kern w:val="0"/>
                <w:sz w:val="20"/>
                <w:szCs w:val="20"/>
              </w:rPr>
              <w:t>科目</w:t>
            </w:r>
          </w:p>
          <w:p>
            <w:pPr>
              <w:widowControl/>
              <w:jc w:val="center"/>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代码</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科目名称</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决算数</w:t>
            </w: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科目代码</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科目名称</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决算数</w:t>
            </w:r>
          </w:p>
        </w:tc>
      </w:tr>
      <w:tr>
        <w:trPr>
          <w:trHeight w:val="333"/>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301</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工资福利支出</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kern w:val="2"/>
                <w:sz w:val="18"/>
                <w:szCs w:val="18"/>
                <w:lang w:val="en-US" w:eastAsia="zh-CN" w:bidi="ar-SA"/>
              </w:rPr>
            </w:pPr>
            <w:r>
              <w:rPr>
                <w:rFonts w:ascii="Times New Roman" w:cs="Times New Roman" w:hAnsi="Times New Roman" w:hint="eastAsia"/>
                <w:sz w:val="18"/>
                <w:szCs w:val="18"/>
              </w:rPr>
              <w:t>1,596.80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302</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商品和服务支出</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kern w:val="2"/>
                <w:sz w:val="18"/>
                <w:szCs w:val="18"/>
                <w:lang w:val="en-US" w:eastAsia="zh-CN" w:bidi="ar-SA"/>
              </w:rPr>
            </w:pPr>
            <w:r>
              <w:rPr>
                <w:rFonts w:ascii="Times New Roman" w:cs="Times New Roman" w:hAnsi="Times New Roman" w:hint="eastAsia"/>
                <w:sz w:val="18"/>
                <w:szCs w:val="18"/>
              </w:rPr>
              <w:t>82.18</w:t>
            </w: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30299</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16"/>
                <w:szCs w:val="16"/>
              </w:rPr>
              <w:t xml:space="preserve"> 其他商品和服务支出</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r>
              <w:rPr>
                <w:rFonts w:ascii="Times New Roman" w:cs="Times New Roman" w:hAnsi="Times New Roman"/>
                <w:sz w:val="18"/>
                <w:szCs w:val="18"/>
              </w:rPr>
              <w:t>4.53</w:t>
            </w:r>
          </w:p>
        </w:tc>
      </w:tr>
      <w:tr>
        <w:trPr>
          <w:trHeight w:val="333"/>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30101</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基本工资</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kern w:val="2"/>
                <w:sz w:val="18"/>
                <w:szCs w:val="18"/>
                <w:lang w:val="en-US" w:eastAsia="zh-CN" w:bidi="ar-SA"/>
              </w:rPr>
            </w:pPr>
            <w:r>
              <w:rPr>
                <w:rFonts w:ascii="Times New Roman" w:cs="Times New Roman" w:hAnsi="Times New Roman" w:hint="eastAsia"/>
                <w:sz w:val="18"/>
                <w:szCs w:val="18"/>
              </w:rPr>
              <w:t>363.27</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30201</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办公费</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kern w:val="2"/>
                <w:sz w:val="18"/>
                <w:szCs w:val="18"/>
                <w:lang w:val="en-US" w:eastAsia="zh-CN" w:bidi="ar-SA"/>
              </w:rPr>
            </w:pPr>
            <w:r>
              <w:rPr>
                <w:rFonts w:ascii="Times New Roman" w:cs="Times New Roman" w:hAnsi="Times New Roman" w:hint="eastAsia"/>
                <w:sz w:val="18"/>
                <w:szCs w:val="18"/>
              </w:rPr>
              <w:t>19.64</w:t>
            </w: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307</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债务利息及费用支出</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r>
      <w:tr>
        <w:trPr>
          <w:trHeight w:val="333"/>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30102</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津贴补贴</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kern w:val="2"/>
                <w:sz w:val="18"/>
                <w:szCs w:val="18"/>
                <w:lang w:val="en-US" w:eastAsia="zh-CN" w:bidi="ar-SA"/>
              </w:rPr>
            </w:pPr>
            <w:r>
              <w:rPr>
                <w:rFonts w:ascii="Times New Roman" w:cs="Times New Roman" w:hAnsi="Times New Roman" w:hint="eastAsia"/>
                <w:sz w:val="18"/>
                <w:szCs w:val="18"/>
              </w:rPr>
              <w:t>63.50</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30202</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印刷费</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kern w:val="2"/>
                <w:sz w:val="18"/>
                <w:szCs w:val="18"/>
                <w:lang w:val="en-US" w:eastAsia="zh-CN" w:bidi="ar-SA"/>
              </w:rPr>
            </w:pPr>
            <w:r>
              <w:rPr>
                <w:rFonts w:ascii="Times New Roman" w:cs="Times New Roman" w:hAnsi="Times New Roman" w:hint="eastAsia"/>
                <w:sz w:val="18"/>
                <w:szCs w:val="18"/>
              </w:rPr>
              <w:t>1.20</w:t>
            </w: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30701</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 xml:space="preserve">  国内债务付息</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r>
      <w:tr>
        <w:trPr>
          <w:trHeight w:val="333"/>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30103</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奖金</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kern w:val="2"/>
                <w:sz w:val="18"/>
                <w:szCs w:val="18"/>
                <w:lang w:val="en-US" w:eastAsia="zh-CN" w:bidi="ar-SA"/>
              </w:rPr>
            </w:pPr>
            <w:r>
              <w:rPr>
                <w:rFonts w:ascii="Times New Roman" w:cs="Times New Roman" w:hAnsi="Times New Roman" w:hint="eastAsia"/>
                <w:sz w:val="18"/>
                <w:szCs w:val="18"/>
              </w:rPr>
              <w:t>53.13</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30203</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咨询费</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kern w:val="2"/>
                <w:sz w:val="18"/>
                <w:szCs w:val="18"/>
                <w:lang w:val="en-US" w:eastAsia="zh-CN" w:bidi="ar-SA"/>
              </w:rPr>
            </w:pP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30702</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 xml:space="preserve">  国外债务付息</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r>
      <w:tr>
        <w:trPr>
          <w:trHeight w:val="333"/>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30106</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伙食补助费</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kern w:val="2"/>
                <w:sz w:val="18"/>
                <w:szCs w:val="18"/>
                <w:lang w:val="en-US" w:eastAsia="zh-CN" w:bidi="ar-SA"/>
              </w:rPr>
            </w:pP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30204</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手续费</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kern w:val="2"/>
                <w:sz w:val="18"/>
                <w:szCs w:val="18"/>
                <w:lang w:val="en-US" w:eastAsia="zh-CN" w:bidi="ar-SA"/>
              </w:rPr>
            </w:pP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310</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资本性支出</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r>
      <w:tr>
        <w:trPr>
          <w:trHeight w:val="333"/>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30107</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绩效工资</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kern w:val="2"/>
                <w:sz w:val="18"/>
                <w:szCs w:val="18"/>
                <w:lang w:val="en-US" w:eastAsia="zh-CN" w:bidi="ar-SA"/>
              </w:rPr>
            </w:pPr>
            <w:r>
              <w:rPr>
                <w:rFonts w:ascii="Times New Roman" w:cs="Times New Roman" w:hAnsi="Times New Roman" w:hint="eastAsia"/>
                <w:sz w:val="18"/>
                <w:szCs w:val="18"/>
              </w:rPr>
              <w:t>753.89</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30205</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水费</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kern w:val="2"/>
                <w:sz w:val="18"/>
                <w:szCs w:val="18"/>
                <w:lang w:val="en-US" w:eastAsia="zh-CN" w:bidi="ar-SA"/>
              </w:rPr>
            </w:pP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31001</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 xml:space="preserve">  房屋建筑物购建</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r>
      <w:tr>
        <w:trPr>
          <w:trHeight w:val="294"/>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30108</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15"/>
                <w:szCs w:val="15"/>
              </w:rPr>
              <w:t>机关事业单位基本养老保险缴费</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kern w:val="2"/>
                <w:sz w:val="18"/>
                <w:szCs w:val="18"/>
                <w:lang w:val="en-US" w:eastAsia="zh-CN" w:bidi="ar-SA"/>
              </w:rPr>
            </w:pPr>
            <w:r>
              <w:rPr>
                <w:rFonts w:ascii="Times New Roman" w:cs="Times New Roman" w:hAnsi="Times New Roman" w:hint="eastAsia"/>
                <w:sz w:val="18"/>
                <w:szCs w:val="18"/>
              </w:rPr>
              <w:t>164.21</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30206</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电费</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kern w:val="2"/>
                <w:sz w:val="18"/>
                <w:szCs w:val="18"/>
                <w:lang w:val="en-US" w:eastAsia="zh-CN" w:bidi="ar-SA"/>
              </w:rPr>
            </w:pP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31002</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 xml:space="preserve">  办公设备购置</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r>
      <w:tr>
        <w:trPr>
          <w:trHeight w:val="333"/>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30109</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职业年金缴费</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kern w:val="2"/>
                <w:sz w:val="18"/>
                <w:szCs w:val="18"/>
                <w:lang w:val="en-US" w:eastAsia="zh-CN" w:bidi="ar-SA"/>
              </w:rPr>
            </w:pP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30207</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邮电费</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kern w:val="2"/>
                <w:sz w:val="18"/>
                <w:szCs w:val="18"/>
                <w:lang w:val="en-US" w:eastAsia="zh-CN" w:bidi="ar-SA"/>
              </w:rPr>
            </w:pPr>
            <w:r>
              <w:rPr>
                <w:rFonts w:ascii="Times New Roman" w:cs="Times New Roman" w:hAnsi="Times New Roman" w:hint="eastAsia"/>
                <w:sz w:val="18"/>
                <w:szCs w:val="18"/>
              </w:rPr>
              <w:t>27.45</w:t>
            </w: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31003</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 xml:space="preserve">  专用设备购置</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r>
      <w:tr>
        <w:trPr>
          <w:trHeight w:val="333"/>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30110</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cs="宋体" w:hAnsi="宋体" w:hint="eastAsia"/>
                <w:color w:val="000000"/>
                <w:kern w:val="0"/>
                <w:sz w:val="15"/>
                <w:szCs w:val="15"/>
              </w:rPr>
              <w:t xml:space="preserve">  职工基本医疗保险缴费</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r>
              <w:rPr>
                <w:rFonts w:ascii="Times New Roman" w:cs="Times New Roman" w:hAnsi="Times New Roman"/>
                <w:sz w:val="18"/>
                <w:szCs w:val="18"/>
              </w:rPr>
              <w:t>114.37</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30208</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取暖费</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31005</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 xml:space="preserve">  基础设施建设</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r>
      <w:tr>
        <w:trPr>
          <w:trHeight w:val="333"/>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30111</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公务员医疗补助缴费</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30209</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物业管理费</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31006</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 xml:space="preserve">  大型修缮</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r>
      <w:tr>
        <w:trPr>
          <w:trHeight w:val="333"/>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30112</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其他社会保障缴费</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r>
              <w:rPr>
                <w:rFonts w:ascii="Times New Roman" w:cs="Times New Roman" w:hAnsi="Times New Roman"/>
                <w:sz w:val="18"/>
                <w:szCs w:val="18"/>
              </w:rPr>
              <w:t>5.24</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30211</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差旅费</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31007</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 xml:space="preserve">  信息网络及软件购置更新</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r>
      <w:tr>
        <w:trPr>
          <w:trHeight w:val="333"/>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30113</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住房公积金</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r>
              <w:rPr>
                <w:rFonts w:ascii="Times New Roman" w:cs="Times New Roman" w:hAnsi="Times New Roman"/>
                <w:sz w:val="18"/>
                <w:szCs w:val="18"/>
              </w:rPr>
              <w:t>78.76</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30212</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16"/>
                <w:szCs w:val="16"/>
              </w:rPr>
              <w:t xml:space="preserve">  因公出国（境）费用</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31008</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 xml:space="preserve">  物资储备</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r>
      <w:tr>
        <w:trPr>
          <w:trHeight w:val="333"/>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30114</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医疗费</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30213</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维修（护）费</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31009</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 xml:space="preserve">  土地补偿</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r>
      <w:tr>
        <w:trPr>
          <w:trHeight w:val="333"/>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30199</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其他工资福利支出</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r>
              <w:rPr>
                <w:rFonts w:ascii="Times New Roman" w:cs="Times New Roman" w:hAnsi="Times New Roman"/>
                <w:sz w:val="18"/>
                <w:szCs w:val="18"/>
              </w:rPr>
              <w:t>0.43</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30214</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租赁费</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31010</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 xml:space="preserve">  安置补助</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r>
      <w:tr>
        <w:trPr>
          <w:trHeight w:val="333"/>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303</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对个人和家庭的补助</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r>
              <w:rPr>
                <w:rFonts w:ascii="Times New Roman" w:cs="Times New Roman" w:hAnsi="Times New Roman"/>
                <w:sz w:val="18"/>
                <w:szCs w:val="18"/>
              </w:rPr>
              <w:t>281.69</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30215</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会议费</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31011</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 xml:space="preserve">  地上附着物和青苗补偿</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r>
      <w:tr>
        <w:trPr>
          <w:trHeight w:val="333"/>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30301</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离休费</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30216</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培训费</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31012</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 xml:space="preserve">  拆迁补偿</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r>
      <w:tr>
        <w:trPr>
          <w:trHeight w:val="333"/>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30302</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退休费</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r>
              <w:rPr>
                <w:rFonts w:ascii="Times New Roman" w:cs="Times New Roman" w:hAnsi="Times New Roman"/>
                <w:sz w:val="18"/>
                <w:szCs w:val="18"/>
              </w:rPr>
              <w:t>80.32</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30217</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公务接待费</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31013</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 xml:space="preserve">  公务用车购置</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r>
      <w:tr>
        <w:trPr>
          <w:trHeight w:val="333"/>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30303</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退职（役）费</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30218</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专用材料费</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31019</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 xml:space="preserve">  其他交通工具购置</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r>
      <w:tr>
        <w:trPr>
          <w:trHeight w:val="333"/>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30304</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抚恤金</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30224</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被装购置费</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31021</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 xml:space="preserve">  文物和陈列品购置</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r>
      <w:tr>
        <w:trPr>
          <w:trHeight w:val="333"/>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30305</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生活补助</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30225</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专用燃料费</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31022</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 xml:space="preserve">  无形资产购置</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r>
      <w:tr>
        <w:trPr>
          <w:trHeight w:val="333"/>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30306</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救济费</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30226</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劳务费</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31099</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 xml:space="preserve">  其他资本性支出</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r>
      <w:tr>
        <w:trPr>
          <w:trHeight w:val="333"/>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30307</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医疗费补助</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30227</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委托业务费</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399</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ind w:leftChars="102" w:left="214"/>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其他支出</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r>
      <w:tr>
        <w:trPr>
          <w:trHeight w:val="347"/>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30308</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助学金</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30228</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工会经费</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r>
              <w:rPr>
                <w:rFonts w:ascii="Times New Roman" w:cs="Times New Roman" w:hAnsi="Times New Roman"/>
                <w:sz w:val="18"/>
                <w:szCs w:val="18"/>
              </w:rPr>
              <w:t>8.22</w:t>
            </w: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39907</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 xml:space="preserve">  国家赔偿费用支出</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r>
      <w:tr>
        <w:trPr>
          <w:trHeight w:val="373"/>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30309</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奖励金</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30229</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福利费</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r>
              <w:rPr>
                <w:rFonts w:ascii="Times New Roman" w:cs="Times New Roman" w:hAnsi="Times New Roman"/>
                <w:sz w:val="18"/>
                <w:szCs w:val="18"/>
              </w:rPr>
              <w:t>6.01</w:t>
            </w: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39908</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 xml:space="preserve">  </w:t>
            </w:r>
            <w:r>
              <w:rPr>
                <w:rFonts w:ascii="宋体" w:eastAsia="宋体" w:cs="宋体" w:hAnsi="宋体" w:hint="eastAsia"/>
                <w:color w:val="000000"/>
                <w:kern w:val="0"/>
                <w:sz w:val="15"/>
                <w:szCs w:val="15"/>
              </w:rPr>
              <w:t>对民间非营利组织和群众性自治组织补贴</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r>
      <w:tr>
        <w:trPr>
          <w:trHeight w:val="333"/>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30310</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个人农业生产补贴</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30231</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16"/>
                <w:szCs w:val="16"/>
              </w:rPr>
              <w:t xml:space="preserve"> 公务用车运行维护费</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r>
              <w:rPr>
                <w:rFonts w:ascii="Times New Roman" w:cs="Times New Roman" w:hAnsi="Times New Roman"/>
                <w:sz w:val="18"/>
                <w:szCs w:val="18"/>
              </w:rPr>
              <w:t>2.00</w:t>
            </w: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39909</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 xml:space="preserve">  经常性赠与</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r>
      <w:tr>
        <w:trPr>
          <w:trHeight w:val="333"/>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30311</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代缴社会保险费</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30239</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 xml:space="preserve">  其他交通费用</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r>
              <w:rPr>
                <w:rFonts w:ascii="Times New Roman" w:cs="Times New Roman" w:hAnsi="Times New Roman"/>
                <w:sz w:val="18"/>
                <w:szCs w:val="18"/>
              </w:rPr>
              <w:t>13.13</w:t>
            </w: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39910</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 xml:space="preserve">  资本性赠与</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r>
      <w:tr>
        <w:trPr>
          <w:trHeight w:val="293"/>
        </w:trPr>
        <w:tc>
          <w:tcPr>
            <w:tcW w:w="65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30399</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ind w:firstLineChars="100" w:firstLine="150"/>
              <w:jc w:val="left"/>
              <w:textAlignment w:val="center"/>
              <w:rPr>
                <w:rFonts w:ascii="宋体" w:eastAsia="宋体" w:cs="宋体" w:hAnsi="宋体"/>
                <w:color w:val="000000"/>
                <w:sz w:val="20"/>
                <w:szCs w:val="20"/>
              </w:rPr>
            </w:pPr>
            <w:r>
              <w:rPr>
                <w:rFonts w:ascii="宋体" w:cs="宋体" w:hAnsi="宋体" w:hint="eastAsia"/>
                <w:color w:val="000000"/>
                <w:kern w:val="0"/>
                <w:sz w:val="15"/>
                <w:szCs w:val="15"/>
              </w:rPr>
              <w:t>其他对个人和家庭的补助</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18"/>
                <w:szCs w:val="18"/>
                <w:lang w:val="en-US" w:eastAsia="zh-CN" w:bidi="ar-SA"/>
              </w:rPr>
            </w:pPr>
            <w:r>
              <w:rPr>
                <w:rFonts w:ascii="Times New Roman" w:cs="Times New Roman" w:hAnsi="Times New Roman"/>
                <w:sz w:val="18"/>
                <w:szCs w:val="18"/>
              </w:rPr>
              <w:t>201.37</w:t>
            </w:r>
          </w:p>
        </w:tc>
        <w:tc>
          <w:tcPr>
            <w:tcW w:w="582"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30240</w:t>
            </w:r>
          </w:p>
        </w:tc>
        <w:tc>
          <w:tcPr>
            <w:tcW w:w="165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cs="宋体" w:hAnsi="宋体" w:hint="eastAsia"/>
                <w:color w:val="000000"/>
                <w:kern w:val="0"/>
                <w:sz w:val="16"/>
                <w:szCs w:val="16"/>
              </w:rPr>
            </w:pPr>
            <w:r>
              <w:rPr>
                <w:rFonts w:ascii="宋体" w:cs="宋体" w:hAnsi="宋体" w:hint="eastAsia"/>
                <w:color w:val="000000"/>
                <w:kern w:val="0"/>
                <w:sz w:val="16"/>
                <w:szCs w:val="16"/>
              </w:rPr>
              <w:t xml:space="preserve">  税金及附加费用</w:t>
            </w:r>
          </w:p>
        </w:tc>
        <w:tc>
          <w:tcPr>
            <w:tcW w:w="63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cs="宋体" w:hAnsi="宋体" w:hint="eastAsia"/>
                <w:color w:val="000000"/>
                <w:kern w:val="0"/>
                <w:sz w:val="16"/>
                <w:szCs w:val="16"/>
                <w:lang w:val="en-US" w:eastAsia="zh-CN" w:bidi="ar-SA"/>
              </w:rPr>
            </w:pPr>
          </w:p>
        </w:tc>
        <w:tc>
          <w:tcPr>
            <w:tcW w:w="6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39999</w:t>
            </w:r>
          </w:p>
        </w:tc>
        <w:tc>
          <w:tcPr>
            <w:tcW w:w="294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left"/>
              <w:textAlignment w:val="center"/>
              <w:rPr>
                <w:rFonts w:ascii="宋体" w:eastAsia="宋体" w:cs="宋体" w:hAnsi="宋体"/>
                <w:color w:val="000000"/>
                <w:kern w:val="2"/>
                <w:sz w:val="20"/>
                <w:szCs w:val="20"/>
                <w:lang w:val="en-US" w:eastAsia="zh-CN" w:bidi="ar-SA"/>
              </w:rPr>
            </w:pPr>
            <w:r>
              <w:rPr>
                <w:rFonts w:ascii="宋体" w:eastAsia="宋体" w:cs="宋体" w:hAnsi="宋体" w:hint="eastAsia"/>
                <w:color w:val="000000"/>
                <w:kern w:val="0"/>
                <w:sz w:val="20"/>
                <w:szCs w:val="20"/>
              </w:rPr>
              <w:t xml:space="preserve">  其他支出</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r>
      <w:tr>
        <w:trPr>
          <w:trHeight w:val="343"/>
        </w:trPr>
        <w:tc>
          <w:tcPr>
            <w:tcW w:w="280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人员经费合计</w:t>
            </w:r>
          </w:p>
        </w:tc>
        <w:tc>
          <w:tcPr>
            <w:tcW w:w="866"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20"/>
                <w:szCs w:val="20"/>
              </w:rPr>
            </w:pPr>
            <w:r>
              <w:rPr>
                <w:rFonts w:ascii="Times New Roman" w:cs="Times New Roman" w:hAnsi="Times New Roman"/>
                <w:sz w:val="18"/>
                <w:szCs w:val="18"/>
              </w:rPr>
              <w:t>1,878.49</w:t>
            </w:r>
          </w:p>
        </w:tc>
        <w:tc>
          <w:tcPr>
            <w:tcW w:w="6451"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公用经费合计</w:t>
            </w:r>
          </w:p>
        </w:tc>
        <w:tc>
          <w:tcPr>
            <w:tcW w:w="65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宋体" w:eastAsia="宋体" w:cs="宋体" w:hAnsi="宋体"/>
                <w:color w:val="000000"/>
                <w:sz w:val="18"/>
                <w:szCs w:val="18"/>
              </w:rPr>
            </w:pPr>
            <w:r>
              <w:rPr>
                <w:rFonts w:ascii="Times New Roman" w:cs="Times New Roman" w:hAnsi="Times New Roman"/>
                <w:sz w:val="18"/>
                <w:szCs w:val="18"/>
              </w:rPr>
              <w:t>82.18</w:t>
            </w:r>
          </w:p>
        </w:tc>
      </w:tr>
    </w:tbl>
    <w:p>
      <w:pPr>
        <w:sectPr>
          <w:pgSz w:w="11906" w:h="16838"/>
          <w:pgMar w:top="1474" w:right="1474" w:bottom="1474" w:left="1474" w:header="851" w:footer="992" w:gutter="0"/>
          <w:pgBorders>
            <w:top w:val="none" w:sz="0" w:space="0" w:color="auto"/>
            <w:left w:val="none" w:sz="0" w:space="0" w:color="auto"/>
            <w:bottom w:val="none" w:sz="0" w:space="0" w:color="auto"/>
            <w:right w:val="none" w:sz="0" w:space="0" w:color="auto"/>
          </w:pgBorders>
          <w:cols w:num="1" w:space="0"/>
          <w:docGrid w:type="lines" w:linePitch="312" w:charSpace="0"/>
        </w:sectPr>
      </w:pPr>
      <w:r>
        <w:rPr>
          <w:rFonts w:ascii="宋体" w:cs="宋体" w:hAnsi="宋体" w:hint="eastAsia"/>
          <w:color w:val="000000"/>
          <w:kern w:val="0"/>
          <w:sz w:val="24"/>
          <w:szCs w:val="24"/>
        </w:rPr>
        <w:t>注：本表反映部门本年度一般公共预算财政拨款基本支出明细情况。</w:t>
      </w:r>
    </w:p>
    <w:tbl>
      <w:tblPr>
        <w:jc w:val="center"/>
        <w:tblW w:w="10350" w:type="dxa"/>
        <w:tblBorders>
          <w:top w:val="none" w:sz="0" w:space="0" w:color="auto"/>
          <w:left w:val="none" w:sz="0" w:space="0" w:color="auto"/>
          <w:bottom w:val="none" w:sz="0" w:space="0" w:color="auto"/>
          <w:right w:val="none" w:sz="0" w:space="0" w:color="auto"/>
        </w:tblBorders>
        <w:tblLayout w:type="fixed"/>
        <w:tblCellMar>
          <w:top w:w="15" w:type="dxa"/>
          <w:left w:w="15" w:type="dxa"/>
          <w:bottom w:w="15" w:type="dxa"/>
          <w:right w:w="15" w:type="dxa"/>
        </w:tblCellMar>
        <w:tblLook w:val="0600" w:firstRow="0" w:lastRow="0" w:firstColumn="0" w:lastColumn="0" w:noHBand="1" w:noVBand="1"/>
      </w:tblPr>
      <w:tblGrid>
        <w:gridCol w:w="555"/>
        <w:gridCol w:w="459"/>
        <w:gridCol w:w="2385"/>
        <w:gridCol w:w="825"/>
        <w:gridCol w:w="1155"/>
        <w:gridCol w:w="870"/>
        <w:gridCol w:w="863"/>
        <w:gridCol w:w="1080"/>
        <w:gridCol w:w="1081"/>
        <w:gridCol w:w="1077"/>
      </w:tblGrid>
      <w:tr>
        <w:trPr>
          <w:trHeight w:val="600"/>
        </w:trPr>
        <w:tc>
          <w:tcPr>
            <w:tcW w:w="10350" w:type="dxa"/>
            <w:gridSpan w:val="10"/>
            <w:shd w:val="clear" w:color="auto" w:fill="FFFFFF"/>
            <w:vAlign w:val="center"/>
          </w:tcPr>
          <w:p>
            <w:pPr>
              <w:widowControl/>
              <w:jc w:val="center"/>
              <w:textAlignment w:val="center"/>
              <w:rPr>
                <w:rFonts w:ascii="华文中宋" w:eastAsia="华文中宋" w:cs="华文中宋" w:hAnsi="华文中宋"/>
                <w:b/>
                <w:bCs/>
                <w:color w:val="000000"/>
                <w:sz w:val="32"/>
                <w:szCs w:val="32"/>
              </w:rPr>
            </w:pPr>
            <w:r>
              <w:rPr>
                <w:rFonts w:ascii="华文中宋" w:eastAsia="华文中宋" w:cs="华文中宋" w:hAnsi="华文中宋" w:hint="eastAsia"/>
                <w:b/>
                <w:bCs/>
                <w:color w:val="000000"/>
                <w:kern w:val="0"/>
                <w:sz w:val="32"/>
                <w:szCs w:val="32"/>
              </w:rPr>
              <w:t>政府性基金预算财政拨款收入支出决算表</w:t>
            </w:r>
          </w:p>
        </w:tc>
      </w:tr>
      <w:tr>
        <w:trPr>
          <w:trHeight w:val="211"/>
        </w:trPr>
        <w:tc>
          <w:tcPr>
            <w:tcW w:w="555" w:type="dxa"/>
            <w:shd w:val="clear" w:color="auto" w:fill="FFFFFF"/>
            <w:vAlign w:val="center"/>
          </w:tcPr>
          <w:p>
            <w:pPr>
              <w:jc w:val="center"/>
              <w:rPr>
                <w:rFonts w:ascii="宋体" w:eastAsia="宋体" w:cs="宋体" w:hAnsi="宋体"/>
                <w:color w:val="000000"/>
                <w:sz w:val="20"/>
                <w:szCs w:val="20"/>
              </w:rPr>
            </w:pPr>
          </w:p>
        </w:tc>
        <w:tc>
          <w:tcPr>
            <w:tcW w:w="459" w:type="dxa"/>
            <w:shd w:val="clear" w:color="auto" w:fill="FFFFFF"/>
            <w:vAlign w:val="center"/>
          </w:tcPr>
          <w:p>
            <w:pPr>
              <w:jc w:val="center"/>
              <w:rPr>
                <w:rFonts w:ascii="宋体" w:eastAsia="宋体" w:cs="宋体" w:hAnsi="宋体"/>
                <w:color w:val="000000"/>
                <w:sz w:val="20"/>
                <w:szCs w:val="20"/>
              </w:rPr>
            </w:pPr>
          </w:p>
        </w:tc>
        <w:tc>
          <w:tcPr>
            <w:tcW w:w="3210" w:type="dxa"/>
            <w:gridSpan w:val="2"/>
            <w:shd w:val="clear" w:color="auto" w:fill="FFFFFF"/>
            <w:vAlign w:val="center"/>
          </w:tcPr>
          <w:p>
            <w:pPr>
              <w:jc w:val="center"/>
              <w:rPr>
                <w:rFonts w:ascii="宋体" w:eastAsia="宋体" w:cs="宋体" w:hAnsi="宋体"/>
                <w:color w:val="000000"/>
                <w:sz w:val="20"/>
                <w:szCs w:val="20"/>
              </w:rPr>
            </w:pPr>
          </w:p>
        </w:tc>
        <w:tc>
          <w:tcPr>
            <w:tcW w:w="1155" w:type="dxa"/>
            <w:shd w:val="clear" w:color="auto" w:fill="auto"/>
            <w:vAlign w:val="bottom"/>
          </w:tcPr>
          <w:p>
            <w:pPr>
              <w:rPr>
                <w:rFonts w:ascii="宋体" w:eastAsia="宋体" w:cs="宋体" w:hAnsi="宋体"/>
                <w:color w:val="000000"/>
                <w:sz w:val="24"/>
              </w:rPr>
            </w:pPr>
          </w:p>
        </w:tc>
        <w:tc>
          <w:tcPr>
            <w:tcW w:w="870" w:type="dxa"/>
            <w:shd w:val="clear" w:color="auto" w:fill="auto"/>
            <w:vAlign w:val="bottom"/>
          </w:tcPr>
          <w:p>
            <w:pPr>
              <w:rPr>
                <w:rFonts w:ascii="宋体" w:eastAsia="宋体" w:cs="宋体" w:hAnsi="宋体"/>
                <w:color w:val="000000"/>
                <w:sz w:val="24"/>
              </w:rPr>
            </w:pPr>
          </w:p>
        </w:tc>
        <w:tc>
          <w:tcPr>
            <w:tcW w:w="863" w:type="dxa"/>
            <w:shd w:val="clear" w:color="auto" w:fill="auto"/>
            <w:vAlign w:val="bottom"/>
          </w:tcPr>
          <w:p>
            <w:pPr>
              <w:rPr>
                <w:rFonts w:ascii="宋体" w:eastAsia="宋体" w:cs="宋体" w:hAnsi="宋体"/>
                <w:color w:val="000000"/>
                <w:sz w:val="24"/>
              </w:rPr>
            </w:pPr>
          </w:p>
        </w:tc>
        <w:tc>
          <w:tcPr>
            <w:tcW w:w="1080" w:type="dxa"/>
            <w:shd w:val="clear" w:color="auto" w:fill="auto"/>
            <w:vAlign w:val="bottom"/>
          </w:tcPr>
          <w:p>
            <w:pPr>
              <w:rPr>
                <w:rFonts w:ascii="宋体" w:eastAsia="宋体" w:cs="宋体" w:hAnsi="宋体"/>
                <w:color w:val="000000"/>
                <w:sz w:val="24"/>
              </w:rPr>
            </w:pPr>
          </w:p>
        </w:tc>
        <w:tc>
          <w:tcPr>
            <w:tcW w:w="1081" w:type="dxa"/>
            <w:shd w:val="clear" w:color="auto" w:fill="auto"/>
            <w:vAlign w:val="bottom"/>
          </w:tcPr>
          <w:p>
            <w:pPr>
              <w:rPr>
                <w:rFonts w:ascii="宋体" w:eastAsia="宋体" w:cs="宋体" w:hAnsi="宋体"/>
                <w:color w:val="000000"/>
                <w:sz w:val="24"/>
              </w:rPr>
            </w:pPr>
          </w:p>
        </w:tc>
        <w:tc>
          <w:tcPr>
            <w:tcW w:w="1077" w:type="dxa"/>
            <w:shd w:val="clear" w:color="auto" w:fill="FFFFFF"/>
            <w:vAlign w:val="center"/>
          </w:tcPr>
          <w:p>
            <w:pPr>
              <w:widowControl/>
              <w:jc w:val="righ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公开07表</w:t>
            </w:r>
          </w:p>
        </w:tc>
      </w:tr>
      <w:tr>
        <w:trPr>
          <w:trHeight w:val="301"/>
        </w:trPr>
        <w:tc>
          <w:tcPr>
            <w:tcW w:w="3399" w:type="dxa"/>
            <w:gridSpan w:val="3"/>
            <w:shd w:val="clear" w:color="auto" w:fill="FFFFFF"/>
            <w:vAlign w:val="center"/>
          </w:tcPr>
          <w:p>
            <w:pPr>
              <w:jc w:val="center"/>
              <w:rPr>
                <w:rFonts w:ascii="宋体" w:eastAsia="宋体" w:cs="宋体" w:hAnsi="宋体"/>
                <w:color w:val="000000"/>
                <w:sz w:val="20"/>
                <w:szCs w:val="20"/>
              </w:rPr>
            </w:pPr>
            <w:r>
              <w:rPr>
                <w:rFonts w:ascii="宋体" w:eastAsia="宋体" w:cs="宋体" w:hAnsi="宋体" w:hint="eastAsia"/>
                <w:color w:val="000000"/>
                <w:kern w:val="0"/>
                <w:sz w:val="20"/>
                <w:szCs w:val="20"/>
              </w:rPr>
              <w:t>部门：</w:t>
            </w:r>
            <w:r>
              <w:rPr>
                <w:rFonts w:ascii="方正仿宋_GB2312" w:eastAsia="方正仿宋_GB2312" w:cs="方正仿宋_GB2312" w:hAnsi="方正仿宋_GB2312" w:hint="eastAsia"/>
                <w:color w:val="000000"/>
                <w:sz w:val="20"/>
                <w:szCs w:val="20"/>
              </w:rPr>
              <w:t xml:space="preserve">石家庄市桥西区苑东街道办事处 </w:t>
            </w:r>
          </w:p>
        </w:tc>
        <w:tc>
          <w:tcPr>
            <w:tcW w:w="1980" w:type="dxa"/>
            <w:gridSpan w:val="2"/>
            <w:shd w:val="clear" w:color="auto" w:fill="FFFFFF"/>
            <w:vAlign w:val="center"/>
          </w:tcPr>
          <w:p>
            <w:pPr>
              <w:rPr>
                <w:rFonts w:ascii="宋体" w:eastAsia="宋体" w:cs="宋体" w:hAnsi="宋体"/>
                <w:color w:val="000000"/>
                <w:sz w:val="20"/>
                <w:szCs w:val="20"/>
              </w:rPr>
            </w:pPr>
          </w:p>
        </w:tc>
        <w:tc>
          <w:tcPr>
            <w:tcW w:w="870" w:type="dxa"/>
            <w:shd w:val="clear" w:color="auto" w:fill="FFFFFF"/>
            <w:vAlign w:val="center"/>
          </w:tcPr>
          <w:p>
            <w:pPr>
              <w:rPr>
                <w:rFonts w:ascii="宋体" w:eastAsia="宋体" w:cs="宋体" w:hAnsi="宋体"/>
                <w:color w:val="000000"/>
                <w:sz w:val="20"/>
                <w:szCs w:val="20"/>
              </w:rPr>
            </w:pPr>
            <w:r>
              <w:rPr>
                <w:rFonts w:ascii="宋体" w:eastAsia="宋体" w:cs="宋体" w:hAnsi="宋体" w:hint="eastAsia"/>
                <w:color w:val="000000"/>
                <w:sz w:val="20"/>
                <w:szCs w:val="20"/>
              </w:rPr>
              <w:t>2023年度</w:t>
            </w:r>
          </w:p>
        </w:tc>
        <w:tc>
          <w:tcPr>
            <w:tcW w:w="863" w:type="dxa"/>
            <w:shd w:val="clear" w:color="auto" w:fill="FFFFFF"/>
            <w:vAlign w:val="center"/>
          </w:tcPr>
          <w:p>
            <w:pPr>
              <w:rPr>
                <w:rFonts w:ascii="宋体" w:eastAsia="宋体" w:cs="宋体" w:hAnsi="宋体"/>
                <w:color w:val="000000"/>
                <w:sz w:val="20"/>
                <w:szCs w:val="20"/>
              </w:rPr>
            </w:pPr>
          </w:p>
        </w:tc>
        <w:tc>
          <w:tcPr>
            <w:tcW w:w="1080" w:type="dxa"/>
            <w:shd w:val="clear" w:color="auto" w:fill="FFFFFF"/>
            <w:vAlign w:val="center"/>
          </w:tcPr>
          <w:p>
            <w:pPr>
              <w:rPr>
                <w:rFonts w:ascii="宋体" w:eastAsia="宋体" w:cs="宋体" w:hAnsi="宋体"/>
                <w:color w:val="000000"/>
                <w:sz w:val="20"/>
                <w:szCs w:val="20"/>
              </w:rPr>
            </w:pPr>
          </w:p>
        </w:tc>
        <w:tc>
          <w:tcPr>
            <w:tcW w:w="1081" w:type="dxa"/>
            <w:shd w:val="clear" w:color="auto" w:fill="FFFFFF"/>
            <w:vAlign w:val="center"/>
          </w:tcPr>
          <w:p>
            <w:pPr>
              <w:rPr>
                <w:rFonts w:ascii="宋体" w:eastAsia="宋体" w:cs="宋体" w:hAnsi="宋体"/>
                <w:color w:val="000000"/>
                <w:sz w:val="20"/>
                <w:szCs w:val="20"/>
              </w:rPr>
            </w:pPr>
          </w:p>
        </w:tc>
        <w:tc>
          <w:tcPr>
            <w:tcW w:w="1077" w:type="dxa"/>
            <w:shd w:val="clear" w:color="auto" w:fill="FFFFFF"/>
            <w:vAlign w:val="center"/>
          </w:tcPr>
          <w:p>
            <w:pPr>
              <w:widowControl/>
              <w:jc w:val="righ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单位：万元</w:t>
            </w:r>
          </w:p>
        </w:tc>
      </w:tr>
      <w:tr>
        <w:trPr>
          <w:trHeight w:val="405"/>
        </w:trPr>
        <w:tc>
          <w:tcPr>
            <w:tcW w:w="4224"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 xml:space="preserve">项 </w:t>
            </w:r>
            <w:r>
              <w:rPr>
                <w:rStyle w:val="24"/>
                <w:b/>
                <w:bCs/>
              </w:rPr>
              <w:t>目</w:t>
            </w:r>
          </w:p>
        </w:tc>
        <w:tc>
          <w:tcPr>
            <w:tcW w:w="115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年初结转和结余</w:t>
            </w:r>
          </w:p>
        </w:tc>
        <w:tc>
          <w:tcPr>
            <w:tcW w:w="87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hint="eastAsia"/>
                <w:b/>
                <w:bCs/>
                <w:color w:val="000000"/>
                <w:kern w:val="0"/>
                <w:sz w:val="24"/>
                <w:szCs w:val="24"/>
              </w:rPr>
            </w:pPr>
            <w:r>
              <w:rPr>
                <w:rFonts w:ascii="宋体" w:eastAsia="宋体" w:cs="宋体" w:hAnsi="宋体" w:hint="eastAsia"/>
                <w:b/>
                <w:bCs/>
                <w:color w:val="000000"/>
                <w:kern w:val="0"/>
                <w:sz w:val="24"/>
                <w:szCs w:val="24"/>
              </w:rPr>
              <w:t>本年</w:t>
            </w:r>
          </w:p>
          <w:p>
            <w:pPr>
              <w:widowControl/>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收入</w:t>
            </w:r>
          </w:p>
        </w:tc>
        <w:tc>
          <w:tcPr>
            <w:tcW w:w="3024"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本年支出</w:t>
            </w:r>
          </w:p>
        </w:tc>
        <w:tc>
          <w:tcPr>
            <w:tcW w:w="1077"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年末结转和结余</w:t>
            </w:r>
          </w:p>
        </w:tc>
      </w:tr>
      <w:tr>
        <w:trPr>
          <w:trHeight w:val="540"/>
        </w:trPr>
        <w:tc>
          <w:tcPr>
            <w:tcW w:w="1014"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科目代码</w:t>
            </w:r>
          </w:p>
        </w:tc>
        <w:tc>
          <w:tcPr>
            <w:tcW w:w="3210"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科目名称</w:t>
            </w: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87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86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小计</w:t>
            </w:r>
          </w:p>
        </w:tc>
        <w:tc>
          <w:tcPr>
            <w:tcW w:w="108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 xml:space="preserve">基本支出  </w:t>
            </w:r>
          </w:p>
        </w:tc>
        <w:tc>
          <w:tcPr>
            <w:tcW w:w="108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项目支出</w:t>
            </w:r>
          </w:p>
        </w:tc>
        <w:tc>
          <w:tcPr>
            <w:tcW w:w="107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r>
      <w:tr>
        <w:trPr>
          <w:trHeight w:val="360"/>
        </w:trPr>
        <w:tc>
          <w:tcPr>
            <w:tcW w:w="1014"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3210"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87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86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08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07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r>
      <w:tr>
        <w:trPr>
          <w:trHeight w:val="312"/>
        </w:trPr>
        <w:tc>
          <w:tcPr>
            <w:tcW w:w="1014"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3210"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1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87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86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08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08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077"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r>
      <w:tr>
        <w:trPr>
          <w:trHeight w:val="450"/>
        </w:trPr>
        <w:tc>
          <w:tcPr>
            <w:tcW w:w="4224"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栏次</w:t>
            </w:r>
          </w:p>
        </w:tc>
        <w:tc>
          <w:tcPr>
            <w:tcW w:w="1155"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1</w:t>
            </w:r>
          </w:p>
        </w:tc>
        <w:tc>
          <w:tcPr>
            <w:tcW w:w="87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2</w:t>
            </w:r>
          </w:p>
        </w:tc>
        <w:tc>
          <w:tcPr>
            <w:tcW w:w="86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3</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4</w:t>
            </w:r>
          </w:p>
        </w:tc>
        <w:tc>
          <w:tcPr>
            <w:tcW w:w="10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5</w:t>
            </w:r>
          </w:p>
        </w:tc>
        <w:tc>
          <w:tcPr>
            <w:tcW w:w="1077"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6</w:t>
            </w:r>
          </w:p>
        </w:tc>
      </w:tr>
      <w:tr>
        <w:trPr>
          <w:trHeight w:val="450"/>
        </w:trPr>
        <w:tc>
          <w:tcPr>
            <w:tcW w:w="4224"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合计</w:t>
            </w:r>
          </w:p>
        </w:tc>
        <w:tc>
          <w:tcPr>
            <w:tcW w:w="115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87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530.36</w:t>
            </w:r>
          </w:p>
        </w:tc>
        <w:tc>
          <w:tcPr>
            <w:tcW w:w="86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530.36</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108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color w:val="000000"/>
                <w:sz w:val="20"/>
                <w:szCs w:val="20"/>
              </w:rPr>
              <w:t>530.36</w:t>
            </w:r>
          </w:p>
        </w:tc>
        <w:tc>
          <w:tcPr>
            <w:tcW w:w="107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r>
      <w:tr>
        <w:trPr>
          <w:trHeight w:val="450"/>
        </w:trPr>
        <w:tc>
          <w:tcPr>
            <w:tcW w:w="101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212</w:t>
            </w:r>
          </w:p>
        </w:tc>
        <w:tc>
          <w:tcPr>
            <w:tcW w:w="321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城乡社区支出</w:t>
            </w:r>
          </w:p>
        </w:tc>
        <w:tc>
          <w:tcPr>
            <w:tcW w:w="115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87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spacing w:val="-2"/>
                <w:sz w:val="20"/>
                <w:szCs w:val="20"/>
              </w:rPr>
              <w:t>530.36</w:t>
            </w:r>
          </w:p>
        </w:tc>
        <w:tc>
          <w:tcPr>
            <w:tcW w:w="86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spacing w:val="-2"/>
                <w:sz w:val="20"/>
                <w:szCs w:val="20"/>
              </w:rPr>
              <w:t>530.36</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108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spacing w:val="-2"/>
                <w:sz w:val="20"/>
                <w:szCs w:val="20"/>
              </w:rPr>
              <w:t>530.36</w:t>
            </w:r>
          </w:p>
        </w:tc>
        <w:tc>
          <w:tcPr>
            <w:tcW w:w="107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4"/>
              </w:rPr>
            </w:pPr>
          </w:p>
        </w:tc>
      </w:tr>
      <w:tr>
        <w:trPr>
          <w:trHeight w:val="450"/>
        </w:trPr>
        <w:tc>
          <w:tcPr>
            <w:tcW w:w="101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21208</w:t>
            </w:r>
          </w:p>
        </w:tc>
        <w:tc>
          <w:tcPr>
            <w:tcW w:w="321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国有土地使用权出让收入安排的支出</w:t>
            </w:r>
          </w:p>
        </w:tc>
        <w:tc>
          <w:tcPr>
            <w:tcW w:w="115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87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spacing w:val="-2"/>
                <w:sz w:val="20"/>
                <w:szCs w:val="20"/>
              </w:rPr>
              <w:t>530.36</w:t>
            </w:r>
          </w:p>
        </w:tc>
        <w:tc>
          <w:tcPr>
            <w:tcW w:w="86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spacing w:val="-2"/>
                <w:sz w:val="20"/>
                <w:szCs w:val="20"/>
              </w:rPr>
              <w:t>530.36</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108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spacing w:val="-2"/>
                <w:sz w:val="20"/>
                <w:szCs w:val="20"/>
              </w:rPr>
              <w:t>530.36</w:t>
            </w:r>
          </w:p>
        </w:tc>
        <w:tc>
          <w:tcPr>
            <w:tcW w:w="107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4"/>
              </w:rPr>
            </w:pPr>
          </w:p>
        </w:tc>
      </w:tr>
      <w:tr>
        <w:trPr>
          <w:trHeight w:val="450"/>
        </w:trPr>
        <w:tc>
          <w:tcPr>
            <w:tcW w:w="101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2120801</w:t>
            </w:r>
          </w:p>
        </w:tc>
        <w:tc>
          <w:tcPr>
            <w:tcW w:w="321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left"/>
              <w:rPr>
                <w:rFonts w:ascii="方正仿宋_GB2312" w:eastAsia="方正仿宋_GB2312" w:cs="方正仿宋_GB2312" w:hAnsi="方正仿宋_GB2312"/>
                <w:color w:val="000000"/>
                <w:kern w:val="2"/>
                <w:sz w:val="20"/>
                <w:szCs w:val="20"/>
                <w:lang w:val="en-US" w:eastAsia="zh-CN" w:bidi="ar-SA"/>
              </w:rPr>
            </w:pPr>
            <w:r>
              <w:rPr>
                <w:rFonts w:ascii="方正仿宋_GB2312" w:eastAsia="方正仿宋_GB2312" w:cs="方正仿宋_GB2312" w:hAnsi="方正仿宋_GB2312" w:hint="eastAsia"/>
                <w:color w:val="000000"/>
                <w:sz w:val="20"/>
                <w:szCs w:val="20"/>
              </w:rPr>
              <w:t>征地和拆迁补偿支出</w:t>
            </w:r>
          </w:p>
        </w:tc>
        <w:tc>
          <w:tcPr>
            <w:tcW w:w="115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87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spacing w:val="-2"/>
                <w:sz w:val="20"/>
                <w:szCs w:val="20"/>
              </w:rPr>
              <w:t>530.36</w:t>
            </w:r>
          </w:p>
        </w:tc>
        <w:tc>
          <w:tcPr>
            <w:tcW w:w="863"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spacing w:val="-2"/>
                <w:sz w:val="20"/>
                <w:szCs w:val="20"/>
              </w:rPr>
              <w:t>530.36</w:t>
            </w:r>
          </w:p>
        </w:tc>
        <w:tc>
          <w:tcPr>
            <w:tcW w:w="1080"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p>
        </w:tc>
        <w:tc>
          <w:tcPr>
            <w:tcW w:w="108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right"/>
              <w:rPr>
                <w:rFonts w:ascii="Times New Roman" w:eastAsia="宋体" w:cs="Times New Roman" w:hAnsi="Times New Roman"/>
                <w:color w:val="000000"/>
                <w:kern w:val="2"/>
                <w:sz w:val="20"/>
                <w:szCs w:val="20"/>
                <w:lang w:val="en-US" w:eastAsia="zh-CN" w:bidi="ar-SA"/>
              </w:rPr>
            </w:pPr>
            <w:r>
              <w:rPr>
                <w:rFonts w:ascii="Times New Roman" w:eastAsia="宋体" w:cs="Times New Roman" w:hAnsi="Times New Roman"/>
                <w:spacing w:val="-2"/>
                <w:sz w:val="20"/>
                <w:szCs w:val="20"/>
              </w:rPr>
              <w:t>530.36</w:t>
            </w:r>
          </w:p>
        </w:tc>
        <w:tc>
          <w:tcPr>
            <w:tcW w:w="1077"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4"/>
              </w:rPr>
            </w:pPr>
          </w:p>
        </w:tc>
      </w:tr>
      <w:tr>
        <w:trPr>
          <w:trHeight w:val="645"/>
        </w:trPr>
        <w:tc>
          <w:tcPr>
            <w:tcW w:w="10350" w:type="dxa"/>
            <w:gridSpan w:val="10"/>
            <w:shd w:val="clear" w:color="auto" w:fill="auto"/>
            <w:vAlign w:val="center"/>
          </w:tcPr>
          <w:p>
            <w:pPr>
              <w:rPr>
                <w:b/>
              </w:rPr>
            </w:pPr>
            <w:r>
              <w:rPr>
                <w:rFonts w:ascii="宋体" w:eastAsia="宋体" w:cs="宋体" w:hAnsi="宋体" w:hint="eastAsia"/>
                <w:color w:val="000000"/>
                <w:kern w:val="0"/>
                <w:sz w:val="24"/>
                <w:szCs w:val="24"/>
              </w:rPr>
              <w:t>注：本表反映部门本年度政府性基金预算财政拨款收入、支出及结转和结余情况。</w:t>
            </w:r>
          </w:p>
          <w:p>
            <w:pPr>
              <w:widowControl/>
              <w:jc w:val="left"/>
              <w:textAlignment w:val="center"/>
              <w:rPr>
                <w:rFonts w:ascii="宋体" w:eastAsia="宋体" w:cs="宋体" w:hAnsi="宋体"/>
                <w:color w:val="000000"/>
                <w:sz w:val="24"/>
              </w:rPr>
            </w:pPr>
          </w:p>
        </w:tc>
      </w:tr>
    </w:tbl>
    <w:p>
      <w:pPr>
        <w:sectPr>
          <w:pgSz w:w="11906" w:h="16838"/>
          <w:pgMar w:top="1474" w:right="1474" w:bottom="1474" w:left="1474" w:header="851" w:footer="992" w:gutter="0"/>
          <w:pgBorders>
            <w:top w:val="none" w:sz="0" w:space="0" w:color="auto"/>
            <w:left w:val="none" w:sz="0" w:space="0" w:color="auto"/>
            <w:bottom w:val="none" w:sz="0" w:space="0" w:color="auto"/>
            <w:right w:val="none" w:sz="0" w:space="0" w:color="auto"/>
          </w:pgBorders>
          <w:cols w:num="1" w:space="0"/>
          <w:docGrid w:type="lines" w:linePitch="312" w:charSpace="0"/>
        </w:sectPr>
      </w:pPr>
    </w:p>
    <w:tbl>
      <w:tblPr>
        <w:jc w:val="center"/>
        <w:tblW w:w="10422" w:type="dxa"/>
        <w:tblBorders>
          <w:top w:val="none" w:sz="0" w:space="0" w:color="auto"/>
          <w:left w:val="none" w:sz="0" w:space="0" w:color="auto"/>
          <w:bottom w:val="none" w:sz="0" w:space="0" w:color="auto"/>
          <w:right w:val="none" w:sz="0" w:space="0" w:color="auto"/>
        </w:tblBorders>
        <w:tblLayout w:type="fixed"/>
        <w:tblCellMar>
          <w:top w:w="15" w:type="dxa"/>
          <w:left w:w="15" w:type="dxa"/>
          <w:bottom w:w="15" w:type="dxa"/>
          <w:right w:w="15" w:type="dxa"/>
        </w:tblCellMar>
        <w:tblLook w:val="0600" w:firstRow="0" w:lastRow="0" w:firstColumn="0" w:lastColumn="0" w:noHBand="1" w:noVBand="1"/>
      </w:tblPr>
      <w:tblGrid>
        <w:gridCol w:w="1016"/>
        <w:gridCol w:w="176"/>
        <w:gridCol w:w="819"/>
        <w:gridCol w:w="1056"/>
        <w:gridCol w:w="2419"/>
        <w:gridCol w:w="762"/>
        <w:gridCol w:w="1036"/>
        <w:gridCol w:w="977"/>
        <w:gridCol w:w="2161"/>
      </w:tblGrid>
      <w:tr>
        <w:trPr>
          <w:trHeight w:val="720"/>
        </w:trPr>
        <w:tc>
          <w:tcPr>
            <w:tcW w:w="10422" w:type="dxa"/>
            <w:gridSpan w:val="9"/>
            <w:shd w:val="clear" w:color="auto" w:fill="FFFFFF"/>
            <w:vAlign w:val="center"/>
          </w:tcPr>
          <w:p>
            <w:pPr>
              <w:widowControl/>
              <w:jc w:val="center"/>
              <w:textAlignment w:val="center"/>
              <w:rPr>
                <w:rFonts w:ascii="华文中宋" w:eastAsia="华文中宋" w:cs="华文中宋" w:hAnsi="华文中宋"/>
                <w:b/>
                <w:bCs/>
                <w:color w:val="000000"/>
                <w:sz w:val="32"/>
                <w:szCs w:val="32"/>
              </w:rPr>
            </w:pPr>
            <w:r>
              <w:rPr>
                <w:rFonts w:ascii="华文中宋" w:eastAsia="华文中宋" w:cs="华文中宋" w:hAnsi="华文中宋" w:hint="eastAsia"/>
                <w:b/>
                <w:bCs/>
                <w:color w:val="000000"/>
                <w:kern w:val="0"/>
                <w:sz w:val="32"/>
                <w:szCs w:val="32"/>
              </w:rPr>
              <w:t>国有资本经营预算财政拨款支出决算表</w:t>
            </w:r>
          </w:p>
        </w:tc>
      </w:tr>
      <w:tr>
        <w:trPr>
          <w:trHeight w:val="286"/>
        </w:trPr>
        <w:tc>
          <w:tcPr>
            <w:tcW w:w="1016" w:type="dxa"/>
            <w:shd w:val="clear" w:color="auto" w:fill="FFFFFF"/>
            <w:vAlign w:val="center"/>
          </w:tcPr>
          <w:p>
            <w:pPr>
              <w:jc w:val="center"/>
              <w:rPr>
                <w:rFonts w:ascii="宋体" w:eastAsia="宋体" w:cs="宋体" w:hAnsi="宋体"/>
                <w:color w:val="000000"/>
                <w:sz w:val="20"/>
                <w:szCs w:val="20"/>
              </w:rPr>
            </w:pPr>
          </w:p>
        </w:tc>
        <w:tc>
          <w:tcPr>
            <w:tcW w:w="995" w:type="dxa"/>
            <w:gridSpan w:val="2"/>
            <w:shd w:val="clear" w:color="auto" w:fill="FFFFFF"/>
            <w:vAlign w:val="center"/>
          </w:tcPr>
          <w:p>
            <w:pPr>
              <w:jc w:val="center"/>
              <w:rPr>
                <w:rFonts w:ascii="宋体" w:eastAsia="宋体" w:cs="宋体" w:hAnsi="宋体"/>
                <w:color w:val="000000"/>
                <w:sz w:val="20"/>
                <w:szCs w:val="20"/>
              </w:rPr>
            </w:pPr>
          </w:p>
        </w:tc>
        <w:tc>
          <w:tcPr>
            <w:tcW w:w="1056" w:type="dxa"/>
            <w:shd w:val="clear" w:color="auto" w:fill="FFFFFF"/>
            <w:vAlign w:val="center"/>
          </w:tcPr>
          <w:p>
            <w:pPr>
              <w:jc w:val="center"/>
              <w:rPr>
                <w:rFonts w:ascii="宋体" w:eastAsia="宋体" w:cs="宋体" w:hAnsi="宋体"/>
                <w:color w:val="000000"/>
                <w:sz w:val="20"/>
                <w:szCs w:val="20"/>
              </w:rPr>
            </w:pPr>
          </w:p>
        </w:tc>
        <w:tc>
          <w:tcPr>
            <w:tcW w:w="3181" w:type="dxa"/>
            <w:gridSpan w:val="2"/>
            <w:shd w:val="clear" w:color="auto" w:fill="FFFFFF"/>
            <w:vAlign w:val="center"/>
          </w:tcPr>
          <w:p>
            <w:pPr>
              <w:rPr>
                <w:rFonts w:ascii="宋体" w:eastAsia="宋体" w:cs="宋体" w:hAnsi="宋体"/>
                <w:color w:val="000000"/>
                <w:sz w:val="20"/>
                <w:szCs w:val="20"/>
              </w:rPr>
            </w:pPr>
          </w:p>
        </w:tc>
        <w:tc>
          <w:tcPr>
            <w:tcW w:w="1036" w:type="dxa"/>
            <w:shd w:val="clear" w:color="auto" w:fill="FFFFFF"/>
            <w:vAlign w:val="center"/>
          </w:tcPr>
          <w:p>
            <w:pPr>
              <w:rPr>
                <w:rFonts w:ascii="宋体" w:eastAsia="宋体" w:cs="宋体" w:hAnsi="宋体"/>
                <w:color w:val="000000"/>
                <w:sz w:val="20"/>
                <w:szCs w:val="20"/>
              </w:rPr>
            </w:pPr>
          </w:p>
        </w:tc>
        <w:tc>
          <w:tcPr>
            <w:tcW w:w="3138" w:type="dxa"/>
            <w:gridSpan w:val="2"/>
            <w:shd w:val="clear" w:color="auto" w:fill="FFFFFF"/>
            <w:vAlign w:val="center"/>
          </w:tcPr>
          <w:p>
            <w:pPr>
              <w:widowControl/>
              <w:jc w:val="righ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公开08表</w:t>
            </w:r>
          </w:p>
        </w:tc>
      </w:tr>
      <w:tr>
        <w:trPr>
          <w:trHeight w:val="286"/>
        </w:trPr>
        <w:tc>
          <w:tcPr>
            <w:tcW w:w="1016" w:type="dxa"/>
            <w:shd w:val="clear" w:color="auto" w:fill="FFFFFF"/>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部门：</w:t>
            </w:r>
          </w:p>
        </w:tc>
        <w:tc>
          <w:tcPr>
            <w:tcW w:w="995" w:type="dxa"/>
            <w:gridSpan w:val="2"/>
            <w:shd w:val="clear" w:color="auto" w:fill="FFFFFF"/>
            <w:vAlign w:val="center"/>
          </w:tcPr>
          <w:p>
            <w:pPr>
              <w:jc w:val="center"/>
              <w:rPr>
                <w:rFonts w:ascii="宋体" w:eastAsia="宋体" w:cs="宋体" w:hAnsi="宋体"/>
                <w:color w:val="000000"/>
                <w:sz w:val="20"/>
                <w:szCs w:val="20"/>
              </w:rPr>
            </w:pPr>
          </w:p>
        </w:tc>
        <w:tc>
          <w:tcPr>
            <w:tcW w:w="1056" w:type="dxa"/>
            <w:shd w:val="clear" w:color="auto" w:fill="FFFFFF"/>
            <w:vAlign w:val="center"/>
          </w:tcPr>
          <w:p>
            <w:pPr>
              <w:jc w:val="center"/>
              <w:rPr>
                <w:rFonts w:ascii="宋体" w:eastAsia="宋体" w:cs="宋体" w:hAnsi="宋体"/>
                <w:color w:val="000000"/>
                <w:sz w:val="20"/>
                <w:szCs w:val="20"/>
              </w:rPr>
            </w:pPr>
          </w:p>
        </w:tc>
        <w:tc>
          <w:tcPr>
            <w:tcW w:w="3181" w:type="dxa"/>
            <w:gridSpan w:val="2"/>
            <w:shd w:val="clear" w:color="auto" w:fill="FFFFFF"/>
            <w:vAlign w:val="center"/>
          </w:tcPr>
          <w:p>
            <w:pPr>
              <w:ind w:firstLineChars="900" w:firstLine="1800"/>
              <w:rPr>
                <w:rFonts w:ascii="宋体" w:eastAsia="宋体" w:cs="宋体" w:hAnsi="宋体"/>
                <w:color w:val="000000"/>
                <w:sz w:val="20"/>
                <w:szCs w:val="20"/>
              </w:rPr>
            </w:pPr>
            <w:r>
              <w:rPr>
                <w:rFonts w:ascii="宋体" w:eastAsia="宋体" w:cs="宋体" w:hAnsi="宋体" w:hint="eastAsia"/>
                <w:color w:val="000000"/>
                <w:sz w:val="20"/>
                <w:szCs w:val="20"/>
              </w:rPr>
              <w:t>2023年度</w:t>
            </w:r>
          </w:p>
        </w:tc>
        <w:tc>
          <w:tcPr>
            <w:tcW w:w="1036" w:type="dxa"/>
            <w:shd w:val="clear" w:color="auto" w:fill="FFFFFF"/>
            <w:vAlign w:val="center"/>
          </w:tcPr>
          <w:p>
            <w:pPr>
              <w:rPr>
                <w:rFonts w:ascii="宋体" w:eastAsia="宋体" w:cs="宋体" w:hAnsi="宋体"/>
                <w:color w:val="000000"/>
                <w:sz w:val="20"/>
                <w:szCs w:val="20"/>
              </w:rPr>
            </w:pPr>
          </w:p>
        </w:tc>
        <w:tc>
          <w:tcPr>
            <w:tcW w:w="3138" w:type="dxa"/>
            <w:gridSpan w:val="2"/>
            <w:shd w:val="clear" w:color="auto" w:fill="FFFFFF"/>
            <w:vAlign w:val="center"/>
          </w:tcPr>
          <w:p>
            <w:pPr>
              <w:widowControl/>
              <w:jc w:val="righ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单位：万元</w:t>
            </w:r>
          </w:p>
        </w:tc>
      </w:tr>
      <w:tr>
        <w:trPr>
          <w:trHeight w:val="390"/>
        </w:trPr>
        <w:tc>
          <w:tcPr>
            <w:tcW w:w="3067"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项 目</w:t>
            </w:r>
          </w:p>
        </w:tc>
        <w:tc>
          <w:tcPr>
            <w:tcW w:w="7355"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本年支出</w:t>
            </w:r>
          </w:p>
        </w:tc>
      </w:tr>
      <w:tr>
        <w:trPr>
          <w:trHeight w:val="390"/>
        </w:trPr>
        <w:tc>
          <w:tcPr>
            <w:tcW w:w="1192"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科目代码</w:t>
            </w:r>
          </w:p>
        </w:tc>
        <w:tc>
          <w:tcPr>
            <w:tcW w:w="1875"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科目名称</w:t>
            </w:r>
          </w:p>
        </w:tc>
        <w:tc>
          <w:tcPr>
            <w:tcW w:w="241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合计</w:t>
            </w:r>
          </w:p>
        </w:tc>
        <w:tc>
          <w:tcPr>
            <w:tcW w:w="2775"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 xml:space="preserve">基本支出  </w:t>
            </w:r>
          </w:p>
        </w:tc>
        <w:tc>
          <w:tcPr>
            <w:tcW w:w="216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4"/>
              </w:rPr>
            </w:pPr>
            <w:r>
              <w:rPr>
                <w:rFonts w:ascii="宋体" w:eastAsia="宋体" w:cs="宋体" w:hAnsi="宋体" w:hint="eastAsia"/>
                <w:b/>
                <w:bCs/>
                <w:color w:val="000000"/>
                <w:kern w:val="0"/>
                <w:sz w:val="24"/>
                <w:szCs w:val="24"/>
              </w:rPr>
              <w:t>项目支出</w:t>
            </w:r>
          </w:p>
        </w:tc>
      </w:tr>
      <w:tr>
        <w:trPr>
          <w:trHeight w:val="390"/>
        </w:trPr>
        <w:tc>
          <w:tcPr>
            <w:tcW w:w="1192"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875"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241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2775"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21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r>
      <w:tr>
        <w:trPr>
          <w:trHeight w:val="312"/>
        </w:trPr>
        <w:tc>
          <w:tcPr>
            <w:tcW w:w="1192"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1875"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241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2775"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216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r>
      <w:tr>
        <w:trPr>
          <w:trHeight w:val="390"/>
        </w:trPr>
        <w:tc>
          <w:tcPr>
            <w:tcW w:w="3067"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栏次</w:t>
            </w:r>
          </w:p>
        </w:tc>
        <w:tc>
          <w:tcPr>
            <w:tcW w:w="2419"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1</w:t>
            </w:r>
          </w:p>
        </w:tc>
        <w:tc>
          <w:tcPr>
            <w:tcW w:w="2775"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2</w:t>
            </w:r>
          </w:p>
        </w:tc>
        <w:tc>
          <w:tcPr>
            <w:tcW w:w="216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3</w:t>
            </w:r>
          </w:p>
        </w:tc>
      </w:tr>
      <w:tr>
        <w:trPr>
          <w:trHeight w:val="390"/>
        </w:trPr>
        <w:tc>
          <w:tcPr>
            <w:tcW w:w="3067"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4"/>
              </w:rPr>
            </w:pPr>
            <w:r>
              <w:rPr>
                <w:rFonts w:ascii="宋体" w:eastAsia="宋体" w:cs="宋体" w:hAnsi="宋体" w:hint="eastAsia"/>
                <w:color w:val="000000"/>
                <w:kern w:val="0"/>
                <w:sz w:val="24"/>
                <w:szCs w:val="24"/>
              </w:rPr>
              <w:t>合计</w:t>
            </w:r>
          </w:p>
        </w:tc>
        <w:tc>
          <w:tcPr>
            <w:tcW w:w="2419"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eastAsia="宋体" w:cs="宋体" w:hAnsi="宋体"/>
                <w:color w:val="000000"/>
                <w:sz w:val="24"/>
              </w:rPr>
            </w:pPr>
          </w:p>
        </w:tc>
        <w:tc>
          <w:tcPr>
            <w:tcW w:w="2775"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eastAsia="宋体" w:cs="宋体" w:hAnsi="宋体"/>
                <w:color w:val="000000"/>
                <w:sz w:val="24"/>
              </w:rPr>
            </w:pPr>
          </w:p>
        </w:tc>
        <w:tc>
          <w:tcPr>
            <w:tcW w:w="2161"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eastAsia="宋体" w:cs="宋体" w:hAnsi="宋体"/>
                <w:color w:val="000000"/>
                <w:sz w:val="24"/>
              </w:rPr>
            </w:pPr>
          </w:p>
        </w:tc>
      </w:tr>
      <w:tr>
        <w:trPr>
          <w:trHeight w:val="390"/>
        </w:trPr>
        <w:tc>
          <w:tcPr>
            <w:tcW w:w="119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eastAsia="宋体" w:cs="宋体" w:hAnsi="宋体"/>
                <w:color w:val="000000"/>
                <w:sz w:val="24"/>
              </w:rPr>
            </w:pPr>
          </w:p>
        </w:tc>
        <w:tc>
          <w:tcPr>
            <w:tcW w:w="187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c>
          <w:tcPr>
            <w:tcW w:w="241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4"/>
              </w:rPr>
            </w:pPr>
          </w:p>
        </w:tc>
        <w:tc>
          <w:tcPr>
            <w:tcW w:w="2775"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4"/>
              </w:rPr>
            </w:pPr>
          </w:p>
        </w:tc>
        <w:tc>
          <w:tcPr>
            <w:tcW w:w="21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4"/>
              </w:rPr>
            </w:pPr>
          </w:p>
        </w:tc>
      </w:tr>
      <w:tr>
        <w:trPr>
          <w:trHeight w:val="390"/>
        </w:trPr>
        <w:tc>
          <w:tcPr>
            <w:tcW w:w="119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eastAsia="宋体" w:cs="宋体" w:hAnsi="宋体"/>
                <w:color w:val="000000"/>
                <w:sz w:val="24"/>
              </w:rPr>
            </w:pPr>
          </w:p>
        </w:tc>
        <w:tc>
          <w:tcPr>
            <w:tcW w:w="187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4"/>
              </w:rPr>
            </w:pPr>
          </w:p>
        </w:tc>
        <w:tc>
          <w:tcPr>
            <w:tcW w:w="241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4"/>
              </w:rPr>
            </w:pPr>
          </w:p>
        </w:tc>
        <w:tc>
          <w:tcPr>
            <w:tcW w:w="2775"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4"/>
              </w:rPr>
            </w:pPr>
          </w:p>
        </w:tc>
        <w:tc>
          <w:tcPr>
            <w:tcW w:w="21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4"/>
              </w:rPr>
            </w:pPr>
          </w:p>
        </w:tc>
      </w:tr>
      <w:tr>
        <w:trPr>
          <w:trHeight w:val="390"/>
        </w:trPr>
        <w:tc>
          <w:tcPr>
            <w:tcW w:w="119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eastAsia="宋体" w:cs="宋体" w:hAnsi="宋体"/>
                <w:color w:val="000000"/>
                <w:sz w:val="24"/>
              </w:rPr>
            </w:pPr>
          </w:p>
        </w:tc>
        <w:tc>
          <w:tcPr>
            <w:tcW w:w="187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0"/>
                <w:szCs w:val="20"/>
              </w:rPr>
            </w:pPr>
          </w:p>
        </w:tc>
        <w:tc>
          <w:tcPr>
            <w:tcW w:w="241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4"/>
              </w:rPr>
            </w:pPr>
          </w:p>
        </w:tc>
        <w:tc>
          <w:tcPr>
            <w:tcW w:w="2775"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4"/>
              </w:rPr>
            </w:pPr>
          </w:p>
        </w:tc>
        <w:tc>
          <w:tcPr>
            <w:tcW w:w="21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4"/>
              </w:rPr>
            </w:pPr>
          </w:p>
        </w:tc>
      </w:tr>
      <w:tr>
        <w:trPr>
          <w:trHeight w:val="390"/>
        </w:trPr>
        <w:tc>
          <w:tcPr>
            <w:tcW w:w="119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eastAsia="宋体" w:cs="宋体" w:hAnsi="宋体"/>
                <w:color w:val="000000"/>
                <w:sz w:val="24"/>
              </w:rPr>
            </w:pPr>
          </w:p>
        </w:tc>
        <w:tc>
          <w:tcPr>
            <w:tcW w:w="187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4"/>
              </w:rPr>
            </w:pPr>
          </w:p>
        </w:tc>
        <w:tc>
          <w:tcPr>
            <w:tcW w:w="241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4"/>
              </w:rPr>
            </w:pPr>
          </w:p>
        </w:tc>
        <w:tc>
          <w:tcPr>
            <w:tcW w:w="2775"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4"/>
              </w:rPr>
            </w:pPr>
          </w:p>
        </w:tc>
        <w:tc>
          <w:tcPr>
            <w:tcW w:w="21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4"/>
              </w:rPr>
            </w:pPr>
          </w:p>
        </w:tc>
      </w:tr>
      <w:tr>
        <w:trPr>
          <w:trHeight w:val="390"/>
        </w:trPr>
        <w:tc>
          <w:tcPr>
            <w:tcW w:w="119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eastAsia="宋体" w:cs="宋体" w:hAnsi="宋体"/>
                <w:color w:val="000000"/>
                <w:sz w:val="24"/>
              </w:rPr>
            </w:pPr>
          </w:p>
        </w:tc>
        <w:tc>
          <w:tcPr>
            <w:tcW w:w="187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4"/>
              </w:rPr>
            </w:pPr>
          </w:p>
        </w:tc>
        <w:tc>
          <w:tcPr>
            <w:tcW w:w="241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4"/>
              </w:rPr>
            </w:pPr>
          </w:p>
        </w:tc>
        <w:tc>
          <w:tcPr>
            <w:tcW w:w="2775"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4"/>
              </w:rPr>
            </w:pPr>
          </w:p>
        </w:tc>
        <w:tc>
          <w:tcPr>
            <w:tcW w:w="21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4"/>
              </w:rPr>
            </w:pPr>
          </w:p>
        </w:tc>
      </w:tr>
      <w:tr>
        <w:trPr>
          <w:trHeight w:val="390"/>
        </w:trPr>
        <w:tc>
          <w:tcPr>
            <w:tcW w:w="1192"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rFonts w:ascii="宋体" w:eastAsia="宋体" w:cs="宋体" w:hAnsi="宋体"/>
                <w:color w:val="000000"/>
                <w:sz w:val="24"/>
              </w:rPr>
            </w:pPr>
          </w:p>
        </w:tc>
        <w:tc>
          <w:tcPr>
            <w:tcW w:w="187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4"/>
              </w:rPr>
            </w:pPr>
          </w:p>
        </w:tc>
        <w:tc>
          <w:tcPr>
            <w:tcW w:w="2419"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4"/>
              </w:rPr>
            </w:pPr>
          </w:p>
        </w:tc>
        <w:tc>
          <w:tcPr>
            <w:tcW w:w="2775"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4"/>
              </w:rPr>
            </w:pPr>
          </w:p>
        </w:tc>
        <w:tc>
          <w:tcPr>
            <w:tcW w:w="216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4"/>
              </w:rPr>
            </w:pPr>
          </w:p>
        </w:tc>
      </w:tr>
      <w:tr>
        <w:trPr>
          <w:trHeight w:val="720"/>
        </w:trPr>
        <w:tc>
          <w:tcPr>
            <w:tcW w:w="10422" w:type="dxa"/>
            <w:gridSpan w:val="9"/>
            <w:shd w:val="clear" w:color="auto" w:fill="auto"/>
            <w:vAlign w:val="center"/>
          </w:tcPr>
          <w:p>
            <w:pPr>
              <w:rPr>
                <w:b/>
              </w:rPr>
            </w:pPr>
            <w:r>
              <w:rPr>
                <w:rFonts w:ascii="宋体" w:eastAsia="宋体" w:cs="宋体" w:hAnsi="宋体" w:hint="eastAsia"/>
                <w:color w:val="000000"/>
                <w:kern w:val="0"/>
                <w:sz w:val="24"/>
                <w:szCs w:val="24"/>
              </w:rPr>
              <w:t>注：本部门本年度无国有资本经营预算财政拨款收入、支出及结转结余情况，按要求空表列示。</w:t>
            </w:r>
            <w:r>
              <w:rPr>
                <w:b/>
              </w:rPr>
              <w:br w:type="page"/>
            </w:r>
          </w:p>
          <w:p>
            <w:pPr>
              <w:widowControl/>
              <w:jc w:val="left"/>
              <w:textAlignment w:val="center"/>
              <w:rPr>
                <w:rFonts w:ascii="宋体" w:eastAsia="宋体" w:cs="宋体" w:hAnsi="宋体"/>
                <w:color w:val="000000"/>
                <w:sz w:val="24"/>
              </w:rPr>
            </w:pPr>
          </w:p>
        </w:tc>
      </w:tr>
    </w:tbl>
    <w:p>
      <w:pPr>
        <w:sectPr>
          <w:pgSz w:w="11906" w:h="16838"/>
          <w:pgMar w:top="1474" w:right="1474" w:bottom="1474" w:left="1474" w:header="851" w:footer="992" w:gutter="0"/>
          <w:pgBorders>
            <w:top w:val="none" w:sz="0" w:space="0" w:color="auto"/>
            <w:left w:val="none" w:sz="0" w:space="0" w:color="auto"/>
            <w:bottom w:val="none" w:sz="0" w:space="0" w:color="auto"/>
            <w:right w:val="none" w:sz="0" w:space="0" w:color="auto"/>
          </w:pgBorders>
          <w:cols w:num="1" w:space="0"/>
          <w:docGrid w:type="lines" w:linePitch="312" w:charSpace="0"/>
        </w:sectPr>
      </w:pPr>
    </w:p>
    <w:tbl>
      <w:tblPr>
        <w:jc w:val="left"/>
        <w:tblInd w:w="-552" w:type="dxa"/>
        <w:tblW w:w="13090" w:type="dxa"/>
        <w:tblBorders>
          <w:top w:val="none" w:sz="0" w:space="0" w:color="auto"/>
          <w:left w:val="none" w:sz="0" w:space="0" w:color="auto"/>
          <w:bottom w:val="none" w:sz="0" w:space="0" w:color="auto"/>
          <w:right w:val="none" w:sz="0" w:space="0" w:color="auto"/>
        </w:tblBorders>
        <w:tblLayout w:type="fixed"/>
        <w:tblCellMar>
          <w:top w:w="15" w:type="dxa"/>
          <w:left w:w="15" w:type="dxa"/>
          <w:bottom w:w="15" w:type="dxa"/>
          <w:right w:w="15" w:type="dxa"/>
        </w:tblCellMar>
        <w:tblLook w:val="0600" w:firstRow="0" w:lastRow="0" w:firstColumn="0" w:lastColumn="0" w:noHBand="1" w:noVBand="1"/>
      </w:tblPr>
      <w:tblGrid>
        <w:gridCol w:w="723"/>
        <w:gridCol w:w="468"/>
        <w:gridCol w:w="357"/>
        <w:gridCol w:w="711"/>
        <w:gridCol w:w="77"/>
        <w:gridCol w:w="881"/>
        <w:gridCol w:w="97"/>
        <w:gridCol w:w="803"/>
        <w:gridCol w:w="252"/>
        <w:gridCol w:w="1056"/>
        <w:gridCol w:w="240"/>
        <w:gridCol w:w="740"/>
        <w:gridCol w:w="768"/>
        <w:gridCol w:w="492"/>
        <w:gridCol w:w="165"/>
        <w:gridCol w:w="731"/>
        <w:gridCol w:w="172"/>
        <w:gridCol w:w="803"/>
        <w:gridCol w:w="252"/>
        <w:gridCol w:w="939"/>
        <w:gridCol w:w="116"/>
        <w:gridCol w:w="240"/>
        <w:gridCol w:w="240"/>
        <w:gridCol w:w="1767"/>
      </w:tblGrid>
      <w:tr>
        <w:trPr>
          <w:trHeight w:val="600"/>
          <w:gridAfter w:val="4"/>
          <w:wAfter w:w="2363" w:type="dxa"/>
        </w:trPr>
        <w:tc>
          <w:tcPr>
            <w:tcW w:w="10727" w:type="dxa"/>
            <w:gridSpan w:val="20"/>
            <w:shd w:val="clear" w:color="auto" w:fill="FFFFFF"/>
            <w:vAlign w:val="center"/>
          </w:tcPr>
          <w:p>
            <w:pPr>
              <w:widowControl/>
              <w:jc w:val="center"/>
              <w:textAlignment w:val="center"/>
              <w:rPr>
                <w:rFonts w:ascii="华文中宋" w:eastAsia="华文中宋" w:cs="华文中宋" w:hAnsi="华文中宋"/>
                <w:b/>
                <w:bCs/>
                <w:color w:val="000000"/>
                <w:sz w:val="32"/>
                <w:szCs w:val="32"/>
              </w:rPr>
            </w:pPr>
            <w:r>
              <w:rPr>
                <w:rFonts w:ascii="华文中宋" w:eastAsia="华文中宋" w:cs="华文中宋" w:hAnsi="华文中宋" w:hint="eastAsia"/>
                <w:b/>
                <w:bCs/>
                <w:color w:val="000000"/>
                <w:kern w:val="0"/>
                <w:sz w:val="32"/>
                <w:szCs w:val="32"/>
              </w:rPr>
              <w:t>财政拨款“三公”经费支出决算表</w:t>
            </w:r>
          </w:p>
        </w:tc>
      </w:tr>
      <w:tr>
        <w:trPr>
          <w:trHeight w:val="211"/>
          <w:gridAfter w:val="1"/>
          <w:wAfter w:w="1767" w:type="dxa"/>
        </w:trPr>
        <w:tc>
          <w:tcPr>
            <w:tcW w:w="1191" w:type="dxa"/>
            <w:gridSpan w:val="2"/>
            <w:shd w:val="clear" w:color="auto" w:fill="auto"/>
            <w:vAlign w:val="center"/>
          </w:tcPr>
          <w:p>
            <w:pPr>
              <w:jc w:val="center"/>
              <w:rPr>
                <w:rFonts w:ascii="宋体" w:eastAsia="宋体" w:cs="宋体" w:hAnsi="宋体"/>
                <w:color w:val="000000"/>
                <w:sz w:val="24"/>
              </w:rPr>
            </w:pPr>
          </w:p>
        </w:tc>
        <w:tc>
          <w:tcPr>
            <w:tcW w:w="1068" w:type="dxa"/>
            <w:gridSpan w:val="2"/>
            <w:shd w:val="clear" w:color="auto" w:fill="auto"/>
            <w:vAlign w:val="center"/>
          </w:tcPr>
          <w:p>
            <w:pPr>
              <w:jc w:val="center"/>
              <w:rPr>
                <w:rFonts w:ascii="宋体" w:eastAsia="宋体" w:cs="宋体" w:hAnsi="宋体"/>
                <w:color w:val="000000"/>
                <w:sz w:val="24"/>
              </w:rPr>
            </w:pPr>
          </w:p>
        </w:tc>
        <w:tc>
          <w:tcPr>
            <w:tcW w:w="1055" w:type="dxa"/>
            <w:gridSpan w:val="3"/>
            <w:shd w:val="clear" w:color="auto" w:fill="auto"/>
            <w:vAlign w:val="center"/>
          </w:tcPr>
          <w:p>
            <w:pPr>
              <w:jc w:val="center"/>
              <w:rPr>
                <w:rFonts w:ascii="宋体" w:eastAsia="宋体" w:cs="宋体" w:hAnsi="宋体"/>
                <w:color w:val="000000"/>
                <w:sz w:val="24"/>
              </w:rPr>
            </w:pPr>
          </w:p>
        </w:tc>
        <w:tc>
          <w:tcPr>
            <w:tcW w:w="1055" w:type="dxa"/>
            <w:gridSpan w:val="2"/>
            <w:shd w:val="clear" w:color="auto" w:fill="auto"/>
            <w:vAlign w:val="center"/>
          </w:tcPr>
          <w:p>
            <w:pPr>
              <w:rPr>
                <w:rFonts w:ascii="宋体" w:eastAsia="宋体" w:cs="宋体" w:hAnsi="宋体"/>
                <w:color w:val="000000"/>
                <w:sz w:val="24"/>
              </w:rPr>
            </w:pPr>
          </w:p>
        </w:tc>
        <w:tc>
          <w:tcPr>
            <w:tcW w:w="1056" w:type="dxa"/>
            <w:shd w:val="clear" w:color="auto" w:fill="auto"/>
            <w:vAlign w:val="center"/>
          </w:tcPr>
          <w:p>
            <w:pPr>
              <w:rPr>
                <w:rFonts w:ascii="宋体" w:eastAsia="宋体" w:cs="宋体" w:hAnsi="宋体"/>
                <w:color w:val="000000"/>
                <w:sz w:val="24"/>
              </w:rPr>
            </w:pPr>
          </w:p>
        </w:tc>
        <w:tc>
          <w:tcPr>
            <w:tcW w:w="240" w:type="dxa"/>
            <w:shd w:val="clear" w:color="auto" w:fill="auto"/>
            <w:vAlign w:val="center"/>
          </w:tcPr>
          <w:p>
            <w:pPr>
              <w:widowControl/>
              <w:jc w:val="right"/>
              <w:textAlignment w:val="center"/>
              <w:rPr>
                <w:rFonts w:ascii="宋体" w:eastAsia="宋体" w:cs="宋体" w:hAnsi="宋体"/>
                <w:color w:val="000000"/>
                <w:sz w:val="24"/>
              </w:rPr>
            </w:pPr>
          </w:p>
        </w:tc>
        <w:tc>
          <w:tcPr>
            <w:tcW w:w="2000" w:type="dxa"/>
            <w:gridSpan w:val="3"/>
            <w:shd w:val="clear" w:color="auto" w:fill="auto"/>
            <w:vAlign w:val="bottom"/>
          </w:tcPr>
          <w:p>
            <w:pPr>
              <w:jc w:val="right"/>
              <w:rPr>
                <w:rFonts w:ascii="宋体" w:eastAsia="宋体" w:cs="宋体" w:hAnsi="宋体"/>
                <w:color w:val="000000"/>
                <w:sz w:val="24"/>
              </w:rPr>
            </w:pPr>
          </w:p>
        </w:tc>
        <w:tc>
          <w:tcPr>
            <w:tcW w:w="1068" w:type="dxa"/>
            <w:gridSpan w:val="3"/>
            <w:shd w:val="clear" w:color="auto" w:fill="auto"/>
            <w:vAlign w:val="bottom"/>
          </w:tcPr>
          <w:p>
            <w:pPr>
              <w:wordWrap w:val="0"/>
              <w:jc w:val="right"/>
              <w:rPr>
                <w:rFonts w:ascii="宋体" w:eastAsia="宋体" w:cs="宋体" w:hAnsi="宋体"/>
                <w:color w:val="000000"/>
                <w:sz w:val="24"/>
              </w:rPr>
            </w:pPr>
          </w:p>
        </w:tc>
        <w:tc>
          <w:tcPr>
            <w:tcW w:w="1055" w:type="dxa"/>
            <w:gridSpan w:val="2"/>
            <w:shd w:val="clear" w:color="auto" w:fill="auto"/>
            <w:vAlign w:val="bottom"/>
          </w:tcPr>
          <w:p>
            <w:pPr>
              <w:jc w:val="right"/>
              <w:rPr>
                <w:rFonts w:ascii="宋体" w:eastAsia="宋体" w:cs="宋体" w:hAnsi="宋体"/>
                <w:color w:val="000000"/>
                <w:sz w:val="24"/>
              </w:rPr>
            </w:pPr>
          </w:p>
        </w:tc>
        <w:tc>
          <w:tcPr>
            <w:tcW w:w="1055" w:type="dxa"/>
            <w:gridSpan w:val="2"/>
            <w:shd w:val="clear" w:color="auto" w:fill="auto"/>
            <w:vAlign w:val="bottom"/>
          </w:tcPr>
          <w:p>
            <w:pPr>
              <w:jc w:val="left"/>
              <w:rPr>
                <w:rFonts w:ascii="宋体" w:eastAsia="宋体" w:cs="宋体" w:hAnsi="宋体"/>
                <w:color w:val="000000"/>
                <w:sz w:val="24"/>
              </w:rPr>
            </w:pPr>
            <w:r>
              <w:rPr>
                <w:rFonts w:ascii="宋体" w:eastAsia="宋体" w:cs="宋体" w:hAnsi="宋体" w:hint="eastAsia"/>
                <w:color w:val="000000"/>
                <w:szCs w:val="21"/>
              </w:rPr>
              <w:t>公开09表</w:t>
            </w:r>
          </w:p>
        </w:tc>
        <w:tc>
          <w:tcPr>
            <w:tcW w:w="240" w:type="dxa"/>
            <w:shd w:val="clear" w:color="auto" w:fill="auto"/>
            <w:vAlign w:val="bottom"/>
          </w:tcPr>
          <w:p>
            <w:pPr>
              <w:rPr>
                <w:rFonts w:ascii="宋体" w:eastAsia="宋体" w:cs="宋体" w:hAnsi="宋体"/>
                <w:color w:val="000000"/>
                <w:sz w:val="24"/>
              </w:rPr>
            </w:pPr>
          </w:p>
        </w:tc>
        <w:tc>
          <w:tcPr>
            <w:tcW w:w="240" w:type="dxa"/>
            <w:shd w:val="clear" w:color="auto" w:fill="FFFFFF"/>
            <w:vAlign w:val="center"/>
          </w:tcPr>
          <w:p>
            <w:pPr>
              <w:widowControl/>
              <w:jc w:val="right"/>
              <w:textAlignment w:val="center"/>
              <w:rPr>
                <w:rFonts w:ascii="宋体" w:eastAsia="宋体" w:cs="宋体" w:hAnsi="宋体"/>
                <w:color w:val="000000"/>
                <w:sz w:val="20"/>
                <w:szCs w:val="20"/>
              </w:rPr>
            </w:pPr>
          </w:p>
        </w:tc>
      </w:tr>
      <w:tr>
        <w:trPr>
          <w:trHeight w:val="301"/>
          <w:gridAfter w:val="1"/>
          <w:wAfter w:w="1767" w:type="dxa"/>
        </w:trPr>
        <w:tc>
          <w:tcPr>
            <w:tcW w:w="1191" w:type="dxa"/>
            <w:gridSpan w:val="2"/>
            <w:shd w:val="clear" w:color="auto" w:fill="FFFFFF"/>
            <w:vAlign w:val="center"/>
          </w:tcPr>
          <w:p>
            <w:pPr>
              <w:widowControl/>
              <w:jc w:val="lef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部门：</w:t>
            </w:r>
          </w:p>
        </w:tc>
        <w:tc>
          <w:tcPr>
            <w:tcW w:w="1068" w:type="dxa"/>
            <w:gridSpan w:val="2"/>
            <w:shd w:val="clear" w:color="auto" w:fill="FFFFFF"/>
            <w:vAlign w:val="center"/>
          </w:tcPr>
          <w:p>
            <w:pPr>
              <w:jc w:val="center"/>
              <w:rPr>
                <w:rFonts w:ascii="宋体" w:eastAsia="宋体" w:cs="宋体" w:hAnsi="宋体"/>
                <w:color w:val="000000"/>
                <w:sz w:val="20"/>
                <w:szCs w:val="20"/>
              </w:rPr>
            </w:pPr>
          </w:p>
        </w:tc>
        <w:tc>
          <w:tcPr>
            <w:tcW w:w="1055" w:type="dxa"/>
            <w:gridSpan w:val="3"/>
            <w:shd w:val="clear" w:color="auto" w:fill="FFFFFF"/>
            <w:vAlign w:val="center"/>
          </w:tcPr>
          <w:p>
            <w:pPr>
              <w:jc w:val="center"/>
              <w:rPr>
                <w:rFonts w:ascii="宋体" w:eastAsia="宋体" w:cs="宋体" w:hAnsi="宋体"/>
                <w:color w:val="000000"/>
                <w:sz w:val="20"/>
                <w:szCs w:val="20"/>
              </w:rPr>
            </w:pPr>
          </w:p>
        </w:tc>
        <w:tc>
          <w:tcPr>
            <w:tcW w:w="1055" w:type="dxa"/>
            <w:gridSpan w:val="2"/>
            <w:shd w:val="clear" w:color="auto" w:fill="FFFFFF"/>
            <w:vAlign w:val="center"/>
          </w:tcPr>
          <w:p>
            <w:pPr>
              <w:jc w:val="right"/>
              <w:rPr>
                <w:rFonts w:ascii="宋体" w:eastAsia="宋体" w:cs="宋体" w:hAnsi="宋体"/>
                <w:color w:val="000000"/>
                <w:sz w:val="20"/>
                <w:szCs w:val="20"/>
              </w:rPr>
            </w:pPr>
          </w:p>
        </w:tc>
        <w:tc>
          <w:tcPr>
            <w:tcW w:w="1056" w:type="dxa"/>
            <w:shd w:val="clear" w:color="auto" w:fill="FFFFFF"/>
            <w:vAlign w:val="center"/>
          </w:tcPr>
          <w:p>
            <w:pPr>
              <w:rPr>
                <w:rFonts w:ascii="宋体" w:eastAsia="宋体" w:cs="宋体" w:hAnsi="宋体"/>
                <w:color w:val="000000"/>
                <w:sz w:val="20"/>
                <w:szCs w:val="20"/>
              </w:rPr>
            </w:pPr>
            <w:r>
              <w:rPr>
                <w:rFonts w:ascii="宋体" w:eastAsia="宋体" w:cs="宋体" w:hAnsi="宋体" w:hint="eastAsia"/>
                <w:color w:val="000000"/>
                <w:sz w:val="20"/>
                <w:szCs w:val="20"/>
              </w:rPr>
              <w:t>2023年度</w:t>
            </w:r>
          </w:p>
        </w:tc>
        <w:tc>
          <w:tcPr>
            <w:tcW w:w="240" w:type="dxa"/>
            <w:shd w:val="clear" w:color="auto" w:fill="FFFFFF"/>
            <w:vAlign w:val="center"/>
          </w:tcPr>
          <w:p>
            <w:pPr>
              <w:widowControl/>
              <w:ind w:rightChars="-2404" w:right="-5048"/>
              <w:jc w:val="right"/>
              <w:textAlignment w:val="center"/>
              <w:rPr>
                <w:rFonts w:ascii="宋体" w:eastAsia="宋体" w:cs="宋体" w:hAnsi="宋体"/>
                <w:color w:val="000000"/>
                <w:sz w:val="20"/>
                <w:szCs w:val="20"/>
              </w:rPr>
            </w:pPr>
            <w:r>
              <w:rPr>
                <w:rFonts w:ascii="宋体" w:eastAsia="宋体" w:cs="宋体" w:hAnsi="宋体" w:hint="eastAsia"/>
                <w:color w:val="000000"/>
                <w:kern w:val="0"/>
                <w:sz w:val="20"/>
                <w:szCs w:val="20"/>
              </w:rPr>
              <w:t>单位：万元</w:t>
            </w:r>
          </w:p>
        </w:tc>
        <w:tc>
          <w:tcPr>
            <w:tcW w:w="5418" w:type="dxa"/>
            <w:gridSpan w:val="11"/>
            <w:shd w:val="clear" w:color="auto" w:fill="FFFFFF"/>
            <w:vAlign w:val="center"/>
          </w:tcPr>
          <w:p>
            <w:pPr>
              <w:widowControl/>
              <w:tabs>
                <w:tab w:val="left" w:pos="630"/>
                <w:tab w:val="left" w:pos="5250"/>
              </w:tabs>
              <w:ind w:rightChars="165" w:right="346"/>
              <w:jc w:val="left"/>
              <w:rPr>
                <w:rFonts w:ascii="宋体" w:eastAsia="宋体" w:cs="宋体" w:hAnsi="宋体"/>
                <w:color w:val="000000"/>
                <w:sz w:val="20"/>
                <w:szCs w:val="20"/>
              </w:rPr>
            </w:pPr>
            <w:r>
              <w:rPr>
                <w:rFonts w:ascii="宋体" w:eastAsia="宋体" w:cs="宋体" w:hAnsi="宋体" w:hint="eastAsia"/>
                <w:color w:val="000000"/>
                <w:kern w:val="0"/>
                <w:sz w:val="20"/>
                <w:szCs w:val="20"/>
              </w:rPr>
              <w:t>单位：万元</w:t>
            </w:r>
          </w:p>
        </w:tc>
        <w:tc>
          <w:tcPr>
            <w:tcW w:w="240" w:type="dxa"/>
            <w:shd w:val="clear" w:color="auto" w:fill="FFFFFF"/>
            <w:vAlign w:val="center"/>
          </w:tcPr>
          <w:p>
            <w:pPr>
              <w:widowControl/>
              <w:jc w:val="right"/>
              <w:textAlignment w:val="center"/>
              <w:rPr>
                <w:rFonts w:ascii="宋体" w:eastAsia="宋体" w:cs="宋体" w:hAnsi="宋体"/>
                <w:color w:val="000000"/>
                <w:sz w:val="20"/>
                <w:szCs w:val="20"/>
              </w:rPr>
            </w:pPr>
          </w:p>
        </w:tc>
      </w:tr>
      <w:tr>
        <w:trPr>
          <w:trHeight w:val="555"/>
          <w:gridAfter w:val="4"/>
          <w:wAfter w:w="2363" w:type="dxa"/>
        </w:trPr>
        <w:tc>
          <w:tcPr>
            <w:tcW w:w="5665" w:type="dxa"/>
            <w:gridSpan w:val="11"/>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2"/>
              </w:rPr>
            </w:pPr>
            <w:r>
              <w:rPr>
                <w:rFonts w:ascii="宋体" w:eastAsia="宋体" w:cs="宋体" w:hAnsi="宋体" w:hint="eastAsia"/>
                <w:color w:val="000000"/>
                <w:kern w:val="0"/>
                <w:sz w:val="22"/>
              </w:rPr>
              <w:t>预算数</w:t>
            </w:r>
          </w:p>
        </w:tc>
        <w:tc>
          <w:tcPr>
            <w:tcW w:w="5062" w:type="dxa"/>
            <w:gridSpan w:val="9"/>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2"/>
              </w:rPr>
            </w:pPr>
            <w:r>
              <w:rPr>
                <w:rFonts w:ascii="宋体" w:eastAsia="宋体" w:cs="宋体" w:hAnsi="宋体" w:hint="eastAsia"/>
                <w:color w:val="000000"/>
                <w:kern w:val="0"/>
                <w:sz w:val="22"/>
              </w:rPr>
              <w:t>决算数</w:t>
            </w:r>
          </w:p>
        </w:tc>
      </w:tr>
      <w:tr>
        <w:trPr>
          <w:trHeight w:val="600"/>
          <w:gridAfter w:val="4"/>
          <w:wAfter w:w="2363" w:type="dxa"/>
        </w:trPr>
        <w:tc>
          <w:tcPr>
            <w:tcW w:w="72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2"/>
              </w:rPr>
            </w:pPr>
            <w:r>
              <w:rPr>
                <w:rFonts w:ascii="宋体" w:eastAsia="宋体" w:cs="宋体" w:hAnsi="宋体" w:hint="eastAsia"/>
                <w:b/>
                <w:bCs/>
                <w:color w:val="000000"/>
                <w:kern w:val="0"/>
                <w:sz w:val="22"/>
              </w:rPr>
              <w:t>合计</w:t>
            </w:r>
          </w:p>
        </w:tc>
        <w:tc>
          <w:tcPr>
            <w:tcW w:w="825"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2"/>
              </w:rPr>
            </w:pPr>
            <w:r>
              <w:rPr>
                <w:rFonts w:ascii="宋体" w:eastAsia="宋体" w:cs="宋体" w:hAnsi="宋体" w:hint="eastAsia"/>
                <w:b/>
                <w:bCs/>
                <w:color w:val="000000"/>
                <w:kern w:val="0"/>
                <w:sz w:val="22"/>
              </w:rPr>
              <w:t>因公出国（境）费</w:t>
            </w:r>
          </w:p>
        </w:tc>
        <w:tc>
          <w:tcPr>
            <w:tcW w:w="2569"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2"/>
              </w:rPr>
            </w:pPr>
            <w:r>
              <w:rPr>
                <w:rFonts w:ascii="宋体" w:eastAsia="宋体" w:cs="宋体" w:hAnsi="宋体" w:hint="eastAsia"/>
                <w:b/>
                <w:bCs/>
                <w:color w:val="000000"/>
                <w:kern w:val="0"/>
                <w:sz w:val="22"/>
              </w:rPr>
              <w:t>公务用车购置及运行维护费</w:t>
            </w:r>
          </w:p>
        </w:tc>
        <w:tc>
          <w:tcPr>
            <w:tcW w:w="1548"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2"/>
              </w:rPr>
            </w:pPr>
            <w:r>
              <w:rPr>
                <w:rFonts w:ascii="宋体" w:eastAsia="宋体" w:cs="宋体" w:hAnsi="宋体" w:hint="eastAsia"/>
                <w:b/>
                <w:bCs/>
                <w:color w:val="000000"/>
                <w:kern w:val="0"/>
                <w:sz w:val="22"/>
              </w:rPr>
              <w:t>公务接待费</w:t>
            </w:r>
          </w:p>
        </w:tc>
        <w:tc>
          <w:tcPr>
            <w:tcW w:w="74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2"/>
              </w:rPr>
            </w:pPr>
            <w:r>
              <w:rPr>
                <w:rFonts w:ascii="宋体" w:eastAsia="宋体" w:cs="宋体" w:hAnsi="宋体" w:hint="eastAsia"/>
                <w:b/>
                <w:bCs/>
                <w:color w:val="000000"/>
                <w:kern w:val="0"/>
                <w:sz w:val="22"/>
              </w:rPr>
              <w:t>合计</w:t>
            </w:r>
          </w:p>
        </w:tc>
        <w:tc>
          <w:tcPr>
            <w:tcW w:w="76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2"/>
              </w:rPr>
            </w:pPr>
            <w:r>
              <w:rPr>
                <w:rFonts w:ascii="宋体" w:eastAsia="宋体" w:cs="宋体" w:hAnsi="宋体" w:hint="eastAsia"/>
                <w:b/>
                <w:bCs/>
                <w:color w:val="000000"/>
                <w:kern w:val="0"/>
                <w:sz w:val="22"/>
              </w:rPr>
              <w:t>因公出国（境）费</w:t>
            </w:r>
          </w:p>
        </w:tc>
        <w:tc>
          <w:tcPr>
            <w:tcW w:w="2363"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2"/>
              </w:rPr>
            </w:pPr>
            <w:r>
              <w:rPr>
                <w:rFonts w:ascii="宋体" w:eastAsia="宋体" w:cs="宋体" w:hAnsi="宋体" w:hint="eastAsia"/>
                <w:b/>
                <w:bCs/>
                <w:color w:val="000000"/>
                <w:kern w:val="0"/>
                <w:sz w:val="22"/>
              </w:rPr>
              <w:t>公务用车购置及运行维护费</w:t>
            </w:r>
          </w:p>
        </w:tc>
        <w:tc>
          <w:tcPr>
            <w:tcW w:w="1191" w:type="dxa"/>
            <w:gridSpan w:val="2"/>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2"/>
              </w:rPr>
            </w:pPr>
            <w:r>
              <w:rPr>
                <w:rFonts w:ascii="宋体" w:eastAsia="宋体" w:cs="宋体" w:hAnsi="宋体" w:hint="eastAsia"/>
                <w:b/>
                <w:bCs/>
                <w:color w:val="000000"/>
                <w:kern w:val="0"/>
                <w:sz w:val="22"/>
              </w:rPr>
              <w:t>公务接待费</w:t>
            </w:r>
          </w:p>
        </w:tc>
      </w:tr>
      <w:tr>
        <w:trPr>
          <w:trHeight w:val="600"/>
          <w:gridAfter w:val="4"/>
          <w:wAfter w:w="2363" w:type="dxa"/>
        </w:trPr>
        <w:tc>
          <w:tcPr>
            <w:tcW w:w="72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825"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2"/>
              </w:rPr>
            </w:pPr>
            <w:r>
              <w:rPr>
                <w:rFonts w:ascii="宋体" w:eastAsia="宋体" w:cs="宋体" w:hAnsi="宋体" w:hint="eastAsia"/>
                <w:b/>
                <w:bCs/>
                <w:color w:val="000000"/>
                <w:kern w:val="0"/>
                <w:sz w:val="22"/>
              </w:rPr>
              <w:t>小计</w:t>
            </w: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2"/>
              </w:rPr>
            </w:pPr>
            <w:r>
              <w:rPr>
                <w:rFonts w:ascii="宋体" w:eastAsia="宋体" w:cs="宋体" w:hAnsi="宋体" w:hint="eastAsia"/>
                <w:b/>
                <w:bCs/>
                <w:color w:val="000000"/>
                <w:kern w:val="0"/>
                <w:sz w:val="22"/>
              </w:rPr>
              <w:t>公务用车购置费</w:t>
            </w:r>
          </w:p>
        </w:tc>
        <w:tc>
          <w:tcPr>
            <w:tcW w:w="90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2"/>
              </w:rPr>
            </w:pPr>
            <w:r>
              <w:rPr>
                <w:rFonts w:ascii="宋体" w:eastAsia="宋体" w:cs="宋体" w:hAnsi="宋体" w:hint="eastAsia"/>
                <w:b/>
                <w:bCs/>
                <w:color w:val="000000"/>
                <w:kern w:val="0"/>
                <w:sz w:val="22"/>
              </w:rPr>
              <w:t>公务用车运行维护费</w:t>
            </w:r>
          </w:p>
        </w:tc>
        <w:tc>
          <w:tcPr>
            <w:tcW w:w="1548"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7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76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tc>
        <w:tc>
          <w:tcPr>
            <w:tcW w:w="65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2"/>
              </w:rPr>
            </w:pPr>
            <w:r>
              <w:rPr>
                <w:rFonts w:ascii="宋体" w:eastAsia="宋体" w:cs="宋体" w:hAnsi="宋体" w:hint="eastAsia"/>
                <w:b/>
                <w:bCs/>
                <w:color w:val="000000"/>
                <w:kern w:val="0"/>
                <w:sz w:val="22"/>
              </w:rPr>
              <w:t>小计</w:t>
            </w:r>
          </w:p>
        </w:tc>
        <w:tc>
          <w:tcPr>
            <w:tcW w:w="73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sz w:val="22"/>
              </w:rPr>
            </w:pPr>
            <w:r>
              <w:rPr>
                <w:rFonts w:ascii="宋体" w:eastAsia="宋体" w:cs="宋体" w:hAnsi="宋体" w:hint="eastAsia"/>
                <w:b/>
                <w:bCs/>
                <w:color w:val="000000"/>
                <w:kern w:val="0"/>
                <w:sz w:val="22"/>
              </w:rPr>
              <w:t>公务用车购置费</w:t>
            </w:r>
          </w:p>
        </w:tc>
        <w:tc>
          <w:tcPr>
            <w:tcW w:w="97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b/>
                <w:bCs/>
                <w:color w:val="000000"/>
                <w:kern w:val="0"/>
                <w:sz w:val="22"/>
              </w:rPr>
            </w:pPr>
            <w:r>
              <w:rPr>
                <w:rFonts w:ascii="宋体" w:eastAsia="宋体" w:cs="宋体" w:hAnsi="宋体" w:hint="eastAsia"/>
                <w:b/>
                <w:bCs/>
                <w:color w:val="000000"/>
                <w:kern w:val="0"/>
                <w:sz w:val="22"/>
              </w:rPr>
              <w:t>公务用车</w:t>
            </w:r>
          </w:p>
          <w:p>
            <w:pPr>
              <w:widowControl/>
              <w:jc w:val="center"/>
              <w:textAlignment w:val="center"/>
              <w:rPr>
                <w:rFonts w:ascii="宋体" w:eastAsia="宋体" w:cs="宋体" w:hAnsi="宋体"/>
                <w:b/>
                <w:bCs/>
                <w:color w:val="000000"/>
                <w:sz w:val="22"/>
              </w:rPr>
            </w:pPr>
            <w:r>
              <w:rPr>
                <w:rFonts w:ascii="宋体" w:eastAsia="宋体" w:cs="宋体" w:hAnsi="宋体" w:hint="eastAsia"/>
                <w:b/>
                <w:bCs/>
                <w:color w:val="000000"/>
                <w:kern w:val="0"/>
                <w:sz w:val="22"/>
              </w:rPr>
              <w:t>运行维护费</w:t>
            </w:r>
          </w:p>
        </w:tc>
        <w:tc>
          <w:tcPr>
            <w:tcW w:w="1191" w:type="dxa"/>
            <w:gridSpan w:val="2"/>
            <w:vMerge/>
            <w:tcBorders>
              <w:top w:val="single" w:sz="4" w:space="0" w:color="000000"/>
              <w:left w:val="single" w:sz="4" w:space="0" w:color="000000"/>
              <w:bottom w:val="single" w:sz="4" w:space="0" w:color="000000"/>
              <w:right w:val="single" w:sz="4" w:space="0" w:color="000000"/>
            </w:tcBorders>
            <w:shd w:val="clear" w:color="auto" w:fill="auto"/>
            <w:vAlign w:val="center"/>
          </w:tcPr>
          <w:p/>
        </w:tc>
      </w:tr>
      <w:tr>
        <w:trPr>
          <w:trHeight w:val="555"/>
          <w:gridAfter w:val="4"/>
          <w:wAfter w:w="2363" w:type="dxa"/>
        </w:trPr>
        <w:tc>
          <w:tcPr>
            <w:tcW w:w="723"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2"/>
              </w:rPr>
            </w:pPr>
            <w:r>
              <w:rPr>
                <w:rFonts w:ascii="宋体" w:eastAsia="宋体" w:cs="宋体" w:hAnsi="宋体" w:hint="eastAsia"/>
                <w:color w:val="000000"/>
                <w:kern w:val="0"/>
                <w:sz w:val="22"/>
              </w:rPr>
              <w:t>1</w:t>
            </w: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2"/>
              </w:rPr>
            </w:pPr>
            <w:r>
              <w:rPr>
                <w:rFonts w:ascii="宋体" w:eastAsia="宋体" w:cs="宋体" w:hAnsi="宋体" w:hint="eastAsia"/>
                <w:color w:val="000000"/>
                <w:kern w:val="0"/>
                <w:sz w:val="22"/>
              </w:rPr>
              <w:t>2</w:t>
            </w: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2"/>
              </w:rPr>
            </w:pPr>
            <w:r>
              <w:rPr>
                <w:rFonts w:ascii="宋体" w:eastAsia="宋体" w:cs="宋体" w:hAnsi="宋体" w:hint="eastAsia"/>
                <w:color w:val="000000"/>
                <w:kern w:val="0"/>
                <w:sz w:val="22"/>
              </w:rPr>
              <w:t>3</w:t>
            </w: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2"/>
              </w:rPr>
            </w:pPr>
            <w:r>
              <w:rPr>
                <w:rFonts w:ascii="宋体" w:eastAsia="宋体" w:cs="宋体" w:hAnsi="宋体" w:hint="eastAsia"/>
                <w:color w:val="000000"/>
                <w:kern w:val="0"/>
                <w:sz w:val="22"/>
              </w:rPr>
              <w:t>4</w:t>
            </w:r>
          </w:p>
        </w:tc>
        <w:tc>
          <w:tcPr>
            <w:tcW w:w="90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2"/>
              </w:rPr>
            </w:pPr>
            <w:r>
              <w:rPr>
                <w:rFonts w:ascii="宋体" w:eastAsia="宋体" w:cs="宋体" w:hAnsi="宋体" w:hint="eastAsia"/>
                <w:color w:val="000000"/>
                <w:kern w:val="0"/>
                <w:sz w:val="22"/>
              </w:rPr>
              <w:t>5</w:t>
            </w:r>
          </w:p>
        </w:tc>
        <w:tc>
          <w:tcPr>
            <w:tcW w:w="154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2"/>
              </w:rPr>
            </w:pPr>
            <w:r>
              <w:rPr>
                <w:rFonts w:ascii="宋体" w:eastAsia="宋体" w:cs="宋体" w:hAnsi="宋体" w:hint="eastAsia"/>
                <w:color w:val="000000"/>
                <w:kern w:val="0"/>
                <w:sz w:val="22"/>
              </w:rPr>
              <w:t>6</w:t>
            </w:r>
          </w:p>
        </w:tc>
        <w:tc>
          <w:tcPr>
            <w:tcW w:w="740"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2"/>
              </w:rPr>
            </w:pPr>
            <w:r>
              <w:rPr>
                <w:rFonts w:ascii="宋体" w:eastAsia="宋体" w:cs="宋体" w:hAnsi="宋体" w:hint="eastAsia"/>
                <w:color w:val="000000"/>
                <w:kern w:val="0"/>
                <w:sz w:val="22"/>
              </w:rPr>
              <w:t>7</w:t>
            </w:r>
          </w:p>
        </w:tc>
        <w:tc>
          <w:tcPr>
            <w:tcW w:w="768"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2"/>
              </w:rPr>
            </w:pPr>
            <w:r>
              <w:rPr>
                <w:rFonts w:ascii="宋体" w:eastAsia="宋体" w:cs="宋体" w:hAnsi="宋体" w:hint="eastAsia"/>
                <w:color w:val="000000"/>
                <w:kern w:val="0"/>
                <w:sz w:val="22"/>
              </w:rPr>
              <w:t>8</w:t>
            </w:r>
          </w:p>
        </w:tc>
        <w:tc>
          <w:tcPr>
            <w:tcW w:w="65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2"/>
              </w:rPr>
            </w:pPr>
            <w:r>
              <w:rPr>
                <w:rFonts w:ascii="宋体" w:eastAsia="宋体" w:cs="宋体" w:hAnsi="宋体" w:hint="eastAsia"/>
                <w:color w:val="000000"/>
                <w:kern w:val="0"/>
                <w:sz w:val="22"/>
              </w:rPr>
              <w:t>9</w:t>
            </w:r>
          </w:p>
        </w:tc>
        <w:tc>
          <w:tcPr>
            <w:tcW w:w="731" w:type="dxa"/>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2"/>
              </w:rPr>
            </w:pPr>
            <w:r>
              <w:rPr>
                <w:rFonts w:ascii="宋体" w:eastAsia="宋体" w:cs="宋体" w:hAnsi="宋体" w:hint="eastAsia"/>
                <w:color w:val="000000"/>
                <w:kern w:val="0"/>
                <w:sz w:val="22"/>
              </w:rPr>
              <w:t>10</w:t>
            </w:r>
          </w:p>
        </w:tc>
        <w:tc>
          <w:tcPr>
            <w:tcW w:w="97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2"/>
              </w:rPr>
            </w:pPr>
            <w:r>
              <w:rPr>
                <w:rFonts w:ascii="宋体" w:eastAsia="宋体" w:cs="宋体" w:hAnsi="宋体" w:hint="eastAsia"/>
                <w:color w:val="000000"/>
                <w:kern w:val="0"/>
                <w:sz w:val="22"/>
              </w:rPr>
              <w:t>11</w:t>
            </w:r>
          </w:p>
        </w:tc>
        <w:tc>
          <w:tcPr>
            <w:tcW w:w="119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widowControl/>
              <w:jc w:val="center"/>
              <w:textAlignment w:val="center"/>
              <w:rPr>
                <w:rFonts w:ascii="宋体" w:eastAsia="宋体" w:cs="宋体" w:hAnsi="宋体"/>
                <w:color w:val="000000"/>
                <w:sz w:val="22"/>
              </w:rPr>
            </w:pPr>
            <w:r>
              <w:rPr>
                <w:rFonts w:ascii="宋体" w:eastAsia="宋体" w:cs="宋体" w:hAnsi="宋体" w:hint="eastAsia"/>
                <w:color w:val="000000"/>
                <w:kern w:val="0"/>
                <w:sz w:val="22"/>
              </w:rPr>
              <w:t>12</w:t>
            </w:r>
          </w:p>
        </w:tc>
      </w:tr>
      <w:tr>
        <w:trPr>
          <w:trHeight w:val="427"/>
          <w:gridAfter w:val="4"/>
          <w:wAfter w:w="2363" w:type="dxa"/>
        </w:trPr>
        <w:tc>
          <w:tcPr>
            <w:tcW w:w="723"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2"/>
              </w:rPr>
            </w:pP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2"/>
              </w:rPr>
            </w:pPr>
          </w:p>
        </w:tc>
        <w:tc>
          <w:tcPr>
            <w:tcW w:w="78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2"/>
              </w:rPr>
            </w:pPr>
          </w:p>
        </w:tc>
        <w:tc>
          <w:tcPr>
            <w:tcW w:w="88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2"/>
              </w:rPr>
            </w:pPr>
          </w:p>
        </w:tc>
        <w:tc>
          <w:tcPr>
            <w:tcW w:w="90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2"/>
              </w:rPr>
            </w:pPr>
          </w:p>
        </w:tc>
        <w:tc>
          <w:tcPr>
            <w:tcW w:w="154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2"/>
              </w:rPr>
            </w:pPr>
          </w:p>
        </w:tc>
        <w:tc>
          <w:tcPr>
            <w:tcW w:w="740"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2"/>
              </w:rPr>
            </w:pPr>
          </w:p>
        </w:tc>
        <w:tc>
          <w:tcPr>
            <w:tcW w:w="768"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2"/>
              </w:rPr>
            </w:pPr>
          </w:p>
        </w:tc>
        <w:tc>
          <w:tcPr>
            <w:tcW w:w="65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2"/>
              </w:rPr>
            </w:pPr>
          </w:p>
        </w:tc>
        <w:tc>
          <w:tcPr>
            <w:tcW w:w="731" w:type="dxa"/>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2"/>
              </w:rPr>
            </w:pPr>
          </w:p>
        </w:tc>
        <w:tc>
          <w:tcPr>
            <w:tcW w:w="975"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2"/>
              </w:rPr>
            </w:pPr>
          </w:p>
        </w:tc>
        <w:tc>
          <w:tcPr>
            <w:tcW w:w="119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pPr>
              <w:rPr>
                <w:rFonts w:ascii="宋体" w:eastAsia="宋体" w:cs="宋体" w:hAnsi="宋体"/>
                <w:color w:val="000000"/>
                <w:sz w:val="22"/>
              </w:rPr>
            </w:pPr>
          </w:p>
        </w:tc>
      </w:tr>
      <w:tr>
        <w:trPr>
          <w:trHeight w:val="900"/>
        </w:trPr>
        <w:tc>
          <w:tcPr>
            <w:tcW w:w="13090" w:type="dxa"/>
            <w:gridSpan w:val="24"/>
            <w:shd w:val="clear" w:color="auto" w:fill="auto"/>
            <w:vAlign w:val="center"/>
          </w:tcPr>
          <w:p>
            <w:pPr>
              <w:widowControl/>
              <w:ind w:rightChars="1114" w:right="2339"/>
              <w:jc w:val="left"/>
              <w:textAlignment w:val="center"/>
              <w:rPr>
                <w:rFonts w:ascii="宋体" w:eastAsia="宋体" w:cs="宋体" w:hAnsi="宋体"/>
                <w:color w:val="000000"/>
                <w:sz w:val="24"/>
              </w:rPr>
            </w:pPr>
            <w:r>
              <w:rPr>
                <w:rFonts w:ascii="宋体" w:eastAsia="宋体" w:cs="宋体" w:hAnsi="宋体" w:hint="eastAsia"/>
                <w:color w:val="000000"/>
                <w:kern w:val="0"/>
                <w:sz w:val="24"/>
                <w:szCs w:val="24"/>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widowControl/>
        <w:spacing w:after="160" w:line="580" w:lineRule="exact"/>
        <w:ind w:firstLineChars="316" w:firstLine="2275"/>
        <w:rPr>
          <w:rFonts w:eastAsia="黑体"/>
          <w:sz w:val="32"/>
          <w:szCs w:val="32"/>
        </w:rPr>
      </w:pPr>
      <w:r>
        <w:rPr>
          <w:sz w:val="72"/>
        </w:rPr>
        <mc:AlternateContent>
          <mc:Choice Requires="wps">
            <w:drawing>
              <wp:anchor distT="0" distB="0" distL="114300" distR="114300" simplePos="0" relativeHeight="35" behindDoc="0" locked="0" layoutInCell="1" hidden="0" allowOverlap="1">
                <wp:simplePos x="0" y="0"/>
                <wp:positionH relativeFrom="column">
                  <wp:posOffset>-1088389</wp:posOffset>
                </wp:positionH>
                <wp:positionV relativeFrom="paragraph">
                  <wp:posOffset>3024504</wp:posOffset>
                </wp:positionV>
                <wp:extent cx="7793355" cy="2200275"/>
                <wp:wrapNone/>
                <wp:docPr id="1034" name="文本框 151"/>
                <wp:cNvGraphicFramePr>
                  <a:graphicFrameLocks noChangeAspect="0"/>
                </wp:cNvGraphicFramePr>
                <a:graphic>
                  <a:graphicData uri="http://schemas.microsoft.com/office/word/2010/wordprocessingShape">
                    <wps:wsp>
                      <wps:cNvSpPr/>
                      <wps:spPr>
                        <a:xfrm rot="0">
                          <a:off x="0" y="0"/>
                          <a:ext cx="7793355" cy="2200275"/>
                        </a:xfrm>
                        <a:prstGeom prst="rect"/>
                        <a:noFill/>
                        <a:ln w="9525" cmpd="sng" cap="flat">
                          <a:noFill/>
                          <a:prstDash val="solid"/>
                          <a:miter/>
                        </a:ln>
                      </wps:spPr>
                      <wps:txbx id="37">
                        <w:txbxContent>
                          <w:p>
                            <w:pPr>
                              <w:widowControl/>
                              <w:jc w:val="center"/>
                              <w:rPr>
                                <w:rFonts w:ascii="黑体" w:eastAsia="黑体" w:cs="黑体" w:hAnsi="黑体"/>
                                <w:color w:val="000000"/>
                                <w:sz w:val="96"/>
                                <w:szCs w:val="96"/>
                              </w:rPr>
                            </w:pPr>
                          </w:p>
                          <w:p>
                            <w:pPr>
                              <w:widowControl/>
                              <w:jc w:val="center"/>
                              <w:rPr>
                                <w:rFonts w:ascii="黑体" w:eastAsia="黑体" w:cs="黑体" w:hAnsi="黑体"/>
                                <w:color w:val="000000"/>
                                <w:sz w:val="96"/>
                                <w:szCs w:val="96"/>
                              </w:rPr>
                            </w:pPr>
                          </w:p>
                        </w:txbxContent>
                      </wps:txbx>
                      <wps:bodyPr vert="horz" wrap="square" lIns="91440" tIns="45720" rIns="91440" bIns="45720" anchor="t" anchorCtr="0" upright="1">
                        <a:noAutofit/>
                      </wps:bodyPr>
                    </wps:wsp>
                  </a:graphicData>
                </a:graphic>
              </wp:anchor>
            </w:drawing>
          </mc:Choice>
          <mc:Fallback>
            <w:pict>
              <v:shape type="#_x0000_t202" id="文本框 151" o:spid="_x0000_s38" filled="f" stroked="f" style="position:absolute;margin-left:-85.7pt;margin-top:238.15pt;width:613.65pt;height:173.25pt;z-index:35;mso-position-horizontal:absolute;mso-position-vertical:absolute;mso-wrap-style:square;">
                <v:stroke color="#000000"/>
                <v:textbox id="858" inset="2.54mm,1.27mm,2.54mm,1.27mm" o:insetmode="custom" style="layout-flow:horizontal;v-text-anchor:top;">
                  <w:txbxContent>
                    <w:p>
                      <w:pPr>
                        <w:widowControl/>
                        <w:jc w:val="center"/>
                        <w:rPr>
                          <w:rFonts w:ascii="黑体" w:eastAsia="黑体" w:cs="黑体" w:hAnsi="黑体"/>
                          <w:color w:val="000000"/>
                          <w:sz w:val="96"/>
                          <w:szCs w:val="96"/>
                        </w:rPr>
                      </w:pPr>
                    </w:p>
                    <w:p>
                      <w:pPr>
                        <w:widowControl/>
                        <w:jc w:val="center"/>
                        <w:rPr>
                          <w:rFonts w:ascii="黑体" w:eastAsia="黑体" w:cs="黑体" w:hAnsi="黑体"/>
                          <w:color w:val="000000"/>
                          <w:sz w:val="96"/>
                          <w:szCs w:val="96"/>
                        </w:rPr>
                      </w:pPr>
                    </w:p>
                  </w:txbxContent>
                </v:textbox>
              </v:shape>
            </w:pict>
          </mc:Fallback>
        </mc:AlternateContent>
      </w:r>
    </w:p>
    <w:p>
      <w:pPr>
        <w:widowControl/>
        <w:spacing w:after="160" w:line="580" w:lineRule="exact"/>
        <w:ind w:leftChars="-135" w:left="-283" w:firstLineChars="404" w:firstLine="1293"/>
        <w:rPr>
          <w:rFonts w:eastAsia="黑体"/>
          <w:sz w:val="32"/>
          <w:szCs w:val="32"/>
        </w:rPr>
      </w:pPr>
    </w:p>
    <w:p>
      <w:pPr>
        <w:widowControl/>
        <w:spacing w:after="160" w:line="580" w:lineRule="exact"/>
        <w:ind w:firstLineChars="316" w:firstLine="1011"/>
        <w:rPr>
          <w:rFonts w:eastAsia="黑体"/>
          <w:sz w:val="32"/>
          <w:szCs w:val="32"/>
        </w:rPr>
      </w:pPr>
    </w:p>
    <w:p>
      <w:pPr>
        <w:widowControl/>
        <w:spacing w:after="160" w:line="580" w:lineRule="exact"/>
        <w:ind w:firstLineChars="316" w:firstLine="1011"/>
        <w:rPr>
          <w:rFonts w:eastAsia="黑体"/>
          <w:sz w:val="32"/>
          <w:szCs w:val="32"/>
        </w:rPr>
      </w:pPr>
    </w:p>
    <w:p>
      <w:pPr>
        <w:widowControl/>
        <w:spacing w:after="160" w:line="580" w:lineRule="exact"/>
        <w:ind w:firstLineChars="316" w:firstLine="1011"/>
        <w:rPr>
          <w:rFonts w:eastAsia="黑体"/>
          <w:sz w:val="32"/>
          <w:szCs w:val="32"/>
        </w:rPr>
      </w:pPr>
    </w:p>
    <w:p>
      <w:pPr>
        <w:widowControl/>
        <w:spacing w:after="160" w:line="580" w:lineRule="exact"/>
        <w:ind w:firstLineChars="316" w:firstLine="1011"/>
        <w:rPr>
          <w:rFonts w:eastAsia="黑体"/>
          <w:sz w:val="32"/>
          <w:szCs w:val="32"/>
        </w:rPr>
      </w:pPr>
    </w:p>
    <w:p>
      <w:pPr>
        <w:widowControl/>
        <w:spacing w:after="160" w:line="580" w:lineRule="exact"/>
        <w:ind w:firstLineChars="316" w:firstLine="1011"/>
        <w:rPr>
          <w:rFonts w:eastAsia="黑体"/>
          <w:sz w:val="32"/>
          <w:szCs w:val="32"/>
        </w:rPr>
      </w:pPr>
    </w:p>
    <w:p>
      <w:pPr>
        <w:widowControl/>
        <w:jc w:val="center"/>
        <w:rPr>
          <w:rFonts w:ascii="黑体" w:eastAsia="黑体" w:cs="黑体" w:hAnsi="黑体"/>
          <w:color w:val="000000"/>
          <w:sz w:val="44"/>
          <w:szCs w:val="44"/>
        </w:rPr>
      </w:pPr>
    </w:p>
    <w:p>
      <w:pPr>
        <w:widowControl/>
        <w:jc w:val="center"/>
        <w:rPr>
          <w:rFonts w:ascii="黑体" w:eastAsia="黑体" w:cs="黑体" w:hAnsi="黑体"/>
          <w:color w:val="000000"/>
          <w:sz w:val="44"/>
          <w:szCs w:val="44"/>
        </w:rPr>
      </w:pPr>
    </w:p>
    <w:p>
      <w:pPr>
        <w:widowControl/>
        <w:jc w:val="center"/>
        <w:rPr>
          <w:rFonts w:ascii="黑体" w:eastAsia="黑体" w:cs="黑体" w:hAnsi="黑体"/>
          <w:color w:val="000000"/>
          <w:sz w:val="44"/>
          <w:szCs w:val="44"/>
        </w:rPr>
      </w:pPr>
    </w:p>
    <w:p>
      <w:pPr>
        <w:widowControl/>
        <w:jc w:val="center"/>
        <w:rPr>
          <w:rFonts w:ascii="黑体" w:eastAsia="黑体" w:cs="黑体" w:hAnsi="黑体"/>
          <w:color w:val="000000"/>
          <w:sz w:val="44"/>
          <w:szCs w:val="44"/>
        </w:rPr>
      </w:pPr>
    </w:p>
    <w:p>
      <w:pPr>
        <w:widowControl/>
        <w:jc w:val="center"/>
        <w:rPr>
          <w:rFonts w:ascii="黑体" w:eastAsia="黑体" w:cs="黑体" w:hAnsi="黑体"/>
          <w:color w:val="000000"/>
          <w:sz w:val="44"/>
          <w:szCs w:val="44"/>
        </w:rPr>
      </w:pPr>
    </w:p>
    <w:p>
      <w:pPr>
        <w:widowControl/>
        <w:jc w:val="center"/>
        <w:rPr>
          <w:rFonts w:ascii="黑体" w:eastAsia="黑体" w:cs="黑体" w:hAnsi="黑体"/>
          <w:color w:val="000000"/>
          <w:sz w:val="44"/>
          <w:szCs w:val="44"/>
        </w:rPr>
      </w:pPr>
    </w:p>
    <w:p>
      <w:pPr>
        <w:widowControl/>
        <w:jc w:val="center"/>
        <w:rPr>
          <w:rFonts w:ascii="黑体" w:eastAsia="黑体" w:cs="黑体" w:hAnsi="黑体"/>
          <w:color w:val="000000"/>
          <w:sz w:val="44"/>
          <w:szCs w:val="44"/>
        </w:rPr>
        <w:sectPr>
          <w:pgSz w:w="11906" w:h="16838"/>
          <w:pgMar w:top="1474" w:right="1474" w:bottom="1474" w:left="1474" w:header="851" w:footer="992" w:gutter="0"/>
          <w:pgBorders>
            <w:top w:val="none" w:sz="0" w:space="0" w:color="auto"/>
            <w:left w:val="none" w:sz="0" w:space="0" w:color="auto"/>
            <w:bottom w:val="none" w:sz="0" w:space="0" w:color="auto"/>
            <w:right w:val="none" w:sz="0" w:space="0" w:color="auto"/>
          </w:pgBorders>
          <w:cols w:num="1" w:space="425"/>
          <w:docGrid w:type="lines" w:linePitch="312" w:charSpace="0"/>
        </w:sectPr>
      </w:pPr>
      <w:r>
        <w:rPr>
          <w:rFonts w:ascii="黑体" w:eastAsia="黑体" w:cs="黑体" w:hAnsi="黑体" w:hint="eastAsia"/>
          <w:color w:val="000000"/>
          <w:sz w:val="44"/>
          <w:szCs w:val="44"/>
        </w:rPr>
        <w:t>第三部分 2023年度部门决算情况说明</w:t>
      </w:r>
    </w:p>
    <w:p>
      <w:pPr>
        <w:widowControl/>
        <w:spacing w:beforeAutospacing="0" w:afterAutospacing="0"/>
        <w:ind w:firstLineChars="200" w:firstLine="640"/>
        <w:jc w:val="left"/>
        <w:rPr>
          <w:rFonts w:ascii="黑体" w:eastAsia="黑体" w:cs="Times New Roman" w:hint="eastAsia"/>
          <w:sz w:val="32"/>
          <w:szCs w:val="32"/>
        </w:rPr>
      </w:pPr>
      <w:r>
        <w:rPr>
          <w:rFonts w:ascii="黑体" w:eastAsia="黑体" w:cs="Times New Roman" w:hint="eastAsia"/>
          <w:sz w:val="32"/>
          <w:szCs w:val="32"/>
        </w:rPr>
        <w:t>一、收入支出决算总体情况说明</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本部门2023年度收、支总计（含结转和结余）</w:t>
      </w:r>
      <w:r>
        <w:rPr>
          <w:rFonts w:ascii="仿宋_GB2312" w:eastAsia="仿宋_GB2312" w:cs="DengXian-Regular" w:hAnsi="Times New Roman"/>
          <w:sz w:val="32"/>
          <w:szCs w:val="32"/>
        </w:rPr>
        <w:t>3247.86</w:t>
      </w:r>
      <w:r>
        <w:rPr>
          <w:rFonts w:ascii="仿宋_GB2312" w:eastAsia="仿宋_GB2312" w:cs="DengXian-Regular" w:hAnsi="Times New Roman" w:hint="eastAsia"/>
          <w:sz w:val="32"/>
          <w:szCs w:val="32"/>
        </w:rPr>
        <w:t>万元。与2022年度决算相比，收支各减少</w:t>
      </w:r>
      <w:r>
        <w:rPr>
          <w:rFonts w:ascii="仿宋_GB2312" w:eastAsia="仿宋_GB2312" w:cs="DengXian-Regular" w:hAnsi="Times New Roman"/>
          <w:sz w:val="32"/>
          <w:szCs w:val="32"/>
        </w:rPr>
        <w:t>13873.69</w:t>
      </w:r>
      <w:r>
        <w:rPr>
          <w:rFonts w:ascii="仿宋_GB2312" w:eastAsia="仿宋_GB2312" w:cs="DengXian-Regular" w:hAnsi="Times New Roman" w:hint="eastAsia"/>
          <w:sz w:val="32"/>
          <w:szCs w:val="32"/>
        </w:rPr>
        <w:t>万元，下降</w:t>
      </w:r>
      <w:r>
        <w:rPr>
          <w:rFonts w:ascii="仿宋_GB2312" w:eastAsia="仿宋_GB2312" w:cs="DengXian-Regular" w:hAnsi="Times New Roman"/>
          <w:sz w:val="32"/>
          <w:szCs w:val="32"/>
        </w:rPr>
        <w:t>81.03</w:t>
      </w:r>
      <w:r>
        <w:rPr>
          <w:rFonts w:ascii="仿宋_GB2312" w:eastAsia="仿宋_GB2312" w:cs="DengXian-Regular" w:hAnsi="Times New Roman" w:hint="eastAsia"/>
          <w:sz w:val="32"/>
          <w:szCs w:val="32"/>
        </w:rPr>
        <w:t>%，主要原因是</w:t>
      </w:r>
      <w:r>
        <w:rPr>
          <w:rFonts w:ascii="仿宋_GB2312" w:eastAsia="仿宋_GB2312" w:cs="DengXian-Regular" w:hAnsi="Times New Roman"/>
          <w:sz w:val="32"/>
          <w:szCs w:val="32"/>
        </w:rPr>
        <w:t>减少了苑西二期土地分享收入支出和耕地占用税及滞纳金收入支出。</w:t>
      </w:r>
    </w:p>
    <w:p>
      <w:pPr>
        <w:adjustRightInd w:val="0"/>
        <w:snapToGrid w:val="0"/>
        <w:spacing w:line="580" w:lineRule="exact"/>
        <w:ind w:firstLineChars="200" w:firstLine="640"/>
        <w:rPr>
          <w:rFonts w:ascii="仿宋_GB2312" w:eastAsia="仿宋_GB2312" w:cs="DengXian-Regular" w:hAnsi="Times New Roman"/>
          <w:sz w:val="32"/>
          <w:szCs w:val="32"/>
          <w:highlight w:val="yellow"/>
        </w:rPr>
      </w:pPr>
      <w:r>
        <w:rPr>
          <w:rFonts w:ascii="黑体" w:eastAsia="黑体" w:cs="Times New Roman" w:hAnsi="Calibri" w:hint="eastAsia"/>
          <w:sz w:val="32"/>
          <w:szCs w:val="32"/>
        </w:rPr>
        <w:t>二、收入决算情况说明</w:t>
      </w:r>
    </w:p>
    <w:p>
      <w:pPr>
        <w:autoSpaceDE w:val="0"/>
        <w:autoSpaceDN w:val="0"/>
        <w:adjustRightInd w:val="0"/>
        <w:ind w:left="200" w:firstLineChars="200" w:firstLine="640"/>
        <w:jc w:val="left"/>
        <w:rPr>
          <w:rFonts w:ascii="仿宋_GB2312" w:eastAsia="仿宋_GB2312" w:cs="DengXian-Regular" w:hAnsi="Times New Roman"/>
          <w:sz w:val="32"/>
          <w:szCs w:val="32"/>
        </w:rPr>
      </w:pPr>
      <w:r>
        <w:rPr>
          <w:rFonts w:ascii="仿宋_GB2312" w:eastAsia="仿宋_GB2312" w:cs="DengXian-Regular" w:hAnsi="Times New Roman" w:hint="eastAsia"/>
          <w:sz w:val="32"/>
          <w:szCs w:val="32"/>
        </w:rPr>
        <w:t>本部门2023年度收入合计</w:t>
      </w:r>
      <w:r>
        <w:rPr>
          <w:rFonts w:ascii="仿宋_GB2312" w:eastAsia="仿宋_GB2312" w:cs="DengXian-Regular" w:hAnsi="Times New Roman"/>
          <w:sz w:val="32"/>
          <w:szCs w:val="32"/>
        </w:rPr>
        <w:t>3247.86</w:t>
      </w:r>
      <w:r>
        <w:rPr>
          <w:rFonts w:ascii="仿宋_GB2312" w:eastAsia="仿宋_GB2312" w:cs="DengXian-Regular" w:hAnsi="Times New Roman" w:hint="eastAsia"/>
          <w:sz w:val="32"/>
          <w:szCs w:val="32"/>
        </w:rPr>
        <w:t>万元，其中：财政拨款收入</w:t>
      </w:r>
      <w:r>
        <w:rPr>
          <w:rFonts w:ascii="仿宋_GB2312" w:eastAsia="仿宋_GB2312" w:cs="DengXian-Regular" w:hAnsi="Times New Roman"/>
          <w:sz w:val="32"/>
          <w:szCs w:val="32"/>
        </w:rPr>
        <w:t>3247.86</w:t>
      </w:r>
      <w:r>
        <w:rPr>
          <w:rFonts w:ascii="仿宋_GB2312" w:eastAsia="仿宋_GB2312" w:cs="DengXian-Regular" w:hAnsi="Times New Roman" w:hint="eastAsia"/>
          <w:sz w:val="32"/>
          <w:szCs w:val="32"/>
        </w:rPr>
        <w:t>万元，占</w:t>
      </w:r>
      <w:r>
        <w:rPr>
          <w:rFonts w:ascii="仿宋_GB2312" w:eastAsia="仿宋_GB2312" w:cs="DengXian-Regular" w:hAnsi="Times New Roman"/>
          <w:sz w:val="32"/>
          <w:szCs w:val="32"/>
        </w:rPr>
        <w:t>100</w:t>
      </w:r>
      <w:r>
        <w:rPr>
          <w:rFonts w:ascii="仿宋_GB2312" w:eastAsia="仿宋_GB2312" w:cs="DengXian-Regular" w:hAnsi="Times New Roman" w:hint="eastAsia"/>
          <w:sz w:val="32"/>
          <w:szCs w:val="32"/>
        </w:rPr>
        <w:t>%；上级补助收入</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万元，占</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%；事业收入</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万元，占</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%；经营收入</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万元，占</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%；附属单位上缴收入</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万元，占</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；其他收入</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万元，占</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w:t>
      </w:r>
    </w:p>
    <w:p>
      <w:pPr>
        <w:adjustRightInd w:val="0"/>
        <w:snapToGrid w:val="0"/>
        <w:spacing w:line="580" w:lineRule="exact"/>
        <w:ind w:firstLineChars="200" w:firstLine="640"/>
        <w:rPr>
          <w:rFonts w:ascii="仿宋_GB2312" w:eastAsia="仿宋_GB2312" w:cs="DengXian-Regular" w:hAnsi="Times New Roman"/>
          <w:sz w:val="32"/>
          <w:szCs w:val="32"/>
          <w:highlight w:val="yellow"/>
        </w:rPr>
      </w:pPr>
      <w:r>
        <w:rPr>
          <w:rFonts w:ascii="黑体" w:eastAsia="黑体" w:cs="Times New Roman" w:hAnsi="Calibri" w:hint="eastAsia"/>
          <w:sz w:val="32"/>
          <w:szCs w:val="32"/>
        </w:rPr>
        <w:t>三、支出决算情况说明</w:t>
      </w:r>
    </w:p>
    <w:p>
      <w:pPr>
        <w:autoSpaceDE w:val="0"/>
        <w:autoSpaceDN w:val="0"/>
        <w:adjustRightInd w:val="0"/>
        <w:ind w:left="200" w:firstLineChars="200" w:firstLine="640"/>
        <w:jc w:val="left"/>
        <w:rPr>
          <w:rFonts w:ascii="仿宋_GB2312" w:eastAsia="仿宋_GB2312" w:cs="DengXian-Regular" w:hAnsi="Times New Roman"/>
          <w:sz w:val="32"/>
          <w:szCs w:val="32"/>
        </w:rPr>
        <w:sectPr>
          <w:pgSz w:w="11906" w:h="16838"/>
          <w:pgMar w:top="1474" w:right="1474" w:bottom="1474" w:left="1474" w:header="851" w:footer="992" w:gutter="0"/>
          <w:pgBorders>
            <w:top w:val="none" w:sz="0" w:space="0" w:color="auto"/>
            <w:left w:val="none" w:sz="0" w:space="0" w:color="auto"/>
            <w:bottom w:val="none" w:sz="0" w:space="0" w:color="auto"/>
            <w:right w:val="none" w:sz="0" w:space="0" w:color="auto"/>
          </w:pgBorders>
          <w:cols w:num="1" w:space="425"/>
          <w:docGrid w:type="lines" w:linePitch="312" w:charSpace="0"/>
        </w:sectPr>
      </w:pPr>
      <w:r>
        <w:rPr>
          <w:rFonts w:ascii="仿宋_GB2312" w:eastAsia="仿宋_GB2312" w:cs="DengXian-Regular" w:hAnsi="Times New Roman" w:hint="eastAsia"/>
          <w:sz w:val="32"/>
          <w:szCs w:val="32"/>
        </w:rPr>
        <w:t>本部门2023年度支出合计</w:t>
      </w:r>
      <w:r>
        <w:rPr>
          <w:rFonts w:ascii="仿宋_GB2312" w:eastAsia="仿宋_GB2312" w:cs="DengXian-Regular" w:hAnsi="Times New Roman"/>
          <w:sz w:val="32"/>
          <w:szCs w:val="32"/>
        </w:rPr>
        <w:t>3247.86</w:t>
      </w:r>
      <w:r>
        <w:rPr>
          <w:rFonts w:ascii="仿宋_GB2312" w:eastAsia="仿宋_GB2312" w:cs="DengXian-Regular" w:hAnsi="Times New Roman" w:hint="eastAsia"/>
          <w:sz w:val="32"/>
          <w:szCs w:val="32"/>
        </w:rPr>
        <w:t>万元，其中：基本支出</w:t>
      </w:r>
      <w:r>
        <w:rPr>
          <w:rFonts w:ascii="仿宋_GB2312" w:eastAsia="仿宋_GB2312" w:cs="DengXian-Regular" w:hAnsi="Times New Roman"/>
          <w:sz w:val="32"/>
          <w:szCs w:val="32"/>
        </w:rPr>
        <w:t>1960.67</w:t>
      </w:r>
      <w:r>
        <w:rPr>
          <w:rFonts w:ascii="仿宋_GB2312" w:eastAsia="仿宋_GB2312" w:cs="DengXian-Regular" w:hAnsi="Times New Roman" w:hint="eastAsia"/>
          <w:sz w:val="32"/>
          <w:szCs w:val="32"/>
        </w:rPr>
        <w:t>万元，占</w:t>
      </w:r>
      <w:r>
        <w:rPr>
          <w:rFonts w:ascii="仿宋_GB2312" w:eastAsia="仿宋_GB2312" w:cs="DengXian-Regular" w:hAnsi="Times New Roman"/>
          <w:sz w:val="32"/>
          <w:szCs w:val="32"/>
        </w:rPr>
        <w:t>60.37</w:t>
      </w:r>
      <w:r>
        <w:rPr>
          <w:rFonts w:ascii="仿宋_GB2312" w:eastAsia="仿宋_GB2312" w:cs="DengXian-Regular" w:hAnsi="Times New Roman" w:hint="eastAsia"/>
          <w:sz w:val="32"/>
          <w:szCs w:val="32"/>
        </w:rPr>
        <w:t>%；项目支出</w:t>
      </w:r>
      <w:r>
        <w:rPr>
          <w:rFonts w:ascii="仿宋_GB2312" w:eastAsia="仿宋_GB2312" w:cs="DengXian-Regular" w:hAnsi="Times New Roman"/>
          <w:sz w:val="32"/>
          <w:szCs w:val="32"/>
        </w:rPr>
        <w:t>1287.19</w:t>
      </w:r>
      <w:r>
        <w:rPr>
          <w:rFonts w:ascii="仿宋_GB2312" w:eastAsia="仿宋_GB2312" w:cs="DengXian-Regular" w:hAnsi="Times New Roman" w:hint="eastAsia"/>
          <w:sz w:val="32"/>
          <w:szCs w:val="32"/>
        </w:rPr>
        <w:t>万元，占</w:t>
      </w:r>
      <w:r>
        <w:rPr>
          <w:rFonts w:ascii="仿宋_GB2312" w:eastAsia="仿宋_GB2312" w:cs="DengXian-Regular" w:hAnsi="Times New Roman"/>
          <w:sz w:val="32"/>
          <w:szCs w:val="32"/>
        </w:rPr>
        <w:t>39.63</w:t>
      </w:r>
      <w:r>
        <w:rPr>
          <w:rFonts w:ascii="仿宋_GB2312" w:eastAsia="仿宋_GB2312" w:cs="DengXian-Regular" w:hAnsi="Times New Roman" w:hint="eastAsia"/>
          <w:sz w:val="32"/>
          <w:szCs w:val="32"/>
        </w:rPr>
        <w:t>%；经营支出</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万元，占</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%；上缴上级支出</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万元，占</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；对附属单位补助支出</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万元，占</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w:t>
      </w:r>
      <w:r>
        <w:rPr>
          <w:rFonts w:ascii="仿宋_GB2312" w:eastAsia="仿宋_GB2312" w:cs="DengXian-Regular" w:hAnsi="Times New Roman"/>
          <w:sz w:val="32"/>
          <w:szCs w:val="32"/>
        </w:rPr>
        <w:drawing>
          <wp:inline distT="0" distB="0" distL="85725" distR="85725">
            <wp:extent cx="5391784" cy="2501054"/>
            <wp:docPr id="1047" name="图表 1047"/>
            <wp:cNvGraphicFramePr>
              <a:graphicFrameLocks noChangeAspect="0"/>
            </wp:cNvGraphicFramePr>
            <a:graphic>
              <a:graphicData uri="http://schemas.openxmlformats.org/drawingml/2006/chart">
                <c:chart xmlns:c="http://schemas.openxmlformats.org/drawingml/2006/chart" r:id="rId8"/>
              </a:graphicData>
            </a:graphic>
          </wp:inline>
        </w:drawing>
      </w:r>
    </w:p>
    <w:p>
      <w:pPr>
        <w:spacing w:line="580" w:lineRule="exact"/>
        <w:ind w:firstLineChars="200" w:firstLine="640"/>
        <w:outlineLvl w:val="1"/>
        <w:rPr>
          <w:rFonts w:ascii="黑体" w:eastAsia="黑体" w:cs="Times New Roman" w:hAnsi="Calibri"/>
          <w:sz w:val="32"/>
          <w:szCs w:val="32"/>
        </w:rPr>
      </w:pPr>
      <w:r>
        <w:rPr>
          <w:rFonts w:ascii="黑体" w:eastAsia="黑体" w:cs="Times New Roman" w:hAnsi="Calibri" w:hint="eastAsia"/>
          <w:sz w:val="32"/>
          <w:szCs w:val="32"/>
        </w:rPr>
        <w:t>四、</w:t>
      </w:r>
      <w:r>
        <w:rPr>
          <w:rFonts w:ascii="黑体" w:eastAsia="黑体" w:cs="黑体" w:hAnsi="Cambria" w:hint="eastAsia"/>
          <w:kern w:val="0"/>
          <w:sz w:val="32"/>
          <w:szCs w:val="32"/>
        </w:rPr>
        <w:t>财政</w:t>
      </w:r>
      <w:r>
        <w:rPr>
          <w:rFonts w:ascii="黑体" w:eastAsia="黑体" w:cs="Times New Roman" w:hAnsi="Calibri" w:hint="eastAsia"/>
          <w:sz w:val="32"/>
          <w:szCs w:val="32"/>
        </w:rPr>
        <w:t>拨款收入支出决算总体情况说明</w:t>
      </w:r>
    </w:p>
    <w:p>
      <w:pPr>
        <w:snapToGrid w:val="0"/>
        <w:spacing w:line="580" w:lineRule="exact"/>
        <w:ind w:firstLineChars="200" w:firstLine="640"/>
        <w:rPr>
          <w:rFonts w:ascii="楷体_GB2312" w:eastAsia="楷体_GB2312" w:cs="DengXian-Bold" w:hAnsi="Times New Roman"/>
          <w:b/>
          <w:bCs/>
          <w:sz w:val="32"/>
          <w:szCs w:val="32"/>
        </w:rPr>
      </w:pPr>
      <w:r>
        <w:rPr>
          <w:rFonts w:ascii="楷体_GB2312" w:eastAsia="楷体_GB2312" w:cs="DengXian-Bold" w:hAnsi="Times New Roman" w:hint="eastAsia"/>
          <w:b/>
          <w:bCs/>
          <w:sz w:val="32"/>
          <w:szCs w:val="32"/>
        </w:rPr>
        <w:t>（一）财政拨款收支与2022年度决算对比情况</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本部门2023年度财政拨款本年收入</w:t>
      </w:r>
      <w:r>
        <w:rPr>
          <w:rFonts w:ascii="仿宋_GB2312" w:eastAsia="仿宋_GB2312" w:cs="DengXian-Regular" w:hAnsi="Times New Roman"/>
          <w:sz w:val="32"/>
          <w:szCs w:val="32"/>
        </w:rPr>
        <w:t>3247.86</w:t>
      </w:r>
      <w:r>
        <w:rPr>
          <w:rFonts w:ascii="仿宋_GB2312" w:eastAsia="仿宋_GB2312" w:cs="DengXian-Regular" w:hAnsi="Times New Roman" w:hint="eastAsia"/>
          <w:sz w:val="32"/>
          <w:szCs w:val="32"/>
        </w:rPr>
        <w:t>万元,比2022年度减少</w:t>
      </w:r>
      <w:r>
        <w:rPr>
          <w:rFonts w:ascii="仿宋_GB2312" w:eastAsia="仿宋_GB2312" w:cs="DengXian-Regular" w:hAnsi="Times New Roman"/>
          <w:sz w:val="32"/>
          <w:szCs w:val="32"/>
        </w:rPr>
        <w:t>13873.69</w:t>
      </w:r>
      <w:r>
        <w:rPr>
          <w:rFonts w:ascii="仿宋_GB2312" w:eastAsia="仿宋_GB2312" w:cs="DengXian-Regular" w:hAnsi="Times New Roman" w:hint="eastAsia"/>
          <w:sz w:val="32"/>
          <w:szCs w:val="32"/>
        </w:rPr>
        <w:t>元，降低</w:t>
      </w:r>
      <w:r>
        <w:rPr>
          <w:rFonts w:ascii="仿宋_GB2312" w:eastAsia="仿宋_GB2312" w:cs="DengXian-Regular" w:hAnsi="Times New Roman"/>
          <w:sz w:val="32"/>
          <w:szCs w:val="32"/>
        </w:rPr>
        <w:t>81.03</w:t>
      </w:r>
      <w:r>
        <w:rPr>
          <w:rFonts w:ascii="仿宋_GB2312" w:eastAsia="仿宋_GB2312" w:cs="DengXian-Regular" w:hAnsi="Times New Roman" w:hint="eastAsia"/>
          <w:sz w:val="32"/>
          <w:szCs w:val="32"/>
        </w:rPr>
        <w:t>%，主要是</w:t>
      </w:r>
      <w:r>
        <w:rPr>
          <w:rFonts w:ascii="仿宋_GB2312" w:eastAsia="仿宋_GB2312" w:cs="DengXian-Regular" w:hAnsi="Times New Roman"/>
          <w:sz w:val="32"/>
          <w:szCs w:val="32"/>
        </w:rPr>
        <w:t>减少了苑西二期土地分享收入和耕地占用税及滞纳金收入</w:t>
      </w:r>
      <w:r>
        <w:rPr>
          <w:rFonts w:ascii="仿宋_GB2312" w:eastAsia="仿宋_GB2312" w:cs="DengXian-Regular" w:hAnsi="Times New Roman" w:hint="eastAsia"/>
          <w:sz w:val="32"/>
          <w:szCs w:val="32"/>
        </w:rPr>
        <w:t>；本年支出</w:t>
      </w:r>
      <w:r>
        <w:rPr>
          <w:rFonts w:ascii="仿宋_GB2312" w:eastAsia="仿宋_GB2312" w:cs="DengXian-Regular" w:hAnsi="Times New Roman"/>
          <w:sz w:val="32"/>
          <w:szCs w:val="32"/>
        </w:rPr>
        <w:t>3247.86</w:t>
      </w:r>
      <w:r>
        <w:rPr>
          <w:rFonts w:ascii="仿宋_GB2312" w:eastAsia="仿宋_GB2312" w:cs="DengXian-Regular" w:hAnsi="Times New Roman" w:hint="eastAsia"/>
          <w:sz w:val="32"/>
          <w:szCs w:val="32"/>
        </w:rPr>
        <w:t>万元，减少</w:t>
      </w:r>
      <w:r>
        <w:rPr>
          <w:rFonts w:ascii="仿宋_GB2312" w:eastAsia="仿宋_GB2312" w:cs="DengXian-Regular" w:hAnsi="Times New Roman"/>
          <w:sz w:val="32"/>
          <w:szCs w:val="32"/>
        </w:rPr>
        <w:t>13873.69</w:t>
      </w:r>
      <w:r>
        <w:rPr>
          <w:rFonts w:ascii="仿宋_GB2312" w:eastAsia="仿宋_GB2312" w:cs="DengXian-Regular" w:hAnsi="Times New Roman" w:hint="eastAsia"/>
          <w:sz w:val="32"/>
          <w:szCs w:val="32"/>
        </w:rPr>
        <w:t>万元，降低</w:t>
      </w:r>
      <w:r>
        <w:rPr>
          <w:rFonts w:ascii="仿宋_GB2312" w:eastAsia="仿宋_GB2312" w:cs="DengXian-Regular" w:hAnsi="Times New Roman"/>
          <w:sz w:val="32"/>
          <w:szCs w:val="32"/>
        </w:rPr>
        <w:t>81.03</w:t>
      </w:r>
      <w:r>
        <w:rPr>
          <w:rFonts w:ascii="仿宋_GB2312" w:eastAsia="仿宋_GB2312" w:cs="DengXian-Regular" w:hAnsi="Times New Roman" w:hint="eastAsia"/>
          <w:sz w:val="32"/>
          <w:szCs w:val="32"/>
        </w:rPr>
        <w:t>%，主要是</w:t>
      </w:r>
      <w:r>
        <w:rPr>
          <w:rFonts w:ascii="仿宋_GB2312" w:eastAsia="仿宋_GB2312" w:cs="DengXian-Regular" w:hAnsi="Times New Roman"/>
          <w:sz w:val="32"/>
          <w:szCs w:val="32"/>
        </w:rPr>
        <w:t>减少了苑西二期土地分享支出和耕地占用税及滞纳金支出。</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具体情况如下：</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1.一般公共预算财政拨款本年收入</w:t>
      </w:r>
      <w:r>
        <w:rPr>
          <w:rFonts w:ascii="仿宋_GB2312" w:eastAsia="仿宋_GB2312" w:cs="DengXian-Regular" w:hAnsi="Times New Roman"/>
          <w:sz w:val="32"/>
          <w:szCs w:val="32"/>
        </w:rPr>
        <w:t>2717.49</w:t>
      </w:r>
      <w:r>
        <w:rPr>
          <w:rFonts w:ascii="仿宋_GB2312" w:eastAsia="仿宋_GB2312" w:cs="DengXian-Regular" w:hAnsi="Times New Roman" w:hint="eastAsia"/>
          <w:sz w:val="32"/>
          <w:szCs w:val="32"/>
        </w:rPr>
        <w:t>万万元，比上年减少</w:t>
      </w:r>
      <w:r>
        <w:rPr>
          <w:rFonts w:ascii="仿宋_GB2312" w:eastAsia="仿宋_GB2312" w:cs="DengXian-Regular" w:hAnsi="Times New Roman"/>
          <w:sz w:val="32"/>
          <w:szCs w:val="32"/>
        </w:rPr>
        <w:t>9263.01</w:t>
      </w:r>
      <w:r>
        <w:rPr>
          <w:rFonts w:ascii="仿宋_GB2312" w:eastAsia="仿宋_GB2312" w:cs="DengXian-Regular" w:hAnsi="Times New Roman" w:hint="eastAsia"/>
          <w:sz w:val="32"/>
          <w:szCs w:val="32"/>
        </w:rPr>
        <w:t>万元</w:t>
      </w:r>
      <w:r>
        <w:rPr>
          <w:rFonts w:ascii="仿宋_GB2312" w:eastAsia="仿宋_GB2312" w:cs="DengXian-Regular" w:hAnsi="Times New Roman"/>
          <w:sz w:val="32"/>
          <w:szCs w:val="32"/>
        </w:rPr>
        <w:t>，</w:t>
      </w:r>
      <w:r>
        <w:rPr>
          <w:rFonts w:ascii="仿宋_GB2312" w:eastAsia="仿宋_GB2312" w:cs="DengXian-Regular" w:hAnsi="Times New Roman" w:hint="eastAsia"/>
          <w:sz w:val="32"/>
          <w:szCs w:val="32"/>
        </w:rPr>
        <w:t>降低</w:t>
      </w:r>
      <w:r>
        <w:rPr>
          <w:rFonts w:ascii="仿宋_GB2312" w:eastAsia="仿宋_GB2312" w:cs="DengXian-Regular" w:hAnsi="Times New Roman"/>
          <w:sz w:val="32"/>
          <w:szCs w:val="32"/>
        </w:rPr>
        <w:t>77.32</w:t>
      </w:r>
      <w:r>
        <w:rPr>
          <w:rFonts w:ascii="仿宋_GB2312" w:eastAsia="仿宋_GB2312" w:cs="DengXian-Regular" w:hAnsi="Times New Roman" w:hint="eastAsia"/>
          <w:sz w:val="32"/>
          <w:szCs w:val="32"/>
        </w:rPr>
        <w:t>%</w:t>
      </w:r>
      <w:r>
        <w:rPr>
          <w:rFonts w:ascii="仿宋_GB2312" w:eastAsia="仿宋_GB2312" w:cs="DengXian-Regular" w:hAnsi="Times New Roman"/>
          <w:sz w:val="32"/>
          <w:szCs w:val="32"/>
        </w:rPr>
        <w:t>，</w:t>
      </w:r>
      <w:r>
        <w:rPr>
          <w:rFonts w:ascii="仿宋_GB2312" w:eastAsia="仿宋_GB2312" w:cs="DengXian-Regular" w:hAnsi="Times New Roman" w:hint="eastAsia"/>
          <w:sz w:val="32"/>
          <w:szCs w:val="32"/>
        </w:rPr>
        <w:t>主要是</w:t>
      </w:r>
      <w:r>
        <w:rPr>
          <w:rFonts w:ascii="仿宋_GB2312" w:eastAsia="仿宋_GB2312" w:cs="DengXian-Regular" w:hAnsi="Times New Roman"/>
          <w:sz w:val="32"/>
          <w:szCs w:val="32"/>
        </w:rPr>
        <w:t>减少了耕地占用税及滞纳金收入</w:t>
      </w:r>
      <w:r>
        <w:rPr>
          <w:rFonts w:ascii="仿宋_GB2312" w:eastAsia="仿宋_GB2312" w:cs="DengXian-Regular" w:hAnsi="Times New Roman" w:hint="eastAsia"/>
          <w:sz w:val="32"/>
          <w:szCs w:val="32"/>
        </w:rPr>
        <w:t>；本年支出</w:t>
      </w:r>
      <w:r>
        <w:rPr>
          <w:rFonts w:ascii="仿宋_GB2312" w:eastAsia="仿宋_GB2312" w:cs="DengXian-Regular" w:hAnsi="Times New Roman"/>
          <w:sz w:val="32"/>
          <w:szCs w:val="32"/>
        </w:rPr>
        <w:t>2717.49</w:t>
      </w:r>
      <w:r>
        <w:rPr>
          <w:rFonts w:ascii="仿宋_GB2312" w:eastAsia="仿宋_GB2312" w:cs="DengXian-Regular" w:hAnsi="Times New Roman" w:hint="eastAsia"/>
          <w:sz w:val="32"/>
          <w:szCs w:val="32"/>
        </w:rPr>
        <w:t>万元，比上年减少</w:t>
      </w:r>
      <w:r>
        <w:rPr>
          <w:rFonts w:ascii="仿宋_GB2312" w:eastAsia="仿宋_GB2312" w:cs="DengXian-Regular" w:hAnsi="Times New Roman"/>
          <w:sz w:val="32"/>
          <w:szCs w:val="32"/>
        </w:rPr>
        <w:t>9263.01</w:t>
      </w:r>
      <w:r>
        <w:rPr>
          <w:rFonts w:ascii="仿宋_GB2312" w:eastAsia="仿宋_GB2312" w:cs="DengXian-Regular" w:hAnsi="Times New Roman" w:hint="eastAsia"/>
          <w:sz w:val="32"/>
          <w:szCs w:val="32"/>
        </w:rPr>
        <w:t>万元，降低</w:t>
      </w:r>
      <w:r>
        <w:rPr>
          <w:rFonts w:ascii="仿宋_GB2312" w:eastAsia="仿宋_GB2312" w:cs="DengXian-Regular" w:hAnsi="Times New Roman"/>
          <w:sz w:val="32"/>
          <w:szCs w:val="32"/>
        </w:rPr>
        <w:t>77.32</w:t>
      </w:r>
      <w:r>
        <w:rPr>
          <w:rFonts w:ascii="仿宋_GB2312" w:eastAsia="仿宋_GB2312" w:cs="DengXian-Regular" w:hAnsi="Times New Roman" w:hint="eastAsia"/>
          <w:sz w:val="32"/>
          <w:szCs w:val="32"/>
        </w:rPr>
        <w:t>%，主要是</w:t>
      </w:r>
      <w:r>
        <w:rPr>
          <w:rFonts w:ascii="仿宋_GB2312" w:eastAsia="仿宋_GB2312" w:cs="DengXian-Regular" w:hAnsi="Times New Roman"/>
          <w:sz w:val="32"/>
          <w:szCs w:val="32"/>
        </w:rPr>
        <w:t>减少了耕地占用税及滞纳金支出</w:t>
      </w:r>
      <w:r>
        <w:rPr>
          <w:rFonts w:ascii="仿宋_GB2312" w:eastAsia="仿宋_GB2312" w:cs="DengXian-Regular" w:hAnsi="Times New Roman" w:hint="eastAsia"/>
          <w:sz w:val="32"/>
          <w:szCs w:val="32"/>
        </w:rPr>
        <w:t>。</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2.政府性基金预算财政拨款本年收入</w:t>
      </w:r>
      <w:r>
        <w:rPr>
          <w:rFonts w:ascii="仿宋_GB2312" w:eastAsia="仿宋_GB2312" w:cs="DengXian-Regular" w:hAnsi="Times New Roman"/>
          <w:sz w:val="32"/>
          <w:szCs w:val="32"/>
        </w:rPr>
        <w:t>530.36</w:t>
      </w:r>
      <w:r>
        <w:rPr>
          <w:rFonts w:ascii="仿宋_GB2312" w:eastAsia="仿宋_GB2312" w:cs="DengXian-Regular" w:hAnsi="Times New Roman" w:hint="eastAsia"/>
          <w:sz w:val="32"/>
          <w:szCs w:val="32"/>
        </w:rPr>
        <w:t>万元，比上年减少</w:t>
      </w:r>
      <w:r>
        <w:rPr>
          <w:rFonts w:ascii="仿宋_GB2312" w:eastAsia="仿宋_GB2312" w:cs="DengXian-Regular" w:hAnsi="Times New Roman"/>
          <w:sz w:val="32"/>
          <w:szCs w:val="32"/>
        </w:rPr>
        <w:t>4469.64</w:t>
      </w:r>
      <w:r>
        <w:rPr>
          <w:rFonts w:ascii="仿宋_GB2312" w:eastAsia="仿宋_GB2312" w:cs="DengXian-Regular" w:hAnsi="Times New Roman" w:hint="eastAsia"/>
          <w:sz w:val="32"/>
          <w:szCs w:val="32"/>
        </w:rPr>
        <w:t>万元，降低</w:t>
      </w:r>
      <w:r>
        <w:rPr>
          <w:rFonts w:ascii="仿宋_GB2312" w:eastAsia="仿宋_GB2312" w:cs="DengXian-Regular" w:hAnsi="Times New Roman"/>
          <w:sz w:val="32"/>
          <w:szCs w:val="32"/>
        </w:rPr>
        <w:t>89.39</w:t>
      </w:r>
      <w:r>
        <w:rPr>
          <w:rFonts w:ascii="仿宋_GB2312" w:eastAsia="仿宋_GB2312" w:cs="DengXian-Regular" w:hAnsi="Times New Roman" w:hint="eastAsia"/>
          <w:sz w:val="32"/>
          <w:szCs w:val="32"/>
        </w:rPr>
        <w:t>%，主要原因是</w:t>
      </w:r>
      <w:r>
        <w:rPr>
          <w:rFonts w:ascii="仿宋_GB2312" w:eastAsia="仿宋_GB2312" w:cs="DengXian-Regular" w:hAnsi="Times New Roman"/>
          <w:sz w:val="32"/>
          <w:szCs w:val="32"/>
        </w:rPr>
        <w:t>减少了苑西二期土地分享收入</w:t>
      </w:r>
      <w:r>
        <w:rPr>
          <w:rFonts w:ascii="仿宋_GB2312" w:eastAsia="仿宋_GB2312" w:cs="DengXian-Regular" w:hAnsi="Times New Roman" w:hint="eastAsia"/>
          <w:sz w:val="32"/>
          <w:szCs w:val="32"/>
        </w:rPr>
        <w:t>；本年支出</w:t>
      </w:r>
      <w:r>
        <w:rPr>
          <w:rFonts w:ascii="仿宋_GB2312" w:eastAsia="仿宋_GB2312" w:cs="DengXian-Regular" w:hAnsi="Times New Roman"/>
          <w:sz w:val="32"/>
          <w:szCs w:val="32"/>
        </w:rPr>
        <w:t>530.36</w:t>
      </w:r>
      <w:r>
        <w:rPr>
          <w:rFonts w:ascii="仿宋_GB2312" w:eastAsia="仿宋_GB2312" w:cs="DengXian-Regular" w:hAnsi="Times New Roman" w:hint="eastAsia"/>
          <w:sz w:val="32"/>
          <w:szCs w:val="32"/>
        </w:rPr>
        <w:t>万元，比上年减少</w:t>
      </w:r>
      <w:r>
        <w:rPr>
          <w:rFonts w:ascii="仿宋_GB2312" w:eastAsia="仿宋_GB2312" w:cs="DengXian-Regular" w:hAnsi="Times New Roman"/>
          <w:sz w:val="32"/>
          <w:szCs w:val="32"/>
        </w:rPr>
        <w:t>4469.64</w:t>
      </w:r>
      <w:r>
        <w:rPr>
          <w:rFonts w:ascii="仿宋_GB2312" w:eastAsia="仿宋_GB2312" w:cs="DengXian-Regular" w:hAnsi="Times New Roman" w:hint="eastAsia"/>
          <w:sz w:val="32"/>
          <w:szCs w:val="32"/>
        </w:rPr>
        <w:t>万元，降低</w:t>
      </w:r>
      <w:r>
        <w:rPr>
          <w:rFonts w:ascii="仿宋_GB2312" w:eastAsia="仿宋_GB2312" w:cs="DengXian-Regular" w:hAnsi="Times New Roman"/>
          <w:sz w:val="32"/>
          <w:szCs w:val="32"/>
        </w:rPr>
        <w:t>89.39</w:t>
      </w:r>
      <w:r>
        <w:rPr>
          <w:rFonts w:ascii="仿宋_GB2312" w:eastAsia="仿宋_GB2312" w:cs="DengXian-Regular" w:hAnsi="Times New Roman" w:hint="eastAsia"/>
          <w:sz w:val="32"/>
          <w:szCs w:val="32"/>
        </w:rPr>
        <w:t>%，主要是</w:t>
      </w:r>
      <w:r>
        <w:rPr>
          <w:rFonts w:ascii="仿宋_GB2312" w:eastAsia="仿宋_GB2312" w:cs="DengXian-Regular" w:hAnsi="Times New Roman"/>
          <w:sz w:val="32"/>
          <w:szCs w:val="32"/>
        </w:rPr>
        <w:t>减少了苑西二期土地分享支出</w:t>
      </w:r>
      <w:r>
        <w:rPr>
          <w:rFonts w:ascii="仿宋_GB2312" w:eastAsia="仿宋_GB2312" w:cs="DengXian-Regular" w:hAnsi="Times New Roman" w:hint="eastAsia"/>
          <w:sz w:val="32"/>
          <w:szCs w:val="32"/>
        </w:rPr>
        <w:t>。</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3.国有资本经营预算财政拨款本年收入</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万元，</w:t>
      </w:r>
      <w:r>
        <w:rPr>
          <w:rFonts w:ascii="仿宋_GB2312" w:eastAsia="仿宋_GB2312" w:cs="DengXian-Regular" w:hAnsi="Times New Roman"/>
          <w:sz w:val="32"/>
          <w:szCs w:val="32"/>
        </w:rPr>
        <w:t>与</w:t>
      </w:r>
      <w:r>
        <w:rPr>
          <w:rFonts w:ascii="仿宋_GB2312" w:eastAsia="仿宋_GB2312" w:cs="DengXian-Regular" w:hAnsi="Times New Roman" w:hint="eastAsia"/>
          <w:sz w:val="32"/>
          <w:szCs w:val="32"/>
        </w:rPr>
        <w:t>上年</w:t>
      </w:r>
      <w:r>
        <w:rPr>
          <w:rFonts w:ascii="仿宋_GB2312" w:eastAsia="仿宋_GB2312" w:cs="DengXian-Regular" w:hAnsi="Times New Roman"/>
          <w:sz w:val="32"/>
          <w:szCs w:val="32"/>
        </w:rPr>
        <w:t>相比无增减变化</w:t>
      </w:r>
      <w:r>
        <w:rPr>
          <w:rFonts w:ascii="仿宋_GB2312" w:eastAsia="仿宋_GB2312" w:cs="DengXian-Regular" w:hAnsi="Times New Roman" w:hint="eastAsia"/>
          <w:sz w:val="32"/>
          <w:szCs w:val="32"/>
        </w:rPr>
        <w:t>；本年支出</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万元，</w:t>
      </w:r>
      <w:r>
        <w:rPr>
          <w:rFonts w:ascii="仿宋_GB2312" w:eastAsia="仿宋_GB2312" w:cs="DengXian-Regular" w:hAnsi="Times New Roman"/>
          <w:sz w:val="32"/>
          <w:szCs w:val="32"/>
        </w:rPr>
        <w:t>与</w:t>
      </w:r>
      <w:r>
        <w:rPr>
          <w:rFonts w:ascii="仿宋_GB2312" w:eastAsia="仿宋_GB2312" w:cs="DengXian-Regular" w:hAnsi="Times New Roman" w:hint="eastAsia"/>
          <w:sz w:val="32"/>
          <w:szCs w:val="32"/>
        </w:rPr>
        <w:t>上年</w:t>
      </w:r>
      <w:r>
        <w:rPr>
          <w:rFonts w:ascii="仿宋_GB2312" w:eastAsia="仿宋_GB2312" w:cs="DengXian-Regular" w:hAnsi="Times New Roman"/>
          <w:sz w:val="32"/>
          <w:szCs w:val="32"/>
        </w:rPr>
        <w:t>相比无增减变化</w:t>
      </w:r>
      <w:r>
        <w:rPr>
          <w:rFonts w:ascii="仿宋_GB2312" w:eastAsia="仿宋_GB2312" w:cs="DengXian-Regular" w:hAnsi="Times New Roman" w:hint="eastAsia"/>
          <w:sz w:val="32"/>
          <w:szCs w:val="32"/>
        </w:rPr>
        <w:t>。</w:t>
      </w:r>
    </w:p>
    <w:p>
      <w:pPr>
        <w:snapToGrid w:val="0"/>
        <w:spacing w:line="580" w:lineRule="exact"/>
        <w:ind w:firstLineChars="200" w:firstLine="640"/>
        <w:rPr>
          <w:rFonts w:ascii="仿宋_GB2312" w:eastAsia="仿宋_GB2312" w:cs="DengXian-Bold" w:hAnsi="Times New Roman"/>
          <w:b/>
          <w:bCs/>
          <w:sz w:val="32"/>
          <w:szCs w:val="32"/>
        </w:rPr>
      </w:pPr>
      <w:r>
        <w:rPr>
          <w:rFonts w:ascii="楷体_GB2312" w:eastAsia="楷体_GB2312" w:cs="DengXian-Bold" w:hAnsi="Times New Roman" w:hint="eastAsia"/>
          <w:b/>
          <w:bCs/>
          <w:sz w:val="32"/>
          <w:szCs w:val="32"/>
        </w:rPr>
        <w:t>（二）财政拨款收支与年初预算数对比情况</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本部门2023年度财政拨款本年收入</w:t>
      </w:r>
      <w:r>
        <w:rPr>
          <w:rFonts w:ascii="仿宋_GB2312" w:eastAsia="仿宋_GB2312" w:cs="DengXian-Regular" w:hAnsi="Times New Roman"/>
          <w:sz w:val="32"/>
          <w:szCs w:val="32"/>
        </w:rPr>
        <w:t>3247.86</w:t>
      </w:r>
      <w:r>
        <w:rPr>
          <w:rFonts w:ascii="仿宋_GB2312" w:eastAsia="仿宋_GB2312" w:cs="DengXian-Regular" w:hAnsi="Times New Roman" w:hint="eastAsia"/>
          <w:sz w:val="32"/>
          <w:szCs w:val="32"/>
        </w:rPr>
        <w:t>万元，完成年初预算的</w:t>
      </w:r>
      <w:r>
        <w:rPr>
          <w:rFonts w:ascii="仿宋_GB2312" w:eastAsia="仿宋_GB2312" w:cs="DengXian-Regular" w:hAnsi="Times New Roman"/>
          <w:sz w:val="32"/>
          <w:szCs w:val="32"/>
        </w:rPr>
        <w:t>144.16</w:t>
      </w:r>
      <w:r>
        <w:rPr>
          <w:rFonts w:ascii="仿宋_GB2312" w:eastAsia="仿宋_GB2312" w:cs="DengXian-Regular" w:hAnsi="Times New Roman" w:hint="eastAsia"/>
          <w:sz w:val="32"/>
          <w:szCs w:val="32"/>
        </w:rPr>
        <w:t>%,比年初预算增加</w:t>
      </w:r>
      <w:r>
        <w:rPr>
          <w:rFonts w:ascii="仿宋_GB2312" w:eastAsia="仿宋_GB2312" w:cs="DengXian-Regular" w:hAnsi="Times New Roman"/>
          <w:sz w:val="32"/>
          <w:szCs w:val="32"/>
        </w:rPr>
        <w:t>994.83</w:t>
      </w:r>
      <w:r>
        <w:rPr>
          <w:rFonts w:ascii="仿宋_GB2312" w:eastAsia="仿宋_GB2312" w:cs="DengXian-Regular" w:hAnsi="Times New Roman" w:hint="eastAsia"/>
          <w:sz w:val="32"/>
          <w:szCs w:val="32"/>
        </w:rPr>
        <w:t>万元，决算数大于预算数主要原因是</w:t>
      </w:r>
      <w:r>
        <w:rPr>
          <w:rFonts w:ascii="仿宋_GB2312" w:eastAsia="仿宋_GB2312" w:cs="DengXian-Regular" w:hAnsi="Times New Roman"/>
          <w:sz w:val="32"/>
          <w:szCs w:val="32"/>
        </w:rPr>
        <w:t>增加了征地和拆迁补偿等收入</w:t>
      </w:r>
      <w:r>
        <w:rPr>
          <w:rFonts w:ascii="仿宋_GB2312" w:eastAsia="仿宋_GB2312" w:cs="DengXian-Regular" w:hAnsi="Times New Roman" w:hint="eastAsia"/>
          <w:sz w:val="32"/>
          <w:szCs w:val="32"/>
        </w:rPr>
        <w:t>；本年支出</w:t>
      </w:r>
      <w:r>
        <w:rPr>
          <w:rFonts w:ascii="仿宋_GB2312" w:eastAsia="仿宋_GB2312" w:cs="DengXian-Regular" w:hAnsi="Times New Roman"/>
          <w:sz w:val="32"/>
          <w:szCs w:val="32"/>
        </w:rPr>
        <w:t>3247.86</w:t>
      </w:r>
      <w:r>
        <w:rPr>
          <w:rFonts w:ascii="仿宋_GB2312" w:eastAsia="仿宋_GB2312" w:cs="DengXian-Regular" w:hAnsi="Times New Roman" w:hint="eastAsia"/>
          <w:sz w:val="32"/>
          <w:szCs w:val="32"/>
        </w:rPr>
        <w:t>万元，完成年初预算的</w:t>
      </w:r>
      <w:r>
        <w:rPr>
          <w:rFonts w:ascii="仿宋_GB2312" w:eastAsia="仿宋_GB2312" w:cs="DengXian-Regular" w:hAnsi="Times New Roman"/>
          <w:sz w:val="32"/>
          <w:szCs w:val="32"/>
        </w:rPr>
        <w:t>144.16</w:t>
      </w:r>
      <w:r>
        <w:rPr>
          <w:rFonts w:ascii="仿宋_GB2312" w:eastAsia="仿宋_GB2312" w:cs="DengXian-Regular" w:hAnsi="Times New Roman" w:hint="eastAsia"/>
          <w:sz w:val="32"/>
          <w:szCs w:val="32"/>
        </w:rPr>
        <w:t>%,比年初预算增加</w:t>
      </w:r>
      <w:r>
        <w:rPr>
          <w:rFonts w:ascii="仿宋_GB2312" w:eastAsia="仿宋_GB2312" w:cs="DengXian-Regular" w:hAnsi="Times New Roman"/>
          <w:sz w:val="32"/>
          <w:szCs w:val="32"/>
        </w:rPr>
        <w:t>994.83</w:t>
      </w:r>
      <w:r>
        <w:rPr>
          <w:rFonts w:ascii="仿宋_GB2312" w:eastAsia="仿宋_GB2312" w:cs="DengXian-Regular" w:hAnsi="Times New Roman" w:hint="eastAsia"/>
          <w:sz w:val="32"/>
          <w:szCs w:val="32"/>
        </w:rPr>
        <w:t>万元，决算数大于预算数主要原因是</w:t>
      </w:r>
      <w:r>
        <w:rPr>
          <w:rFonts w:ascii="仿宋_GB2312" w:eastAsia="仿宋_GB2312" w:cs="DengXian-Regular" w:hAnsi="Times New Roman"/>
          <w:sz w:val="32"/>
          <w:szCs w:val="32"/>
        </w:rPr>
        <w:t>增加了征地和拆迁补偿等支出</w:t>
      </w:r>
      <w:r>
        <w:rPr>
          <w:rFonts w:ascii="仿宋_GB2312" w:eastAsia="仿宋_GB2312" w:cs="DengXian-Regular" w:hAnsi="Times New Roman" w:hint="eastAsia"/>
          <w:sz w:val="32"/>
          <w:szCs w:val="32"/>
        </w:rPr>
        <w:t>。具体情况如下：</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1.一般公共预算财政拨款本年收入完成年初预算</w:t>
      </w:r>
      <w:r>
        <w:rPr>
          <w:rFonts w:ascii="仿宋_GB2312" w:eastAsia="仿宋_GB2312" w:cs="DengXian-Regular" w:hAnsi="Times New Roman"/>
          <w:sz w:val="32"/>
          <w:szCs w:val="32"/>
        </w:rPr>
        <w:t>120.61</w:t>
      </w:r>
      <w:r>
        <w:rPr>
          <w:rFonts w:ascii="仿宋_GB2312" w:eastAsia="仿宋_GB2312" w:cs="DengXian-Regular" w:hAnsi="Times New Roman" w:hint="eastAsia"/>
          <w:sz w:val="32"/>
          <w:szCs w:val="32"/>
        </w:rPr>
        <w:t>%，比年初预算增加</w:t>
      </w:r>
      <w:r>
        <w:rPr>
          <w:rFonts w:ascii="仿宋_GB2312" w:eastAsia="仿宋_GB2312" w:cs="DengXian-Regular" w:hAnsi="Times New Roman"/>
          <w:sz w:val="32"/>
          <w:szCs w:val="32"/>
        </w:rPr>
        <w:t>464.46</w:t>
      </w:r>
      <w:r>
        <w:rPr>
          <w:rFonts w:ascii="仿宋_GB2312" w:eastAsia="仿宋_GB2312" w:cs="DengXian-Regular" w:hAnsi="Times New Roman" w:hint="eastAsia"/>
          <w:sz w:val="32"/>
          <w:szCs w:val="32"/>
        </w:rPr>
        <w:t>万元，主要是</w:t>
      </w:r>
      <w:r>
        <w:rPr>
          <w:rFonts w:ascii="仿宋_GB2312" w:eastAsia="仿宋_GB2312" w:cs="DengXian-Regular" w:hAnsi="Times New Roman"/>
          <w:sz w:val="32"/>
          <w:szCs w:val="32"/>
        </w:rPr>
        <w:t>增加了信访事务、成人教育、经济普查、突发公共卫生事件应急处理和征地等收入</w:t>
      </w:r>
      <w:r>
        <w:rPr>
          <w:rFonts w:ascii="仿宋_GB2312" w:eastAsia="仿宋_GB2312" w:cs="DengXian-Regular" w:hAnsi="Times New Roman" w:hint="eastAsia"/>
          <w:sz w:val="32"/>
          <w:szCs w:val="32"/>
        </w:rPr>
        <w:t>；支出完成年初预算</w:t>
      </w:r>
      <w:r>
        <w:rPr>
          <w:rFonts w:ascii="仿宋_GB2312" w:eastAsia="仿宋_GB2312" w:cs="DengXian-Regular" w:hAnsi="Times New Roman"/>
          <w:sz w:val="32"/>
          <w:szCs w:val="32"/>
        </w:rPr>
        <w:t>120.61</w:t>
      </w:r>
      <w:r>
        <w:rPr>
          <w:rFonts w:ascii="仿宋_GB2312" w:eastAsia="仿宋_GB2312" w:cs="DengXian-Regular" w:hAnsi="Times New Roman" w:hint="eastAsia"/>
          <w:sz w:val="32"/>
          <w:szCs w:val="32"/>
        </w:rPr>
        <w:t>%，比年初预算增加</w:t>
      </w:r>
      <w:r>
        <w:rPr>
          <w:rFonts w:ascii="仿宋_GB2312" w:eastAsia="仿宋_GB2312" w:cs="DengXian-Regular" w:hAnsi="Times New Roman"/>
          <w:sz w:val="32"/>
          <w:szCs w:val="32"/>
        </w:rPr>
        <w:t>464.46</w:t>
      </w:r>
      <w:r>
        <w:rPr>
          <w:rFonts w:ascii="仿宋_GB2312" w:eastAsia="仿宋_GB2312" w:cs="DengXian-Regular" w:hAnsi="Times New Roman" w:hint="eastAsia"/>
          <w:sz w:val="32"/>
          <w:szCs w:val="32"/>
        </w:rPr>
        <w:t>万元，主要是</w:t>
      </w:r>
      <w:r>
        <w:rPr>
          <w:rFonts w:ascii="仿宋_GB2312" w:eastAsia="仿宋_GB2312" w:cs="DengXian-Regular" w:hAnsi="Times New Roman"/>
          <w:sz w:val="32"/>
          <w:szCs w:val="32"/>
        </w:rPr>
        <w:t>增加了信访事务、成人教育、经济普查、突发公共卫生事件应急处理等支出</w:t>
      </w:r>
      <w:r>
        <w:rPr>
          <w:rFonts w:ascii="仿宋_GB2312" w:eastAsia="仿宋_GB2312" w:cs="DengXian-Regular" w:hAnsi="Times New Roman" w:hint="eastAsia"/>
          <w:sz w:val="32"/>
          <w:szCs w:val="32"/>
        </w:rPr>
        <w:t>。</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2.政府性基金预算财政拨款本年收入比年初预算增加</w:t>
      </w:r>
      <w:r>
        <w:rPr>
          <w:rFonts w:ascii="仿宋_GB2312" w:eastAsia="仿宋_GB2312" w:cs="DengXian-Regular" w:hAnsi="Times New Roman"/>
          <w:sz w:val="32"/>
          <w:szCs w:val="32"/>
        </w:rPr>
        <w:t>530.36</w:t>
      </w:r>
      <w:r>
        <w:rPr>
          <w:rFonts w:ascii="仿宋_GB2312" w:eastAsia="仿宋_GB2312" w:cs="DengXian-Regular" w:hAnsi="Times New Roman" w:hint="eastAsia"/>
          <w:sz w:val="32"/>
          <w:szCs w:val="32"/>
        </w:rPr>
        <w:t>万元，主要是</w:t>
      </w:r>
      <w:r>
        <w:rPr>
          <w:rFonts w:ascii="仿宋_GB2312" w:eastAsia="仿宋_GB2312" w:cs="DengXian-Regular" w:hAnsi="Times New Roman"/>
          <w:sz w:val="32"/>
          <w:szCs w:val="32"/>
        </w:rPr>
        <w:t>增加了征地和拆迁补偿收入</w:t>
      </w:r>
      <w:r>
        <w:rPr>
          <w:rFonts w:ascii="仿宋_GB2312" w:eastAsia="仿宋_GB2312" w:cs="DengXian-Regular" w:hAnsi="Times New Roman" w:hint="eastAsia"/>
          <w:sz w:val="32"/>
          <w:szCs w:val="32"/>
        </w:rPr>
        <w:t>；</w:t>
      </w:r>
      <w:r>
        <w:rPr>
          <w:rFonts w:ascii="仿宋_GB2312" w:eastAsia="仿宋_GB2312" w:cs="DengXian-Regular" w:hAnsi="Times New Roman"/>
          <w:sz w:val="32"/>
          <w:szCs w:val="32"/>
        </w:rPr>
        <w:t>本年</w:t>
      </w:r>
      <w:r>
        <w:rPr>
          <w:rFonts w:ascii="仿宋_GB2312" w:eastAsia="仿宋_GB2312" w:cs="DengXian-Regular" w:hAnsi="Times New Roman" w:hint="eastAsia"/>
          <w:sz w:val="32"/>
          <w:szCs w:val="32"/>
        </w:rPr>
        <w:t>支出比年初预算增加</w:t>
      </w:r>
      <w:r>
        <w:rPr>
          <w:rFonts w:ascii="仿宋_GB2312" w:eastAsia="仿宋_GB2312" w:cs="DengXian-Regular" w:hAnsi="Times New Roman"/>
          <w:sz w:val="32"/>
          <w:szCs w:val="32"/>
        </w:rPr>
        <w:t>530.36</w:t>
      </w:r>
      <w:r>
        <w:rPr>
          <w:rFonts w:ascii="仿宋_GB2312" w:eastAsia="仿宋_GB2312" w:cs="DengXian-Regular" w:hAnsi="Times New Roman" w:hint="eastAsia"/>
          <w:sz w:val="32"/>
          <w:szCs w:val="32"/>
        </w:rPr>
        <w:t>万元，主要是</w:t>
      </w:r>
      <w:r>
        <w:rPr>
          <w:rFonts w:ascii="仿宋_GB2312" w:eastAsia="仿宋_GB2312" w:cs="DengXian-Regular" w:hAnsi="Times New Roman"/>
          <w:sz w:val="32"/>
          <w:szCs w:val="32"/>
        </w:rPr>
        <w:t>增加了征地和拆迁补偿支出</w:t>
      </w:r>
      <w:r>
        <w:rPr>
          <w:rFonts w:ascii="仿宋_GB2312" w:eastAsia="仿宋_GB2312" w:cs="DengXian-Regular" w:hAnsi="Times New Roman" w:hint="eastAsia"/>
          <w:sz w:val="32"/>
          <w:szCs w:val="32"/>
        </w:rPr>
        <w:t>。</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3.国有资本经营预算财政拨款本年收入完成年初预算</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w:t>
      </w:r>
      <w:r>
        <w:rPr>
          <w:rFonts w:ascii="仿宋_GB2312" w:eastAsia="仿宋_GB2312" w:cs="DengXian-Regular" w:hAnsi="Times New Roman"/>
          <w:sz w:val="32"/>
          <w:szCs w:val="32"/>
        </w:rPr>
        <w:t>与</w:t>
      </w:r>
      <w:r>
        <w:rPr>
          <w:rFonts w:ascii="仿宋_GB2312" w:eastAsia="仿宋_GB2312" w:cs="DengXian-Regular" w:hAnsi="Times New Roman" w:hint="eastAsia"/>
          <w:sz w:val="32"/>
          <w:szCs w:val="32"/>
        </w:rPr>
        <w:t>年初预算</w:t>
      </w:r>
      <w:r>
        <w:rPr>
          <w:rFonts w:ascii="仿宋_GB2312" w:eastAsia="仿宋_GB2312" w:cs="DengXian-Regular" w:hAnsi="Times New Roman"/>
          <w:sz w:val="32"/>
          <w:szCs w:val="32"/>
        </w:rPr>
        <w:t>无增减变动</w:t>
      </w:r>
      <w:r>
        <w:rPr>
          <w:rFonts w:ascii="仿宋_GB2312" w:eastAsia="仿宋_GB2312" w:cs="DengXian-Regular" w:hAnsi="Times New Roman" w:hint="eastAsia"/>
          <w:sz w:val="32"/>
          <w:szCs w:val="32"/>
        </w:rPr>
        <w:t>；支出完成年初预算</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w:t>
      </w:r>
      <w:r>
        <w:rPr>
          <w:rFonts w:ascii="仿宋_GB2312" w:eastAsia="仿宋_GB2312" w:cs="DengXian-Regular" w:hAnsi="Times New Roman"/>
          <w:sz w:val="32"/>
          <w:szCs w:val="32"/>
        </w:rPr>
        <w:t>与</w:t>
      </w:r>
      <w:r>
        <w:rPr>
          <w:rFonts w:ascii="仿宋_GB2312" w:eastAsia="仿宋_GB2312" w:cs="DengXian-Regular" w:hAnsi="Times New Roman" w:hint="eastAsia"/>
          <w:sz w:val="32"/>
          <w:szCs w:val="32"/>
        </w:rPr>
        <w:t>年初预算</w:t>
      </w:r>
      <w:r>
        <w:rPr>
          <w:rFonts w:ascii="仿宋_GB2312" w:eastAsia="仿宋_GB2312" w:cs="DengXian-Regular" w:hAnsi="Times New Roman"/>
          <w:sz w:val="32"/>
          <w:szCs w:val="32"/>
        </w:rPr>
        <w:t>无增减变动</w:t>
      </w:r>
      <w:r>
        <w:rPr>
          <w:rFonts w:ascii="仿宋_GB2312" w:eastAsia="仿宋_GB2312" w:cs="DengXian-Regular" w:hAnsi="Times New Roman" w:hint="eastAsia"/>
          <w:sz w:val="32"/>
          <w:szCs w:val="32"/>
        </w:rPr>
        <w:t>。</w:t>
      </w:r>
    </w:p>
    <w:p>
      <w:pPr>
        <w:numPr>
          <w:ilvl w:val="0"/>
          <w:numId w:val="2"/>
        </w:numPr>
        <w:adjustRightInd w:val="0"/>
        <w:snapToGrid w:val="0"/>
        <w:spacing w:line="580" w:lineRule="exact"/>
        <w:ind w:leftChars="200" w:left="420"/>
        <w:rPr>
          <w:rFonts w:ascii="楷体_GB2312" w:eastAsia="楷体_GB2312" w:cs="DengXian-Bold" w:hAnsi="Times New Roman"/>
          <w:b/>
          <w:bCs/>
          <w:sz w:val="32"/>
          <w:szCs w:val="32"/>
        </w:rPr>
      </w:pPr>
      <w:r>
        <w:rPr>
          <w:rFonts w:ascii="楷体_GB2312" w:eastAsia="楷体_GB2312" w:cs="DengXian-Bold" w:hAnsi="Times New Roman" w:hint="eastAsia"/>
          <w:b/>
          <w:bCs/>
          <w:sz w:val="32"/>
          <w:szCs w:val="32"/>
        </w:rPr>
        <w:t>财政拨款支出决算结构情况</w:t>
      </w:r>
    </w:p>
    <w:p>
      <w:pPr>
        <w:adjustRightInd w:val="0"/>
        <w:snapToGrid w:val="0"/>
        <w:spacing w:line="580" w:lineRule="exact"/>
        <w:ind w:firstLineChars="200" w:firstLine="640"/>
        <w:rPr>
          <w:rFonts w:ascii="仿宋_GB2312" w:eastAsia="仿宋_GB2312" w:cs="DengXian-Regular" w:hAnsi="Times New Roman"/>
          <w:sz w:val="32"/>
          <w:szCs w:val="32"/>
          <w:highlight w:val="yellow"/>
        </w:rPr>
      </w:pPr>
      <w:r>
        <w:rPr>
          <w:rFonts w:ascii="仿宋_GB2312" w:eastAsia="仿宋_GB2312" w:cs="DengXian-Regular" w:hAnsi="Times New Roman" w:hint="eastAsia"/>
          <w:sz w:val="32"/>
          <w:szCs w:val="32"/>
        </w:rPr>
        <w:t>2023年度财政拨款支出</w:t>
      </w:r>
      <w:r>
        <w:rPr>
          <w:rFonts w:ascii="仿宋_GB2312" w:eastAsia="仿宋_GB2312" w:cs="DengXian-Regular" w:hAnsi="Times New Roman"/>
          <w:sz w:val="32"/>
          <w:szCs w:val="32"/>
        </w:rPr>
        <w:t>3247.86</w:t>
      </w:r>
      <w:r>
        <w:rPr>
          <w:rFonts w:ascii="仿宋_GB2312" w:eastAsia="仿宋_GB2312" w:cs="DengXian-Regular" w:hAnsi="Times New Roman" w:hint="eastAsia"/>
          <w:sz w:val="32"/>
          <w:szCs w:val="32"/>
        </w:rPr>
        <w:t>万元，主要用于以下方面：</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一般公共服务（类）支出</w:t>
      </w:r>
      <w:r>
        <w:rPr>
          <w:rFonts w:ascii="仿宋_GB2312" w:eastAsia="仿宋_GB2312" w:cs="DengXian-Regular" w:hAnsi="Times New Roman"/>
          <w:sz w:val="32"/>
          <w:szCs w:val="32"/>
        </w:rPr>
        <w:t>2343.92</w:t>
      </w:r>
      <w:r>
        <w:rPr>
          <w:rFonts w:ascii="仿宋_GB2312" w:eastAsia="仿宋_GB2312" w:cs="DengXian-Regular" w:hAnsi="Times New Roman" w:hint="eastAsia"/>
          <w:sz w:val="32"/>
          <w:szCs w:val="32"/>
        </w:rPr>
        <w:t>万元，占</w:t>
      </w:r>
      <w:r>
        <w:rPr>
          <w:rFonts w:ascii="仿宋_GB2312" w:eastAsia="仿宋_GB2312" w:cs="DengXian-Regular" w:hAnsi="Times New Roman"/>
          <w:sz w:val="32"/>
          <w:szCs w:val="32"/>
        </w:rPr>
        <w:t>72.17</w:t>
      </w:r>
      <w:r>
        <w:rPr>
          <w:rFonts w:ascii="仿宋_GB2312" w:eastAsia="仿宋_GB2312" w:cs="DengXian-Regular" w:hAnsi="Times New Roman" w:hint="eastAsia"/>
          <w:sz w:val="32"/>
          <w:szCs w:val="32"/>
        </w:rPr>
        <w:t>%，主要用于</w:t>
      </w:r>
      <w:r>
        <w:rPr>
          <w:rFonts w:ascii="仿宋_GB2312" w:eastAsia="仿宋_GB2312" w:cs="DengXian-Regular" w:hAnsi="Times New Roman"/>
          <w:sz w:val="32"/>
          <w:szCs w:val="32"/>
        </w:rPr>
        <w:t>日常办公运转</w:t>
      </w:r>
      <w:r>
        <w:rPr>
          <w:rFonts w:ascii="仿宋_GB2312" w:eastAsia="仿宋_GB2312" w:cs="DengXian-Regular" w:hAnsi="Times New Roman" w:hint="eastAsia"/>
          <w:sz w:val="32"/>
          <w:szCs w:val="32"/>
        </w:rPr>
        <w:t>等支出；教育（类）支出</w:t>
      </w:r>
      <w:r>
        <w:rPr>
          <w:rFonts w:ascii="仿宋_GB2312" w:eastAsia="仿宋_GB2312" w:cs="DengXian-Regular" w:hAnsi="Times New Roman"/>
          <w:sz w:val="32"/>
          <w:szCs w:val="32"/>
        </w:rPr>
        <w:t>4.65</w:t>
      </w:r>
      <w:r>
        <w:rPr>
          <w:rFonts w:ascii="仿宋_GB2312" w:eastAsia="仿宋_GB2312" w:cs="DengXian-Regular" w:hAnsi="Times New Roman" w:hint="eastAsia"/>
          <w:sz w:val="32"/>
          <w:szCs w:val="32"/>
        </w:rPr>
        <w:t>万元，占</w:t>
      </w:r>
      <w:r>
        <w:rPr>
          <w:rFonts w:ascii="仿宋_GB2312" w:eastAsia="仿宋_GB2312" w:cs="DengXian-Regular" w:hAnsi="Times New Roman"/>
          <w:sz w:val="32"/>
          <w:szCs w:val="32"/>
        </w:rPr>
        <w:t>0.14</w:t>
      </w:r>
      <w:r>
        <w:rPr>
          <w:rFonts w:ascii="仿宋_GB2312" w:eastAsia="仿宋_GB2312" w:cs="DengXian-Regular" w:hAnsi="Times New Roman" w:hint="eastAsia"/>
          <w:sz w:val="32"/>
          <w:szCs w:val="32"/>
        </w:rPr>
        <w:t>%，主要用于</w:t>
      </w:r>
      <w:r>
        <w:rPr>
          <w:rFonts w:ascii="仿宋_GB2312" w:eastAsia="仿宋_GB2312" w:cs="DengXian-Regular" w:hAnsi="Times New Roman"/>
          <w:sz w:val="32"/>
          <w:szCs w:val="32"/>
        </w:rPr>
        <w:t>成人教育</w:t>
      </w:r>
      <w:r>
        <w:rPr>
          <w:rFonts w:ascii="仿宋_GB2312" w:eastAsia="仿宋_GB2312" w:cs="DengXian-Regular" w:hAnsi="Times New Roman" w:hint="eastAsia"/>
          <w:sz w:val="32"/>
          <w:szCs w:val="32"/>
        </w:rPr>
        <w:t>支出；</w:t>
      </w:r>
      <w:r>
        <w:rPr>
          <w:rFonts w:ascii="仿宋_GB2312" w:eastAsia="仿宋_GB2312" w:cs="DengXian-Regular" w:hAnsi="Times New Roman"/>
          <w:sz w:val="32"/>
          <w:szCs w:val="32"/>
        </w:rPr>
        <w:t>文化旅游体育与传媒</w:t>
      </w:r>
      <w:r>
        <w:rPr>
          <w:rFonts w:ascii="仿宋_GB2312" w:eastAsia="仿宋_GB2312" w:cs="DengXian-Regular" w:hAnsi="Times New Roman" w:hint="eastAsia"/>
          <w:sz w:val="32"/>
          <w:szCs w:val="32"/>
        </w:rPr>
        <w:t>（类）支出</w:t>
      </w:r>
      <w:r>
        <w:rPr>
          <w:rFonts w:ascii="仿宋_GB2312" w:eastAsia="仿宋_GB2312" w:cs="DengXian-Regular" w:hAnsi="Times New Roman"/>
          <w:sz w:val="32"/>
          <w:szCs w:val="32"/>
        </w:rPr>
        <w:t>1.5</w:t>
      </w:r>
      <w:r>
        <w:rPr>
          <w:rFonts w:ascii="仿宋_GB2312" w:eastAsia="仿宋_GB2312" w:cs="DengXian-Regular" w:hAnsi="Times New Roman" w:hint="eastAsia"/>
          <w:sz w:val="32"/>
          <w:szCs w:val="32"/>
        </w:rPr>
        <w:t xml:space="preserve">万元，占 </w:t>
      </w:r>
      <w:r>
        <w:rPr>
          <w:rFonts w:ascii="仿宋_GB2312" w:eastAsia="仿宋_GB2312" w:cs="DengXian-Regular" w:hAnsi="Times New Roman"/>
          <w:sz w:val="32"/>
          <w:szCs w:val="32"/>
        </w:rPr>
        <w:t>0.05</w:t>
      </w:r>
      <w:r>
        <w:rPr>
          <w:rFonts w:ascii="仿宋_GB2312" w:eastAsia="仿宋_GB2312" w:cs="DengXian-Regular" w:hAnsi="Times New Roman" w:hint="eastAsia"/>
          <w:sz w:val="32"/>
          <w:szCs w:val="32"/>
        </w:rPr>
        <w:t>%，主要用于</w:t>
      </w:r>
      <w:r>
        <w:rPr>
          <w:rFonts w:ascii="仿宋_GB2312" w:eastAsia="仿宋_GB2312" w:cs="DengXian-Regular" w:hAnsi="Times New Roman"/>
          <w:sz w:val="32"/>
          <w:szCs w:val="32"/>
        </w:rPr>
        <w:t>三馆一站建设</w:t>
      </w:r>
      <w:r>
        <w:rPr>
          <w:rFonts w:ascii="仿宋_GB2312" w:eastAsia="仿宋_GB2312" w:cs="DengXian-Regular" w:hAnsi="Times New Roman" w:hint="eastAsia"/>
          <w:sz w:val="32"/>
          <w:szCs w:val="32"/>
        </w:rPr>
        <w:t>支出；</w:t>
      </w:r>
      <w:r>
        <w:rPr>
          <w:rFonts w:ascii="仿宋_GB2312" w:eastAsia="仿宋_GB2312" w:cs="Wingdings" w:hAnsi="Times New Roman" w:hint="eastAsia"/>
          <w:sz w:val="32"/>
          <w:szCs w:val="32"/>
        </w:rPr>
        <w:t>社会保障和就业（类）支出</w:t>
      </w:r>
      <w:r>
        <w:rPr>
          <w:rFonts w:ascii="仿宋_GB2312" w:eastAsia="仿宋_GB2312" w:cs="Wingdings" w:hAnsi="Times New Roman"/>
          <w:sz w:val="32"/>
          <w:szCs w:val="32"/>
        </w:rPr>
        <w:t>164.21</w:t>
      </w:r>
      <w:r>
        <w:rPr>
          <w:rFonts w:ascii="仿宋_GB2312" w:eastAsia="仿宋_GB2312" w:cs="Wingdings" w:hAnsi="Times New Roman" w:hint="eastAsia"/>
          <w:sz w:val="32"/>
          <w:szCs w:val="32"/>
        </w:rPr>
        <w:t>万元，占</w:t>
      </w:r>
      <w:r>
        <w:rPr>
          <w:rFonts w:ascii="仿宋_GB2312" w:eastAsia="仿宋_GB2312" w:cs="Wingdings" w:hAnsi="Times New Roman"/>
          <w:sz w:val="32"/>
          <w:szCs w:val="32"/>
        </w:rPr>
        <w:t>5.06</w:t>
      </w:r>
      <w:r>
        <w:rPr>
          <w:rFonts w:ascii="仿宋_GB2312" w:eastAsia="仿宋_GB2312" w:cs="Wingdings" w:hAnsi="Times New Roman" w:hint="eastAsia"/>
          <w:sz w:val="32"/>
          <w:szCs w:val="32"/>
        </w:rPr>
        <w:t>%</w:t>
      </w:r>
      <w:r>
        <w:rPr>
          <w:rFonts w:ascii="仿宋_GB2312" w:eastAsia="仿宋_GB2312" w:cs="Wingdings" w:hAnsi="Times New Roman"/>
          <w:sz w:val="32"/>
          <w:szCs w:val="32"/>
        </w:rPr>
        <w:t>，主要用于在职人员保险支出</w:t>
      </w:r>
      <w:r>
        <w:rPr>
          <w:rFonts w:ascii="仿宋_GB2312" w:eastAsia="仿宋_GB2312" w:cs="Wingdings" w:hAnsi="Times New Roman" w:hint="eastAsia"/>
          <w:sz w:val="32"/>
          <w:szCs w:val="32"/>
        </w:rPr>
        <w:t>；</w:t>
      </w:r>
      <w:r>
        <w:rPr>
          <w:rFonts w:ascii="仿宋_GB2312" w:eastAsia="仿宋_GB2312" w:cs="Wingdings" w:hAnsi="Times New Roman"/>
          <w:sz w:val="32"/>
          <w:szCs w:val="32"/>
        </w:rPr>
        <w:t>卫生健康支出（类）支出121.73万元，占3.74%，主要用于在职人员医疗保险和新冠疫情防控支出；城乡社区支出533.09万元，占16.41%，主要用于征地拆迁补偿支出；</w:t>
      </w:r>
      <w:r>
        <w:rPr>
          <w:rFonts w:ascii="仿宋_GB2312" w:eastAsia="仿宋_GB2312" w:cs="Wingdings" w:hAnsi="Times New Roman" w:hint="eastAsia"/>
          <w:sz w:val="32"/>
          <w:szCs w:val="32"/>
        </w:rPr>
        <w:t>住房保障（类）支出</w:t>
      </w:r>
      <w:r>
        <w:rPr>
          <w:rFonts w:ascii="仿宋_GB2312" w:eastAsia="仿宋_GB2312" w:cs="Wingdings" w:hAnsi="Times New Roman"/>
          <w:sz w:val="32"/>
          <w:szCs w:val="32"/>
        </w:rPr>
        <w:t>78.76</w:t>
      </w:r>
      <w:r>
        <w:rPr>
          <w:rFonts w:ascii="仿宋_GB2312" w:eastAsia="仿宋_GB2312" w:cs="Wingdings" w:hAnsi="Times New Roman" w:hint="eastAsia"/>
          <w:sz w:val="32"/>
          <w:szCs w:val="32"/>
        </w:rPr>
        <w:t xml:space="preserve">万元，占 </w:t>
      </w:r>
      <w:r>
        <w:rPr>
          <w:rFonts w:ascii="仿宋_GB2312" w:eastAsia="仿宋_GB2312" w:cs="Wingdings" w:hAnsi="Times New Roman"/>
          <w:sz w:val="32"/>
          <w:szCs w:val="32"/>
        </w:rPr>
        <w:t>2.42</w:t>
      </w:r>
      <w:r>
        <w:rPr>
          <w:rFonts w:ascii="仿宋_GB2312" w:eastAsia="仿宋_GB2312" w:cs="Wingdings" w:hAnsi="Times New Roman" w:hint="eastAsia"/>
          <w:sz w:val="32"/>
          <w:szCs w:val="32"/>
        </w:rPr>
        <w:t>%</w:t>
      </w:r>
      <w:r>
        <w:rPr>
          <w:rFonts w:ascii="仿宋_GB2312" w:eastAsia="仿宋_GB2312" w:cs="Wingdings" w:hAnsi="Times New Roman"/>
          <w:sz w:val="32"/>
          <w:szCs w:val="32"/>
        </w:rPr>
        <w:t>，主要用于在职人员公积金支出</w:t>
      </w:r>
      <w:r>
        <w:rPr>
          <w:rFonts w:ascii="仿宋_GB2312" w:eastAsia="仿宋_GB2312" w:cs="DengXian-Regular" w:hAnsi="Times New Roman" w:hint="eastAsia"/>
          <w:sz w:val="32"/>
          <w:szCs w:val="32"/>
        </w:rPr>
        <w:t>。</w:t>
      </w:r>
    </w:p>
    <w:p>
      <w:pPr>
        <w:adjustRightInd w:val="0"/>
        <w:snapToGrid w:val="0"/>
        <w:spacing w:line="580" w:lineRule="exact"/>
        <w:ind w:leftChars="200" w:left="420"/>
        <w:rPr>
          <w:rFonts w:ascii="楷体_GB2312" w:eastAsia="楷体_GB2312" w:cs="DengXian-Bold" w:hAnsi="Times New Roman"/>
          <w:b/>
          <w:bCs/>
          <w:sz w:val="32"/>
          <w:szCs w:val="32"/>
        </w:rPr>
      </w:pPr>
      <w:r>
        <w:rPr>
          <w:rFonts w:ascii="楷体_GB2312" w:eastAsia="楷体_GB2312" w:cs="DengXian-Bold" w:hAnsi="Times New Roman" w:hint="eastAsia"/>
          <w:b/>
          <w:bCs/>
          <w:sz w:val="32"/>
          <w:szCs w:val="32"/>
        </w:rPr>
        <w:t>（四）一般公共预算基本支出决算情况说明</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2023年度财政拨款基本支出</w:t>
      </w:r>
      <w:r>
        <w:rPr>
          <w:rFonts w:ascii="仿宋_GB2312" w:eastAsia="仿宋_GB2312" w:cs="DengXian-Regular" w:hAnsi="Times New Roman"/>
          <w:sz w:val="32"/>
          <w:szCs w:val="32"/>
        </w:rPr>
        <w:t>1960.67</w:t>
      </w:r>
      <w:r>
        <w:rPr>
          <w:rFonts w:ascii="仿宋_GB2312" w:eastAsia="仿宋_GB2312" w:cs="DengXian-Regular" w:hAnsi="Times New Roman" w:hint="eastAsia"/>
          <w:sz w:val="32"/>
          <w:szCs w:val="32"/>
        </w:rPr>
        <w:t>万元，其中：</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 xml:space="preserve">人员经费 </w:t>
      </w:r>
      <w:r>
        <w:rPr>
          <w:rFonts w:ascii="仿宋_GB2312" w:eastAsia="仿宋_GB2312" w:cs="DengXian-Regular" w:hAnsi="Times New Roman"/>
          <w:sz w:val="32"/>
          <w:szCs w:val="32"/>
        </w:rPr>
        <w:t>1878.49</w:t>
      </w:r>
      <w:r>
        <w:rPr>
          <w:rFonts w:ascii="仿宋_GB2312" w:eastAsia="仿宋_GB2312" w:cs="DengXian-Regular" w:hAnsi="Times New Roman" w:hint="eastAsia"/>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公用经费</w:t>
      </w:r>
      <w:r>
        <w:rPr>
          <w:rFonts w:ascii="仿宋_GB2312" w:eastAsia="仿宋_GB2312" w:cs="DengXian-Regular" w:hAnsi="Times New Roman"/>
          <w:sz w:val="32"/>
          <w:szCs w:val="32"/>
        </w:rPr>
        <w:t>82.18</w:t>
      </w:r>
      <w:r>
        <w:rPr>
          <w:rFonts w:ascii="仿宋_GB2312" w:eastAsia="仿宋_GB2312" w:cs="DengXian-Regular" w:hAnsi="Times New Roman" w:hint="eastAsia"/>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Chars="200" w:firstLine="640"/>
        <w:outlineLvl w:val="1"/>
        <w:rPr>
          <w:rFonts w:ascii="黑体" w:eastAsia="黑体" w:cs="Times New Roman" w:hAnsi="Calibri"/>
          <w:sz w:val="32"/>
          <w:szCs w:val="32"/>
        </w:rPr>
      </w:pPr>
      <w:r>
        <w:rPr>
          <w:rFonts w:ascii="黑体" w:eastAsia="黑体" w:cs="Times New Roman" w:hAnsi="Calibri" w:hint="eastAsia"/>
          <w:sz w:val="32"/>
          <w:szCs w:val="32"/>
        </w:rPr>
        <w:t>五、财政拨款“三公” 经费支出决算情况说明</w:t>
      </w:r>
    </w:p>
    <w:p>
      <w:pPr>
        <w:adjustRightInd w:val="0"/>
        <w:snapToGrid w:val="0"/>
        <w:spacing w:line="580" w:lineRule="exact"/>
        <w:ind w:firstLineChars="200" w:firstLine="640"/>
        <w:rPr>
          <w:rFonts w:ascii="楷体_GB2312" w:eastAsia="楷体_GB2312" w:cs="DengXian-Bold" w:hAnsi="Times New Roman"/>
          <w:b/>
          <w:bCs/>
          <w:sz w:val="32"/>
          <w:szCs w:val="32"/>
        </w:rPr>
      </w:pPr>
      <w:r>
        <w:rPr>
          <w:rFonts w:ascii="楷体_GB2312" w:eastAsia="楷体_GB2312" w:cs="DengXian-Bold" w:hAnsi="Times New Roman" w:hint="eastAsia"/>
          <w:b/>
          <w:bCs/>
          <w:sz w:val="32"/>
          <w:szCs w:val="32"/>
        </w:rPr>
        <w:t>（一）“三公”经费财政拨款支出决算总体情况说明</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本部门2023年度“三公”经费财政拨款支出预算为</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万元，支出决算为</w:t>
      </w:r>
      <w:r>
        <w:rPr>
          <w:rFonts w:ascii="仿宋_GB2312" w:eastAsia="仿宋_GB2312" w:cs="DengXian-Regular" w:hAnsi="Times New Roman"/>
          <w:sz w:val="32"/>
          <w:szCs w:val="32"/>
        </w:rPr>
        <w:t>2</w:t>
      </w:r>
      <w:r>
        <w:rPr>
          <w:rFonts w:ascii="仿宋_GB2312" w:eastAsia="仿宋_GB2312" w:cs="DengXian-Regular" w:hAnsi="Times New Roman" w:hint="eastAsia"/>
          <w:sz w:val="32"/>
          <w:szCs w:val="32"/>
        </w:rPr>
        <w:t>万元，较预算增加</w:t>
      </w:r>
      <w:r>
        <w:rPr>
          <w:rFonts w:ascii="仿宋_GB2312" w:eastAsia="仿宋_GB2312" w:cs="DengXian-Regular" w:hAnsi="Times New Roman"/>
          <w:sz w:val="32"/>
          <w:szCs w:val="32"/>
        </w:rPr>
        <w:t>2</w:t>
      </w:r>
      <w:r>
        <w:rPr>
          <w:rFonts w:ascii="仿宋_GB2312" w:eastAsia="仿宋_GB2312" w:cs="DengXian-Regular" w:hAnsi="Times New Roman" w:hint="eastAsia"/>
          <w:sz w:val="32"/>
          <w:szCs w:val="32"/>
        </w:rPr>
        <w:t>万元，主要是</w:t>
      </w:r>
      <w:r>
        <w:rPr>
          <w:rFonts w:ascii="仿宋_GB2312" w:eastAsia="仿宋_GB2312" w:cs="DengXian-Regular" w:hAnsi="Times New Roman"/>
          <w:sz w:val="32"/>
          <w:szCs w:val="32"/>
        </w:rPr>
        <w:t>无年初预算安排</w:t>
      </w:r>
      <w:r>
        <w:rPr>
          <w:rFonts w:ascii="仿宋_GB2312" w:eastAsia="仿宋_GB2312" w:cs="DengXian-Regular" w:hAnsi="Times New Roman" w:hint="eastAsia"/>
          <w:sz w:val="32"/>
          <w:szCs w:val="32"/>
        </w:rPr>
        <w:t>；较2022年度决算减少</w:t>
      </w:r>
      <w:r>
        <w:rPr>
          <w:rFonts w:ascii="仿宋_GB2312" w:eastAsia="仿宋_GB2312" w:cs="DengXian-Regular" w:hAnsi="Times New Roman"/>
          <w:sz w:val="32"/>
          <w:szCs w:val="32"/>
        </w:rPr>
        <w:t>1.6</w:t>
      </w:r>
      <w:r>
        <w:rPr>
          <w:rFonts w:ascii="仿宋_GB2312" w:eastAsia="仿宋_GB2312" w:cs="DengXian-Regular" w:hAnsi="Times New Roman" w:hint="eastAsia"/>
          <w:sz w:val="32"/>
          <w:szCs w:val="32"/>
        </w:rPr>
        <w:t>万元，降低</w:t>
      </w:r>
      <w:r>
        <w:rPr>
          <w:rFonts w:ascii="仿宋_GB2312" w:eastAsia="仿宋_GB2312" w:cs="DengXian-Regular" w:hAnsi="Times New Roman"/>
          <w:sz w:val="32"/>
          <w:szCs w:val="32"/>
        </w:rPr>
        <w:t>44.45</w:t>
      </w:r>
      <w:r>
        <w:rPr>
          <w:rFonts w:ascii="仿宋_GB2312" w:eastAsia="仿宋_GB2312" w:cs="DengXian-Regular" w:hAnsi="Times New Roman" w:hint="eastAsia"/>
          <w:sz w:val="32"/>
          <w:szCs w:val="32"/>
        </w:rPr>
        <w:t>%，主要是</w:t>
      </w:r>
      <w:r>
        <w:rPr>
          <w:rFonts w:ascii="仿宋_GB2312" w:eastAsia="仿宋_GB2312" w:cs="DengXian-Regular" w:hAnsi="Times New Roman"/>
          <w:sz w:val="32"/>
          <w:szCs w:val="32"/>
        </w:rPr>
        <w:t>厉行节俭</w:t>
      </w:r>
      <w:r>
        <w:rPr>
          <w:rFonts w:ascii="仿宋_GB2312" w:eastAsia="仿宋_GB2312" w:cs="DengXian-Regular" w:hAnsi="Times New Roman" w:hint="eastAsia"/>
          <w:sz w:val="32"/>
          <w:szCs w:val="32"/>
        </w:rPr>
        <w:t>。</w:t>
      </w:r>
    </w:p>
    <w:p>
      <w:pPr>
        <w:adjustRightInd w:val="0"/>
        <w:snapToGrid w:val="0"/>
        <w:spacing w:line="580" w:lineRule="exact"/>
        <w:ind w:firstLineChars="200" w:firstLine="640"/>
        <w:rPr>
          <w:rFonts w:ascii="楷体_GB2312" w:eastAsia="楷体_GB2312" w:cs="DengXian-Bold" w:hAnsi="Times New Roman"/>
          <w:b/>
          <w:bCs/>
          <w:sz w:val="32"/>
          <w:szCs w:val="32"/>
        </w:rPr>
      </w:pPr>
      <w:r>
        <w:rPr>
          <w:rFonts w:ascii="楷体_GB2312" w:eastAsia="楷体_GB2312" w:cs="DengXian-Bold" w:hAnsi="Times New Roman" w:hint="eastAsia"/>
          <w:b/>
          <w:bCs/>
          <w:sz w:val="32"/>
          <w:szCs w:val="32"/>
        </w:rPr>
        <w:t>（二）“三公”经费财政拨款支出决算具体情况说明</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楷体_GB2312" w:eastAsia="楷体_GB2312" w:cs="DengXian-Bold" w:hAnsi="Times New Roman" w:hint="eastAsia"/>
          <w:b/>
          <w:bCs/>
          <w:sz w:val="32"/>
          <w:szCs w:val="32"/>
        </w:rPr>
        <w:t>1.因公出国（境）费支出情况。</w:t>
      </w:r>
      <w:r>
        <w:rPr>
          <w:rFonts w:ascii="仿宋_GB2312" w:eastAsia="仿宋_GB2312" w:cs="DengXian-Regular" w:hAnsi="Times New Roman" w:hint="eastAsia"/>
          <w:sz w:val="32"/>
          <w:szCs w:val="32"/>
        </w:rPr>
        <w:t>本部门2023年度因公出国（境）费支出预算为</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万元，支出决算</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万元。因公出国（境）费支出较预算</w:t>
      </w:r>
      <w:r>
        <w:rPr>
          <w:rFonts w:ascii="仿宋_GB2312" w:eastAsia="仿宋_GB2312" w:cs="DengXian-Regular" w:hAnsi="Times New Roman"/>
          <w:sz w:val="32"/>
          <w:szCs w:val="32"/>
        </w:rPr>
        <w:t>无增减变化</w:t>
      </w:r>
      <w:r>
        <w:rPr>
          <w:rFonts w:ascii="仿宋_GB2312" w:eastAsia="仿宋_GB2312" w:cs="DengXian-Regular" w:hAnsi="Times New Roman" w:hint="eastAsia"/>
          <w:sz w:val="32"/>
          <w:szCs w:val="32"/>
        </w:rPr>
        <w:t>；较上年</w:t>
      </w:r>
      <w:r>
        <w:rPr>
          <w:rFonts w:ascii="仿宋_GB2312" w:eastAsia="仿宋_GB2312" w:cs="DengXian-Regular" w:hAnsi="Times New Roman"/>
          <w:sz w:val="32"/>
          <w:szCs w:val="32"/>
        </w:rPr>
        <w:t>无增减变化</w:t>
      </w:r>
      <w:r>
        <w:rPr>
          <w:rFonts w:ascii="仿宋_GB2312" w:eastAsia="仿宋_GB2312" w:cs="DengXian-Regular" w:hAnsi="Times New Roman" w:hint="eastAsia"/>
          <w:sz w:val="32"/>
          <w:szCs w:val="32"/>
        </w:rPr>
        <w:t>。其中因公出国（境）团组</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个、共</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人、参加其他单位组织的因公出国（境）团组</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个、共</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人</w:t>
      </w:r>
      <w:r>
        <w:rPr>
          <w:rFonts w:ascii="仿宋_GB2312" w:eastAsia="仿宋_GB2312" w:cs="DengXian-Regular" w:hAnsi="Times New Roman" w:hint="eastAsia"/>
          <w:b/>
          <w:bCs/>
          <w:sz w:val="32"/>
          <w:szCs w:val="32"/>
        </w:rPr>
        <w:t>/</w:t>
      </w:r>
      <w:r>
        <w:rPr>
          <w:rFonts w:ascii="仿宋_GB2312" w:eastAsia="仿宋_GB2312" w:cs="DengXian-Regular" w:hAnsi="Times New Roman" w:hint="eastAsia"/>
          <w:sz w:val="32"/>
          <w:szCs w:val="32"/>
        </w:rPr>
        <w:t>无本部门组织的出国（境）团组。</w:t>
      </w:r>
    </w:p>
    <w:p>
      <w:pPr>
        <w:adjustRightInd w:val="0"/>
        <w:snapToGrid w:val="0"/>
        <w:spacing w:line="580" w:lineRule="exact"/>
        <w:ind w:firstLineChars="200" w:firstLine="640"/>
        <w:rPr>
          <w:rFonts w:ascii="仿宋_GB2312" w:eastAsia="仿宋_GB2312" w:cs="DengXian-Bold" w:hAnsi="Times New Roman"/>
          <w:b/>
          <w:bCs/>
          <w:sz w:val="32"/>
          <w:szCs w:val="32"/>
        </w:rPr>
      </w:pPr>
      <w:r>
        <w:rPr>
          <w:rFonts w:ascii="楷体_GB2312" w:eastAsia="楷体_GB2312" w:cs="DengXian-Bold" w:hAnsi="Times New Roman" w:hint="eastAsia"/>
          <w:b/>
          <w:bCs/>
          <w:sz w:val="32"/>
          <w:szCs w:val="32"/>
        </w:rPr>
        <w:t>2.公务用车购置及运行维护费支出情况。</w:t>
      </w:r>
      <w:r>
        <w:rPr>
          <w:rFonts w:ascii="仿宋_GB2312" w:eastAsia="仿宋_GB2312" w:cs="DengXian-Regular" w:hAnsi="Times New Roman" w:hint="eastAsia"/>
          <w:sz w:val="32"/>
          <w:szCs w:val="32"/>
        </w:rPr>
        <w:t>本部门2023年度公务用车购置及运行维护费预算为</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万元，支出决算</w:t>
      </w:r>
      <w:r>
        <w:rPr>
          <w:rFonts w:ascii="仿宋_GB2312" w:eastAsia="仿宋_GB2312" w:cs="DengXian-Regular" w:hAnsi="Times New Roman"/>
          <w:sz w:val="32"/>
          <w:szCs w:val="32"/>
        </w:rPr>
        <w:t>2</w:t>
      </w:r>
      <w:r>
        <w:rPr>
          <w:rFonts w:ascii="仿宋_GB2312" w:eastAsia="仿宋_GB2312" w:cs="DengXian-Regular" w:hAnsi="Times New Roman" w:hint="eastAsia"/>
          <w:sz w:val="32"/>
          <w:szCs w:val="32"/>
        </w:rPr>
        <w:t>万元。较预算增加</w:t>
      </w:r>
      <w:r>
        <w:rPr>
          <w:rFonts w:ascii="仿宋_GB2312" w:eastAsia="仿宋_GB2312" w:cs="DengXian-Regular" w:hAnsi="Times New Roman"/>
          <w:sz w:val="32"/>
          <w:szCs w:val="32"/>
        </w:rPr>
        <w:t>2</w:t>
      </w:r>
      <w:r>
        <w:rPr>
          <w:rFonts w:ascii="仿宋_GB2312" w:eastAsia="仿宋_GB2312" w:cs="DengXian-Regular" w:hAnsi="Times New Roman" w:hint="eastAsia"/>
          <w:sz w:val="32"/>
          <w:szCs w:val="32"/>
        </w:rPr>
        <w:t>万元，主要是</w:t>
      </w:r>
      <w:r>
        <w:rPr>
          <w:rFonts w:ascii="仿宋_GB2312" w:eastAsia="仿宋_GB2312" w:cs="DengXian-Regular" w:hAnsi="Times New Roman"/>
          <w:sz w:val="32"/>
          <w:szCs w:val="32"/>
        </w:rPr>
        <w:t>无年初预算安排</w:t>
      </w:r>
      <w:r>
        <w:rPr>
          <w:rFonts w:ascii="仿宋_GB2312" w:eastAsia="仿宋_GB2312" w:cs="DengXian-Regular" w:hAnsi="Times New Roman" w:hint="eastAsia"/>
          <w:sz w:val="32"/>
          <w:szCs w:val="32"/>
        </w:rPr>
        <w:t>；较上年减少</w:t>
      </w:r>
      <w:r>
        <w:rPr>
          <w:rFonts w:ascii="仿宋_GB2312" w:eastAsia="仿宋_GB2312" w:cs="DengXian-Regular" w:hAnsi="Times New Roman"/>
          <w:sz w:val="32"/>
          <w:szCs w:val="32"/>
        </w:rPr>
        <w:t>1.6</w:t>
      </w:r>
      <w:r>
        <w:rPr>
          <w:rFonts w:ascii="仿宋_GB2312" w:eastAsia="仿宋_GB2312" w:cs="DengXian-Regular" w:hAnsi="Times New Roman" w:hint="eastAsia"/>
          <w:sz w:val="32"/>
          <w:szCs w:val="32"/>
        </w:rPr>
        <w:t>元，降低</w:t>
      </w:r>
      <w:r>
        <w:rPr>
          <w:rFonts w:ascii="仿宋_GB2312" w:eastAsia="仿宋_GB2312" w:cs="DengXian-Regular" w:hAnsi="Times New Roman"/>
          <w:sz w:val="32"/>
          <w:szCs w:val="32"/>
        </w:rPr>
        <w:t>44.45</w:t>
      </w:r>
      <w:r>
        <w:rPr>
          <w:rFonts w:ascii="仿宋_GB2312" w:eastAsia="仿宋_GB2312" w:cs="DengXian-Regular" w:hAnsi="Times New Roman" w:hint="eastAsia"/>
          <w:sz w:val="32"/>
          <w:szCs w:val="32"/>
        </w:rPr>
        <w:t>%,主要是</w:t>
      </w:r>
      <w:r>
        <w:rPr>
          <w:rFonts w:ascii="仿宋_GB2312" w:eastAsia="仿宋_GB2312" w:cs="DengXian-Regular" w:hAnsi="Times New Roman"/>
          <w:sz w:val="32"/>
          <w:szCs w:val="32"/>
        </w:rPr>
        <w:t>厉行节俭</w:t>
      </w:r>
      <w:r>
        <w:rPr>
          <w:rFonts w:ascii="仿宋_GB2312" w:eastAsia="仿宋_GB2312" w:cs="DengXian-Regular" w:hAnsi="Times New Roman" w:hint="eastAsia"/>
          <w:sz w:val="32"/>
          <w:szCs w:val="32"/>
        </w:rPr>
        <w:t>。</w:t>
      </w:r>
      <w:r>
        <w:rPr>
          <w:rFonts w:ascii="仿宋_GB2312" w:eastAsia="仿宋_GB2312" w:cs="DengXian-Bold" w:hAnsi="Times New Roman" w:hint="eastAsia"/>
          <w:sz w:val="32"/>
          <w:szCs w:val="32"/>
        </w:rPr>
        <w:t>其中：</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b/>
          <w:sz w:val="32"/>
          <w:szCs w:val="32"/>
        </w:rPr>
        <w:t>公务用车购置费支出</w:t>
      </w:r>
      <w:r>
        <w:rPr>
          <w:rFonts w:ascii="楷体_GB2312" w:eastAsia="楷体_GB2312" w:cs="DengXian-Bold" w:hAnsi="Times New Roman"/>
          <w:b/>
          <w:bCs/>
          <w:sz w:val="32"/>
          <w:szCs w:val="32"/>
        </w:rPr>
        <w:t>0</w:t>
      </w:r>
      <w:r>
        <w:rPr>
          <w:rFonts w:ascii="楷体_GB2312" w:eastAsia="楷体_GB2312" w:cs="DengXian-Bold" w:hAnsi="Times New Roman" w:hint="eastAsia"/>
          <w:b/>
          <w:bCs/>
          <w:sz w:val="32"/>
          <w:szCs w:val="32"/>
        </w:rPr>
        <w:t>万元</w:t>
      </w:r>
      <w:r>
        <w:rPr>
          <w:rFonts w:ascii="仿宋_GB2312" w:eastAsia="仿宋_GB2312" w:cs="DengXian-Regular" w:hAnsi="Times New Roman" w:hint="eastAsia"/>
          <w:b/>
          <w:sz w:val="32"/>
          <w:szCs w:val="32"/>
        </w:rPr>
        <w:t>：</w:t>
      </w:r>
      <w:r>
        <w:rPr>
          <w:rFonts w:ascii="仿宋_GB2312" w:eastAsia="仿宋_GB2312" w:cs="DengXian-Regular" w:hAnsi="Times New Roman" w:hint="eastAsia"/>
          <w:sz w:val="32"/>
          <w:szCs w:val="32"/>
        </w:rPr>
        <w:t>本部门2023年度公务用车购置量</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辆，发生“公务用车购置”经费支出</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万元。公务用车购置费支出较预算</w:t>
      </w:r>
      <w:r>
        <w:rPr>
          <w:rFonts w:ascii="仿宋_GB2312" w:eastAsia="仿宋_GB2312" w:cs="DengXian-Regular" w:hAnsi="Times New Roman"/>
          <w:sz w:val="32"/>
          <w:szCs w:val="32"/>
        </w:rPr>
        <w:t>无增减变化</w:t>
      </w:r>
      <w:r>
        <w:rPr>
          <w:rFonts w:ascii="仿宋_GB2312" w:eastAsia="仿宋_GB2312" w:cs="DengXian-Regular" w:hAnsi="Times New Roman" w:hint="eastAsia"/>
          <w:sz w:val="32"/>
          <w:szCs w:val="32"/>
        </w:rPr>
        <w:t>；较上年</w:t>
      </w:r>
      <w:r>
        <w:rPr>
          <w:rFonts w:ascii="仿宋_GB2312" w:eastAsia="仿宋_GB2312" w:cs="DengXian-Regular" w:hAnsi="Times New Roman"/>
          <w:sz w:val="32"/>
          <w:szCs w:val="32"/>
        </w:rPr>
        <w:t>无增减变化</w:t>
      </w:r>
      <w:r>
        <w:rPr>
          <w:rFonts w:ascii="仿宋_GB2312" w:eastAsia="仿宋_GB2312" w:cs="DengXian-Regular" w:hAnsi="Times New Roman" w:hint="eastAsia"/>
          <w:sz w:val="32"/>
          <w:szCs w:val="32"/>
        </w:rPr>
        <w:t>。</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b/>
          <w:sz w:val="32"/>
          <w:szCs w:val="32"/>
        </w:rPr>
        <w:t>公务用车运行维护费支出</w:t>
      </w:r>
      <w:r>
        <w:rPr>
          <w:rFonts w:ascii="仿宋_GB2312" w:eastAsia="仿宋_GB2312" w:cs="DengXian-Regular" w:hAnsi="Times New Roman"/>
          <w:b/>
          <w:sz w:val="32"/>
          <w:szCs w:val="32"/>
        </w:rPr>
        <w:t>2</w:t>
      </w:r>
      <w:r>
        <w:rPr>
          <w:rFonts w:ascii="楷体_GB2312" w:eastAsia="楷体_GB2312" w:cs="DengXian-Bold" w:hAnsi="Times New Roman" w:hint="eastAsia"/>
          <w:b/>
          <w:bCs/>
          <w:sz w:val="32"/>
          <w:szCs w:val="32"/>
        </w:rPr>
        <w:t>万元</w:t>
      </w:r>
      <w:r>
        <w:rPr>
          <w:rFonts w:ascii="仿宋_GB2312" w:eastAsia="仿宋_GB2312" w:cs="DengXian-Regular" w:hAnsi="Times New Roman" w:hint="eastAsia"/>
          <w:b/>
          <w:sz w:val="32"/>
          <w:szCs w:val="32"/>
        </w:rPr>
        <w:t>：</w:t>
      </w:r>
      <w:r>
        <w:rPr>
          <w:rFonts w:ascii="仿宋_GB2312" w:eastAsia="仿宋_GB2312" w:cs="DengXian-Regular" w:hAnsi="Times New Roman" w:hint="eastAsia"/>
          <w:sz w:val="32"/>
          <w:szCs w:val="32"/>
        </w:rPr>
        <w:t>本部门2023年度单位财政开支公务用车保有量</w:t>
      </w:r>
      <w:r>
        <w:rPr>
          <w:rFonts w:ascii="仿宋_GB2312" w:eastAsia="仿宋_GB2312" w:cs="DengXian-Regular" w:hAnsi="Times New Roman"/>
          <w:sz w:val="32"/>
          <w:szCs w:val="32"/>
        </w:rPr>
        <w:t>1</w:t>
      </w:r>
      <w:r>
        <w:rPr>
          <w:rFonts w:ascii="仿宋_GB2312" w:eastAsia="仿宋_GB2312" w:cs="DengXian-Regular" w:hAnsi="Times New Roman" w:hint="eastAsia"/>
          <w:sz w:val="32"/>
          <w:szCs w:val="32"/>
        </w:rPr>
        <w:t>辆。公车运行维护费支出较预算增加</w:t>
      </w:r>
      <w:r>
        <w:rPr>
          <w:rFonts w:ascii="仿宋_GB2312" w:eastAsia="仿宋_GB2312" w:cs="DengXian-Regular" w:hAnsi="Times New Roman"/>
          <w:sz w:val="32"/>
          <w:szCs w:val="32"/>
        </w:rPr>
        <w:t>2</w:t>
      </w:r>
      <w:r>
        <w:rPr>
          <w:rFonts w:ascii="仿宋_GB2312" w:eastAsia="仿宋_GB2312" w:cs="DengXian-Regular" w:hAnsi="Times New Roman" w:hint="eastAsia"/>
          <w:sz w:val="32"/>
          <w:szCs w:val="32"/>
        </w:rPr>
        <w:t>万元，主要是</w:t>
      </w:r>
      <w:r>
        <w:rPr>
          <w:rFonts w:ascii="仿宋_GB2312" w:eastAsia="仿宋_GB2312" w:cs="DengXian-Regular" w:hAnsi="Times New Roman"/>
          <w:sz w:val="32"/>
          <w:szCs w:val="32"/>
        </w:rPr>
        <w:t>无年初预算安排</w:t>
      </w:r>
      <w:r>
        <w:rPr>
          <w:rFonts w:ascii="仿宋_GB2312" w:eastAsia="仿宋_GB2312" w:cs="DengXian-Regular" w:hAnsi="Times New Roman" w:hint="eastAsia"/>
          <w:sz w:val="32"/>
          <w:szCs w:val="32"/>
        </w:rPr>
        <w:t>；较上年减少</w:t>
      </w:r>
      <w:r>
        <w:rPr>
          <w:rFonts w:ascii="仿宋_GB2312" w:eastAsia="仿宋_GB2312" w:cs="DengXian-Regular" w:hAnsi="Times New Roman"/>
          <w:sz w:val="32"/>
          <w:szCs w:val="32"/>
        </w:rPr>
        <w:t>1.6</w:t>
      </w:r>
      <w:r>
        <w:rPr>
          <w:rFonts w:ascii="仿宋_GB2312" w:eastAsia="仿宋_GB2312" w:cs="DengXian-Regular" w:hAnsi="Times New Roman" w:hint="eastAsia"/>
          <w:sz w:val="32"/>
          <w:szCs w:val="32"/>
        </w:rPr>
        <w:t>万元，降低</w:t>
      </w:r>
      <w:r>
        <w:rPr>
          <w:rFonts w:ascii="仿宋_GB2312" w:eastAsia="仿宋_GB2312" w:cs="DengXian-Regular" w:hAnsi="Times New Roman"/>
          <w:sz w:val="32"/>
          <w:szCs w:val="32"/>
        </w:rPr>
        <w:t>44.45</w:t>
      </w:r>
      <w:r>
        <w:rPr>
          <w:rFonts w:ascii="仿宋_GB2312" w:eastAsia="仿宋_GB2312" w:cs="DengXian-Regular" w:hAnsi="Times New Roman" w:hint="eastAsia"/>
          <w:sz w:val="32"/>
          <w:szCs w:val="32"/>
        </w:rPr>
        <w:t>%，主要是</w:t>
      </w:r>
      <w:r>
        <w:rPr>
          <w:rFonts w:ascii="仿宋_GB2312" w:eastAsia="仿宋_GB2312" w:cs="DengXian-Regular" w:hAnsi="Times New Roman"/>
          <w:sz w:val="32"/>
          <w:szCs w:val="32"/>
        </w:rPr>
        <w:t>厉行节俭</w:t>
      </w:r>
      <w:r>
        <w:rPr>
          <w:rFonts w:ascii="仿宋_GB2312" w:eastAsia="仿宋_GB2312" w:cs="DengXian-Regular" w:hAnsi="Times New Roman" w:hint="eastAsia"/>
          <w:sz w:val="32"/>
          <w:szCs w:val="32"/>
        </w:rPr>
        <w:t>。</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楷体_GB2312" w:eastAsia="楷体_GB2312" w:cs="DengXian-Bold" w:hAnsi="Times New Roman" w:hint="eastAsia"/>
          <w:b/>
          <w:bCs/>
          <w:sz w:val="32"/>
          <w:szCs w:val="32"/>
        </w:rPr>
        <w:t>3.公务接待费支出情况。</w:t>
      </w:r>
      <w:r>
        <w:rPr>
          <w:rFonts w:ascii="仿宋_GB2312" w:eastAsia="仿宋_GB2312" w:cs="DengXian-Regular" w:hAnsi="Times New Roman" w:hint="eastAsia"/>
          <w:sz w:val="32"/>
          <w:szCs w:val="32"/>
        </w:rPr>
        <w:t>本部门2023年度公务接待费支出预算为</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万元，支出决算</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万元。公务接待费支出较预算</w:t>
      </w:r>
      <w:r>
        <w:rPr>
          <w:rFonts w:ascii="仿宋_GB2312" w:eastAsia="仿宋_GB2312" w:cs="DengXian-Regular" w:hAnsi="Times New Roman"/>
          <w:sz w:val="32"/>
          <w:szCs w:val="32"/>
        </w:rPr>
        <w:t>无增减变化</w:t>
      </w:r>
      <w:r>
        <w:rPr>
          <w:rFonts w:ascii="仿宋_GB2312" w:eastAsia="仿宋_GB2312" w:cs="DengXian-Regular" w:hAnsi="Times New Roman" w:hint="eastAsia"/>
          <w:sz w:val="32"/>
          <w:szCs w:val="32"/>
        </w:rPr>
        <w:t>；较上年度</w:t>
      </w:r>
      <w:r>
        <w:rPr>
          <w:rFonts w:ascii="仿宋_GB2312" w:eastAsia="仿宋_GB2312" w:cs="DengXian-Regular" w:hAnsi="Times New Roman"/>
          <w:sz w:val="32"/>
          <w:szCs w:val="32"/>
        </w:rPr>
        <w:t>无增减变化</w:t>
      </w:r>
      <w:r>
        <w:rPr>
          <w:rFonts w:ascii="仿宋_GB2312" w:eastAsia="仿宋_GB2312" w:cs="DengXian-Regular" w:hAnsi="Times New Roman" w:hint="eastAsia"/>
          <w:sz w:val="32"/>
          <w:szCs w:val="32"/>
        </w:rPr>
        <w:t>。本年度共发生公务接待</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批次、</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人次。</w:t>
      </w:r>
    </w:p>
    <w:p>
      <w:pPr>
        <w:adjustRightInd w:val="0"/>
        <w:snapToGrid w:val="0"/>
        <w:spacing w:line="580" w:lineRule="exact"/>
        <w:ind w:leftChars="200" w:left="420" w:firstLineChars="100" w:firstLine="320"/>
        <w:rPr>
          <w:rFonts w:ascii="仿宋_GB2312" w:eastAsia="仿宋_GB2312" w:cs="仿宋_GB2312" w:hAnsi="仿宋_GB2312"/>
          <w:sz w:val="32"/>
          <w:szCs w:val="32"/>
        </w:rPr>
      </w:pPr>
      <w:r>
        <w:rPr>
          <w:rFonts w:ascii="黑体" w:eastAsia="黑体" w:cs="Times New Roman" w:hAnsi="Calibri" w:hint="eastAsia"/>
          <w:sz w:val="32"/>
          <w:szCs w:val="32"/>
        </w:rPr>
        <w:t>六、机关运行经费支出说明</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本部门2023年度机关运行经费支出</w:t>
      </w:r>
      <w:r>
        <w:rPr>
          <w:rFonts w:ascii="仿宋_GB2312" w:eastAsia="仿宋_GB2312" w:cs="DengXian-Regular" w:hAnsi="Times New Roman"/>
          <w:sz w:val="32"/>
          <w:szCs w:val="32"/>
        </w:rPr>
        <w:t>82.18</w:t>
      </w:r>
      <w:r>
        <w:rPr>
          <w:rFonts w:ascii="仿宋_GB2312" w:eastAsia="仿宋_GB2312" w:cs="DengXian-Regular" w:hAnsi="Times New Roman" w:hint="eastAsia"/>
          <w:sz w:val="32"/>
          <w:szCs w:val="32"/>
        </w:rPr>
        <w:t>万元，较2022年度减少</w:t>
      </w:r>
      <w:r>
        <w:rPr>
          <w:rFonts w:ascii="仿宋_GB2312" w:eastAsia="仿宋_GB2312" w:cs="DengXian-Regular" w:hAnsi="Times New Roman"/>
          <w:sz w:val="32"/>
          <w:szCs w:val="32"/>
        </w:rPr>
        <w:t>18.2</w:t>
      </w:r>
      <w:r>
        <w:rPr>
          <w:rFonts w:ascii="仿宋_GB2312" w:eastAsia="仿宋_GB2312" w:cs="DengXian-Regular" w:hAnsi="Times New Roman" w:hint="eastAsia"/>
          <w:sz w:val="32"/>
          <w:szCs w:val="32"/>
        </w:rPr>
        <w:t>万元，降低</w:t>
      </w:r>
      <w:r>
        <w:rPr>
          <w:rFonts w:ascii="仿宋_GB2312" w:eastAsia="仿宋_GB2312" w:cs="DengXian-Regular" w:hAnsi="Times New Roman"/>
          <w:sz w:val="32"/>
          <w:szCs w:val="32"/>
        </w:rPr>
        <w:t>18.13</w:t>
      </w:r>
      <w:r>
        <w:rPr>
          <w:rFonts w:ascii="仿宋_GB2312" w:eastAsia="仿宋_GB2312" w:cs="DengXian-Regular" w:hAnsi="Times New Roman" w:hint="eastAsia"/>
          <w:sz w:val="32"/>
          <w:szCs w:val="32"/>
        </w:rPr>
        <w:t>%。主要原因是</w:t>
      </w:r>
      <w:r>
        <w:rPr>
          <w:rFonts w:ascii="仿宋_GB2312" w:eastAsia="仿宋_GB2312" w:cs="DengXian-Regular" w:hAnsi="Times New Roman"/>
          <w:sz w:val="32"/>
          <w:szCs w:val="32"/>
        </w:rPr>
        <w:t>厉行节俭</w:t>
      </w:r>
      <w:r>
        <w:rPr>
          <w:rFonts w:ascii="仿宋_GB2312" w:eastAsia="仿宋_GB2312" w:cs="DengXian-Regular" w:hAnsi="Times New Roman" w:hint="eastAsia"/>
          <w:sz w:val="32"/>
          <w:szCs w:val="32"/>
        </w:rPr>
        <w:t>。</w:t>
      </w:r>
    </w:p>
    <w:p>
      <w:pPr>
        <w:adjustRightInd w:val="0"/>
        <w:snapToGrid w:val="0"/>
        <w:spacing w:line="580" w:lineRule="exact"/>
        <w:ind w:firstLineChars="200" w:firstLine="640"/>
        <w:rPr>
          <w:rFonts w:ascii="仿宋_GB2312" w:eastAsia="仿宋_GB2312" w:cs="DengXian-Regular" w:hAnsi="Times New Roman"/>
          <w:sz w:val="32"/>
          <w:szCs w:val="32"/>
          <w:highlight w:val="yellow"/>
        </w:rPr>
      </w:pPr>
      <w:r>
        <w:rPr>
          <w:rFonts w:ascii="黑体" w:eastAsia="黑体" w:cs="Times New Roman" w:hAnsi="Calibri" w:hint="eastAsia"/>
          <w:sz w:val="32"/>
          <w:szCs w:val="32"/>
        </w:rPr>
        <w:t>七、政府采购支出说明</w:t>
      </w:r>
    </w:p>
    <w:p>
      <w:pPr>
        <w:snapToGrid w:val="0"/>
        <w:spacing w:line="580" w:lineRule="exact"/>
        <w:ind w:firstLineChars="200" w:firstLine="640"/>
        <w:jc w:val="left"/>
        <w:rPr>
          <w:rFonts w:ascii="仿宋_GB2312" w:eastAsia="仿宋_GB2312" w:cs="DengXian-Regular" w:hAnsi="Times New Roman"/>
          <w:sz w:val="32"/>
          <w:szCs w:val="32"/>
        </w:rPr>
      </w:pPr>
      <w:r>
        <w:rPr>
          <w:rFonts w:ascii="仿宋_GB2312" w:eastAsia="仿宋_GB2312" w:cs="DengXian-Regular" w:hAnsi="Times New Roman" w:hint="eastAsia"/>
          <w:sz w:val="32"/>
          <w:szCs w:val="32"/>
        </w:rPr>
        <w:t>本部门2023年度政府采购支出总额</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万元，从采购类型来看，</w:t>
      </w:r>
      <w:r>
        <w:rPr>
          <w:rFonts w:ascii="仿宋_GB2312" w:eastAsia="仿宋_GB2312" w:cs="仿宋_GB2312" w:hAnsi="仿宋_GB2312"/>
          <w:color w:val="000000"/>
          <w:kern w:val="0"/>
          <w:sz w:val="32"/>
          <w:szCs w:val="32"/>
        </w:rPr>
        <w:t>政府采购货物支出0万元、政府采购工程支出0万元、政府采购服务支出 0万元。授予中小企业合同金0万元，占政府采购支出总额的0</w:t>
      </w:r>
      <w:r>
        <w:rPr>
          <w:rFonts w:ascii="仿宋_GB2312" w:eastAsia="仿宋_GB2312" w:cs="仿宋_GB2312" w:hAnsi="仿宋_GB2312" w:hint="eastAsia"/>
          <w:color w:val="000000"/>
          <w:kern w:val="0"/>
          <w:sz w:val="32"/>
          <w:szCs w:val="32"/>
        </w:rPr>
        <w:t>%，</w:t>
      </w:r>
      <w:r>
        <w:rPr>
          <w:rFonts w:ascii="仿宋_GB2312" w:eastAsia="仿宋_GB2312" w:cs="仿宋_GB2312" w:hAnsi="仿宋_GB2312"/>
          <w:color w:val="000000"/>
          <w:kern w:val="0"/>
          <w:sz w:val="32"/>
          <w:szCs w:val="32"/>
        </w:rPr>
        <w:t>其中授予小微企业合同金额0万元，占政府采购支出总额的 0%。</w:t>
      </w:r>
    </w:p>
    <w:p>
      <w:pPr>
        <w:snapToGrid w:val="0"/>
        <w:spacing w:line="580" w:lineRule="exact"/>
        <w:ind w:firstLineChars="200" w:firstLine="640"/>
        <w:jc w:val="left"/>
        <w:rPr>
          <w:rFonts w:ascii="仿宋_GB2312" w:eastAsia="仿宋_GB2312" w:cs="DengXian-Regular" w:hAnsi="Times New Roman"/>
          <w:sz w:val="32"/>
          <w:szCs w:val="32"/>
          <w:highlight w:val="yellow"/>
        </w:rPr>
      </w:pPr>
      <w:r>
        <w:rPr>
          <w:rFonts w:ascii="黑体" w:eastAsia="黑体" w:cs="Times New Roman" w:hAnsi="Calibri" w:hint="eastAsia"/>
          <w:sz w:val="32"/>
          <w:szCs w:val="32"/>
        </w:rPr>
        <w:t>八、国有资产占用情况说明</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截至2023年12月31日，本部门共有车辆</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辆，比上年</w:t>
      </w:r>
      <w:r>
        <w:rPr>
          <w:rFonts w:ascii="仿宋_GB2312" w:eastAsia="仿宋_GB2312" w:cs="DengXian-Regular" w:hAnsi="Times New Roman"/>
          <w:sz w:val="32"/>
          <w:szCs w:val="32"/>
        </w:rPr>
        <w:t>无增减变化</w:t>
      </w:r>
      <w:r>
        <w:rPr>
          <w:rFonts w:ascii="仿宋_GB2312" w:eastAsia="仿宋_GB2312" w:cs="DengXian-Regular" w:hAnsi="Times New Roman" w:hint="eastAsia"/>
          <w:sz w:val="32"/>
          <w:szCs w:val="32"/>
        </w:rPr>
        <w:t>。其中，副部（省）级及以上领导用车</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辆，主要领导干部用车</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辆，机要通信用车</w:t>
      </w:r>
      <w:r>
        <w:rPr>
          <w:rFonts w:ascii="仿宋_GB2312" w:eastAsia="仿宋_GB2312" w:cs="DengXian-Regular" w:hAnsi="Times New Roman"/>
          <w:sz w:val="32"/>
          <w:szCs w:val="32"/>
        </w:rPr>
        <w:t>1</w:t>
      </w:r>
      <w:r>
        <w:rPr>
          <w:rFonts w:ascii="仿宋_GB2312" w:eastAsia="仿宋_GB2312" w:cs="DengXian-Regular" w:hAnsi="Times New Roman" w:hint="eastAsia"/>
          <w:sz w:val="32"/>
          <w:szCs w:val="32"/>
        </w:rPr>
        <w:t>辆，应急保障用车</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辆，执法执勤用车</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辆，特种专业技术用车</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辆，离退休干部用车</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辆，其他用车</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辆，其他用车主要是</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；单位价值100万元以上设备（不含车辆）</w:t>
      </w:r>
      <w:r>
        <w:rPr>
          <w:rFonts w:ascii="仿宋_GB2312" w:eastAsia="仿宋_GB2312" w:cs="DengXian-Regular" w:hAnsi="Times New Roman"/>
          <w:sz w:val="32"/>
          <w:szCs w:val="32"/>
        </w:rPr>
        <w:t>0</w:t>
      </w:r>
      <w:r>
        <w:rPr>
          <w:rFonts w:ascii="仿宋_GB2312" w:eastAsia="仿宋_GB2312" w:cs="DengXian-Regular" w:hAnsi="Times New Roman" w:hint="eastAsia"/>
          <w:sz w:val="32"/>
          <w:szCs w:val="32"/>
        </w:rPr>
        <w:t>台（套）。</w:t>
      </w:r>
    </w:p>
    <w:p>
      <w:pPr>
        <w:adjustRightInd w:val="0"/>
        <w:snapToGrid w:val="0"/>
        <w:spacing w:line="580" w:lineRule="exact"/>
        <w:ind w:firstLineChars="200" w:firstLine="640"/>
        <w:rPr>
          <w:rFonts w:ascii="黑体" w:eastAsia="黑体" w:cs="Times New Roman" w:hAnsi="Times New Roman"/>
          <w:sz w:val="32"/>
          <w:szCs w:val="40"/>
        </w:rPr>
      </w:pPr>
      <w:r>
        <w:rPr>
          <w:rFonts w:ascii="黑体" w:eastAsia="黑体" w:cs="Times New Roman" w:hAnsi="Times New Roman" w:hint="eastAsia"/>
          <w:sz w:val="32"/>
          <w:szCs w:val="40"/>
        </w:rPr>
        <w:t>九、预算绩效情况说明</w:t>
      </w:r>
    </w:p>
    <w:p>
      <w:pPr>
        <w:adjustRightInd w:val="0"/>
        <w:snapToGrid w:val="0"/>
        <w:spacing w:line="580" w:lineRule="exact"/>
        <w:ind w:firstLineChars="200" w:firstLine="640"/>
        <w:rPr>
          <w:rFonts w:ascii="仿宋_GB2312" w:eastAsia="仿宋_GB2312" w:cs="仿宋_GB2312" w:hAnsi="仿宋_GB2312"/>
          <w:b/>
          <w:bCs/>
          <w:sz w:val="32"/>
          <w:szCs w:val="32"/>
        </w:rPr>
      </w:pPr>
      <w:r>
        <w:rPr>
          <w:rFonts w:ascii="仿宋_GB2312" w:eastAsia="仿宋_GB2312" w:cs="仿宋_GB2312" w:hAnsi="仿宋_GB2312" w:hint="eastAsia"/>
          <w:b/>
          <w:bCs/>
          <w:sz w:val="32"/>
          <w:szCs w:val="32"/>
        </w:rPr>
        <w:t>（一）预算绩效管理工作开展情况</w:t>
      </w:r>
    </w:p>
    <w:p>
      <w:pPr>
        <w:adjustRightInd w:val="0"/>
        <w:snapToGrid w:val="0"/>
        <w:spacing w:line="580" w:lineRule="exact"/>
        <w:ind w:firstLineChars="200" w:firstLine="640"/>
        <w:rPr>
          <w:rFonts w:ascii="仿宋_GB2312" w:eastAsia="仿宋_GB2312" w:cs="仿宋_GB2312" w:hAnsi="仿宋_GB2312"/>
          <w:sz w:val="32"/>
          <w:szCs w:val="32"/>
        </w:rPr>
      </w:pPr>
      <w:r>
        <w:rPr>
          <w:rFonts w:ascii="仿宋_GB2312" w:eastAsia="仿宋_GB2312" w:cs="仿宋_GB2312" w:hAnsi="仿宋_GB2312" w:hint="eastAsia"/>
          <w:sz w:val="32"/>
          <w:szCs w:val="32"/>
        </w:rPr>
        <w:t>根据预算绩效管理要求，本部门组织对 2023 年度一般公共预算项目支出全面开展绩效自评，其中，一级项目三个，无二级项目，共涉及资金 126.85 万元，占一般公共预算项目支出总额的 42.50%。政府性基金预算项目支出，共涉及资金</w:t>
      </w:r>
      <w:r>
        <w:rPr>
          <w:rFonts w:ascii="仿宋_GB2312" w:eastAsia="仿宋_GB2312" w:cs="仿宋_GB2312" w:hAnsi="仿宋_GB2312"/>
          <w:sz w:val="32"/>
          <w:szCs w:val="32"/>
        </w:rPr>
        <w:t>530.36</w:t>
      </w:r>
      <w:r>
        <w:rPr>
          <w:rFonts w:ascii="仿宋_GB2312" w:eastAsia="仿宋_GB2312" w:cs="仿宋_GB2312" w:hAnsi="仿宋_GB2312" w:hint="eastAsia"/>
          <w:sz w:val="32"/>
          <w:szCs w:val="32"/>
        </w:rPr>
        <w:t>万元。无国有资本经营预算项目，共涉及资金 0 万元。</w:t>
      </w:r>
    </w:p>
    <w:p>
      <w:pPr>
        <w:adjustRightInd w:val="0"/>
        <w:snapToGrid w:val="0"/>
        <w:spacing w:line="580" w:lineRule="exact"/>
        <w:ind w:firstLineChars="200" w:firstLine="640"/>
        <w:rPr>
          <w:rFonts w:ascii="仿宋_GB2312" w:eastAsia="仿宋_GB2312" w:cs="仿宋_GB2312" w:hAnsi="仿宋_GB2312" w:hint="eastAsia"/>
          <w:sz w:val="32"/>
          <w:szCs w:val="32"/>
        </w:rPr>
      </w:pPr>
      <w:r>
        <w:rPr>
          <w:rFonts w:ascii="仿宋_GB2312" w:eastAsia="仿宋_GB2312" w:cs="仿宋_GB2312" w:hAnsi="仿宋_GB2312" w:hint="eastAsia"/>
          <w:sz w:val="32"/>
          <w:szCs w:val="32"/>
        </w:rPr>
        <w:t>组织对“社区工作经费”“综合事务专项经费”“</w:t>
      </w:r>
      <w:r>
        <w:rPr>
          <w:rFonts w:ascii="仿宋_GB2312" w:eastAsia="仿宋_GB2312" w:cs="仿宋_GB2312" w:hAnsi="仿宋_GB2312"/>
          <w:sz w:val="32"/>
          <w:szCs w:val="32"/>
        </w:rPr>
        <w:t>党建惠民</w:t>
      </w:r>
      <w:r>
        <w:rPr>
          <w:rFonts w:ascii="仿宋_GB2312" w:eastAsia="仿宋_GB2312" w:cs="仿宋_GB2312" w:hAnsi="仿宋_GB2312" w:hint="eastAsia"/>
          <w:sz w:val="32"/>
          <w:szCs w:val="32"/>
        </w:rPr>
        <w:t xml:space="preserve">”三个项目开展了部门评价，涉及一般公共预算支出 </w:t>
      </w:r>
      <w:r>
        <w:rPr>
          <w:rFonts w:ascii="仿宋_GB2312" w:eastAsia="仿宋_GB2312" w:cs="仿宋_GB2312" w:hAnsi="仿宋_GB2312"/>
          <w:sz w:val="32"/>
          <w:szCs w:val="32"/>
        </w:rPr>
        <w:t>386.6</w:t>
      </w:r>
      <w:r>
        <w:rPr>
          <w:rFonts w:ascii="仿宋_GB2312" w:eastAsia="仿宋_GB2312" w:cs="仿宋_GB2312" w:hAnsi="仿宋_GB2312" w:hint="eastAsia"/>
          <w:sz w:val="32"/>
          <w:szCs w:val="32"/>
        </w:rPr>
        <w:t>万元，政府性基金预算支出 0 万元，国有资本经营预算支出 0 万元。从评价情况来看，社区工作经费自评得分 98 分，绩效评价等级为优秀；综合事务专项经费自评得分 97 分，绩效评价等级为优秀；</w:t>
      </w:r>
      <w:r>
        <w:rPr>
          <w:rFonts w:ascii="仿宋_GB2312" w:eastAsia="仿宋_GB2312" w:cs="仿宋_GB2312" w:hAnsi="仿宋_GB2312"/>
          <w:sz w:val="32"/>
          <w:szCs w:val="32"/>
        </w:rPr>
        <w:t>党建惠民</w:t>
      </w:r>
      <w:r>
        <w:rPr>
          <w:rFonts w:ascii="仿宋_GB2312" w:eastAsia="仿宋_GB2312" w:cs="仿宋_GB2312" w:hAnsi="仿宋_GB2312" w:hint="eastAsia"/>
          <w:sz w:val="32"/>
          <w:szCs w:val="32"/>
        </w:rPr>
        <w:t>自评得分 98 分，绩效评价等级为优秀。</w:t>
      </w:r>
    </w:p>
    <w:p>
      <w:pPr>
        <w:adjustRightInd w:val="0"/>
        <w:snapToGrid w:val="0"/>
        <w:spacing w:line="580" w:lineRule="exact"/>
        <w:ind w:leftChars="200" w:left="420" w:firstLineChars="100" w:firstLine="320"/>
        <w:rPr>
          <w:rFonts w:ascii="仿宋_GB2312" w:eastAsia="仿宋_GB2312" w:cs="仿宋_GB2312" w:hAnsi="仿宋_GB2312"/>
          <w:b/>
          <w:bCs/>
          <w:sz w:val="32"/>
          <w:szCs w:val="32"/>
        </w:rPr>
      </w:pPr>
      <w:r>
        <w:rPr>
          <w:rFonts w:ascii="仿宋_GB2312" w:eastAsia="仿宋_GB2312" w:cs="仿宋_GB2312" w:hAnsi="仿宋_GB2312" w:hint="eastAsia"/>
          <w:b/>
          <w:bCs/>
          <w:sz w:val="32"/>
          <w:szCs w:val="32"/>
        </w:rPr>
        <w:t>（二）部门决算中项目绩效自评结果（如有）</w:t>
      </w:r>
    </w:p>
    <w:p>
      <w:pPr>
        <w:adjustRightInd w:val="0"/>
        <w:snapToGrid w:val="0"/>
        <w:spacing w:line="580" w:lineRule="exact"/>
        <w:ind w:firstLineChars="200" w:firstLine="640"/>
        <w:rPr>
          <w:rFonts w:ascii="仿宋_GB2312" w:eastAsia="仿宋_GB2312" w:cs="仿宋_GB2312" w:hAnsi="仿宋_GB2312" w:hint="eastAsia"/>
          <w:sz w:val="32"/>
          <w:szCs w:val="32"/>
        </w:rPr>
      </w:pPr>
      <w:r>
        <w:rPr>
          <w:rFonts w:ascii="仿宋_GB2312" w:eastAsia="仿宋_GB2312" w:cs="仿宋_GB2312" w:hAnsi="仿宋_GB2312" w:hint="eastAsia"/>
          <w:sz w:val="32"/>
          <w:szCs w:val="32"/>
        </w:rPr>
        <w:t>本部门在今年部门决算公开中反映社区工作经费、综合事务专项经费和</w:t>
      </w:r>
      <w:r>
        <w:rPr>
          <w:rFonts w:ascii="仿宋_GB2312" w:eastAsia="仿宋_GB2312" w:cs="仿宋_GB2312" w:hAnsi="仿宋_GB2312"/>
          <w:sz w:val="32"/>
          <w:szCs w:val="32"/>
        </w:rPr>
        <w:t>党建惠民</w:t>
      </w:r>
      <w:r>
        <w:rPr>
          <w:rFonts w:ascii="仿宋_GB2312" w:eastAsia="仿宋_GB2312" w:cs="仿宋_GB2312" w:hAnsi="仿宋_GB2312" w:hint="eastAsia"/>
          <w:sz w:val="32"/>
          <w:szCs w:val="32"/>
        </w:rPr>
        <w:t>三个项目绩效自评结果。</w:t>
      </w:r>
    </w:p>
    <w:p>
      <w:pPr>
        <w:adjustRightInd w:val="0"/>
        <w:snapToGrid w:val="0"/>
        <w:spacing w:line="580" w:lineRule="exact"/>
        <w:ind w:firstLineChars="200" w:firstLine="640"/>
        <w:rPr>
          <w:rFonts w:ascii="仿宋_GB2312" w:eastAsia="仿宋_GB2312" w:cs="仿宋_GB2312" w:hAnsi="仿宋_GB2312"/>
          <w:sz w:val="32"/>
          <w:szCs w:val="32"/>
        </w:rPr>
      </w:pPr>
      <w:r>
        <w:rPr>
          <w:rFonts w:ascii="仿宋_GB2312" w:eastAsia="仿宋_GB2312" w:cs="仿宋_GB2312" w:hAnsi="仿宋_GB2312" w:hint="eastAsia"/>
          <w:sz w:val="32"/>
          <w:szCs w:val="32"/>
        </w:rPr>
        <w:t xml:space="preserve">社区工作经费项目绩效自评综述。根据年初设定的绩效目标，社区工作经费项目绩效自评得分为 98 分（绩效自评表附后）。全年预算数为 </w:t>
      </w:r>
      <w:r>
        <w:rPr>
          <w:rFonts w:ascii="仿宋_GB2312" w:eastAsia="仿宋_GB2312" w:cs="仿宋_GB2312" w:hAnsi="仿宋_GB2312"/>
          <w:sz w:val="32"/>
          <w:szCs w:val="32"/>
        </w:rPr>
        <w:t>140.00</w:t>
      </w:r>
      <w:r>
        <w:rPr>
          <w:rFonts w:ascii="仿宋_GB2312" w:eastAsia="仿宋_GB2312" w:cs="仿宋_GB2312" w:hAnsi="仿宋_GB2312" w:hint="eastAsia"/>
          <w:sz w:val="32"/>
          <w:szCs w:val="32"/>
        </w:rPr>
        <w:t xml:space="preserve"> 万元，执行数为 </w:t>
      </w:r>
      <w:r>
        <w:rPr>
          <w:rFonts w:ascii="仿宋_GB2312" w:eastAsia="仿宋_GB2312" w:cs="仿宋_GB2312" w:hAnsi="仿宋_GB2312"/>
          <w:sz w:val="32"/>
          <w:szCs w:val="32"/>
        </w:rPr>
        <w:t>139.99</w:t>
      </w:r>
      <w:r>
        <w:rPr>
          <w:rFonts w:ascii="仿宋_GB2312" w:eastAsia="仿宋_GB2312" w:cs="仿宋_GB2312" w:hAnsi="仿宋_GB2312" w:hint="eastAsia"/>
          <w:sz w:val="32"/>
          <w:szCs w:val="32"/>
        </w:rPr>
        <w:t>万元，完成预算的</w:t>
      </w:r>
      <w:r>
        <w:rPr>
          <w:rFonts w:ascii="仿宋_GB2312" w:eastAsia="仿宋_GB2312" w:cs="仿宋_GB2312" w:hAnsi="仿宋_GB2312"/>
          <w:sz w:val="32"/>
          <w:szCs w:val="32"/>
        </w:rPr>
        <w:t>99.99</w:t>
      </w:r>
      <w:r>
        <w:rPr>
          <w:rFonts w:ascii="仿宋_GB2312" w:eastAsia="仿宋_GB2312" w:cs="仿宋_GB2312" w:hAnsi="仿宋_GB2312" w:hint="eastAsia"/>
          <w:sz w:val="32"/>
          <w:szCs w:val="32"/>
        </w:rPr>
        <w:t>%。项目绩效目标完成情况：如通过项目实施，完成了年初设定的各项绩效目标，完成节日期间慰问特殊人群;完成社区工作正常运转和辖区党员培训教育等。发现的主要问题及原因是：活动开展形式有待创新；部分项目执行进度慢。下一步改进措施：加强各社区之间心得交流，学习、创新活动开展形式，提升居民体验感，增强居民幸福感。加大执行力度。促使资金有效得到利用，推进工作开展，及时调整项目及预算。按照项目实际及执行情况，及时作出项目及预算的调整，提高资金利用效率。</w:t>
      </w:r>
      <w:bookmarkStart w:id="0" w:name="_GoBack"/>
      <w:bookmarkEnd w:id="0"/>
    </w:p>
    <w:p>
      <w:pPr>
        <w:adjustRightInd w:val="0"/>
        <w:snapToGrid w:val="0"/>
        <w:spacing w:line="580" w:lineRule="exact"/>
        <w:ind w:firstLineChars="200" w:firstLine="640"/>
        <w:rPr>
          <w:rFonts w:ascii="仿宋_GB2312" w:eastAsia="仿宋_GB2312" w:cs="仿宋_GB2312" w:hAnsi="仿宋_GB2312"/>
          <w:sz w:val="32"/>
          <w:szCs w:val="32"/>
        </w:rPr>
      </w:pPr>
      <w:r>
        <w:rPr>
          <w:rFonts w:ascii="仿宋_GB2312" w:eastAsia="仿宋_GB2312" w:cs="仿宋_GB2312" w:hAnsi="仿宋_GB2312"/>
          <w:sz w:val="32"/>
          <w:szCs w:val="32"/>
        </w:rPr>
        <w:t>综合事务专项经费项目自评综述：根据年初设定的绩效目标，综合事务专项经费项目绩效自评得分为 97 分（绩效自评表附后）。全年预算数为 18.00 万元，执行数为 18 .00 万元，完成预算的 100%。项目绩效目标完成情况：通过项目实施，较好完成了年初设定的各项绩效目标，较好完成精神文明组织创建活动;较好完成群众文化活动组织；预算执行率和处置突发事件等。发现的主要问题及原因是：绩效管理意识不清，在设计绩效目标时，指标过于宽泛，界定过于模糊，指标目标值不够细化分解或不量化，不易于后期评价。下一步改进措施：一是加强学习指导，提高业务水平；二是设定明确、合理的绩效目标，并将目标量化、细化分解。</w:t>
      </w:r>
    </w:p>
    <w:p>
      <w:pPr>
        <w:adjustRightInd w:val="0"/>
        <w:snapToGrid w:val="0"/>
        <w:spacing w:beforeAutospacing="0" w:afterAutospacing="0" w:line="580" w:lineRule="exact"/>
        <w:ind w:left="0" w:firstLineChars="200" w:firstLine="640"/>
        <w:rPr>
          <w:rFonts w:ascii="仿宋_GB2312" w:eastAsia="仿宋_GB2312" w:cs="仿宋_GB2312" w:hAnsi="仿宋_GB2312" w:hint="eastAsia"/>
          <w:sz w:val="32"/>
          <w:szCs w:val="32"/>
        </w:rPr>
      </w:pPr>
      <w:r>
        <w:rPr>
          <w:rFonts w:ascii="仿宋_GB2312" w:eastAsia="仿宋_GB2312" w:cs="仿宋_GB2312" w:hAnsi="仿宋_GB2312"/>
          <w:sz w:val="32"/>
          <w:szCs w:val="32"/>
        </w:rPr>
        <w:t>党建惠民项目自评综述：根据年初设定的绩效目标，党建惠民项目绩效自评得分为 98 分（绩效自评表附后）。全年预算数为 264.1万元，执行数为 228.61万元，完成预算的86.56%。项目绩效目标完成情况：保障了疫情隔离酒店费用按时支付。未发现问题。</w:t>
      </w:r>
    </w:p>
    <w:p>
      <w:pPr>
        <w:adjustRightInd w:val="0"/>
        <w:snapToGrid w:val="0"/>
        <w:spacing w:line="580" w:lineRule="exact"/>
        <w:ind w:firstLineChars="200" w:firstLine="640"/>
        <w:rPr>
          <w:rFonts w:ascii="楷体_GB2312" w:eastAsia="楷体_GB2312" w:cs="DengXian-Bold" w:hAnsi="Times New Roman"/>
          <w:b/>
          <w:bCs/>
          <w:sz w:val="32"/>
          <w:szCs w:val="32"/>
        </w:rPr>
      </w:pPr>
      <w:r>
        <w:rPr>
          <w:rFonts w:ascii="黑体" w:eastAsia="黑体" w:cs="Times New Roman" w:hAnsi="Calibri" w:hint="eastAsia"/>
          <w:sz w:val="32"/>
          <w:szCs w:val="32"/>
        </w:rPr>
        <w:t>十、其他需要说明的情况</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1. 本部门2023年度</w:t>
      </w:r>
      <w:r>
        <w:rPr>
          <w:rFonts w:ascii="仿宋_GB2312" w:eastAsia="仿宋_GB2312" w:cs="DengXian-Regular" w:hAnsi="Times New Roman"/>
          <w:sz w:val="32"/>
          <w:szCs w:val="32"/>
        </w:rPr>
        <w:t>国有资金经营预算</w:t>
      </w:r>
      <w:r>
        <w:rPr>
          <w:rFonts w:ascii="仿宋_GB2312" w:eastAsia="仿宋_GB2312" w:cs="DengXian-Regular" w:hAnsi="Times New Roman" w:hint="eastAsia"/>
          <w:sz w:val="32"/>
          <w:szCs w:val="32"/>
        </w:rPr>
        <w:t>无收支及结转结余情况，故</w:t>
      </w:r>
      <w:r>
        <w:rPr>
          <w:rFonts w:ascii="仿宋_GB2312" w:eastAsia="仿宋_GB2312" w:cs="DengXian-Regular" w:hAnsi="Times New Roman"/>
          <w:sz w:val="32"/>
          <w:szCs w:val="32"/>
        </w:rPr>
        <w:t>国有资本经营预算财政拨款支出决算表等表以空表列示。</w:t>
      </w:r>
    </w:p>
    <w:p>
      <w:pPr>
        <w:adjustRightInd w:val="0"/>
        <w:snapToGrid w:val="0"/>
        <w:spacing w:line="580" w:lineRule="exact"/>
        <w:ind w:firstLineChars="200" w:firstLine="640"/>
        <w:rPr>
          <w:rFonts w:ascii="仿宋_GB2312" w:eastAsia="仿宋_GB2312" w:cs="DengXian-Regular" w:hAnsi="Times New Roman"/>
          <w:sz w:val="32"/>
          <w:szCs w:val="32"/>
        </w:rPr>
      </w:pPr>
      <w:r>
        <w:rPr>
          <w:rFonts w:ascii="仿宋_GB2312" w:eastAsia="仿宋_GB2312" w:cs="DengXian-Regular" w:hAnsi="Times New Roman" w:hint="eastAsia"/>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Chars="200" w:firstLine="880"/>
        <w:jc w:val="left"/>
        <w:rPr>
          <w:rFonts w:ascii="宋体" w:eastAsia="宋体" w:cs="MS-UIGothic,Bold" w:hAnsi="宋体"/>
          <w:b/>
          <w:bCs/>
          <w:kern w:val="0"/>
          <w:sz w:val="44"/>
          <w:szCs w:val="44"/>
        </w:rPr>
      </w:pPr>
    </w:p>
    <w:p>
      <w:pPr>
        <w:rPr>
          <w:rFonts w:ascii="仿宋_GB2312" w:eastAsia="仿宋_GB2312" w:cs="ArialUnicodeMS" w:hAnsi="宋体"/>
          <w:sz w:val="32"/>
          <w:szCs w:val="32"/>
        </w:rPr>
        <w:sectPr>
          <w:pgSz w:w="11906" w:h="16838"/>
          <w:pgMar w:top="1474" w:right="1474" w:bottom="1474" w:left="1474" w:header="851" w:footer="992" w:gutter="0"/>
          <w:pgBorders>
            <w:top w:val="none" w:sz="0" w:space="0" w:color="auto"/>
            <w:left w:val="none" w:sz="0" w:space="0" w:color="auto"/>
            <w:bottom w:val="none" w:sz="0" w:space="0" w:color="auto"/>
            <w:right w:val="none" w:sz="0" w:space="0" w:color="auto"/>
          </w:pgBorders>
          <w:cols w:num="1" w:space="425"/>
          <w:docGrid w:type="lines" w:linePitch="312" w:charSpace="0"/>
        </w:sectPr>
      </w:pPr>
    </w:p>
    <w:p>
      <w:pPr>
        <w:widowControl/>
        <w:jc w:val="center"/>
        <w:rPr>
          <w:sz w:val="44"/>
          <w:szCs w:val="44"/>
        </w:rPr>
      </w:pPr>
      <w:r>
        <w:rPr>
          <w:rFonts w:ascii="黑体" w:eastAsia="黑体" w:cs="黑体" w:hAnsi="黑体" w:hint="eastAsia"/>
          <w:color w:val="000000"/>
          <w:sz w:val="44"/>
          <w:szCs w:val="44"/>
        </w:rPr>
        <w:t>第四部分 名词解释</w:t>
      </w:r>
    </w:p>
    <w:p>
      <w:pPr>
        <w:rPr>
          <w:rFonts w:ascii="仿宋_GB2312" w:eastAsia="仿宋_GB2312" w:cs="ArialUnicodeMS" w:hAnsi="宋体"/>
          <w:sz w:val="32"/>
          <w:szCs w:val="32"/>
        </w:rPr>
      </w:pPr>
    </w:p>
    <w:p>
      <w:pPr>
        <w:numPr>
          <w:ilvl w:val="0"/>
          <w:numId w:val="3"/>
        </w:num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
          <w:bCs/>
          <w:color w:val="000000"/>
          <w:kern w:val="0"/>
          <w:sz w:val="32"/>
          <w:szCs w:val="32"/>
        </w:rPr>
        <w:t>财政拨款收入：</w:t>
      </w:r>
      <w:r>
        <w:rPr>
          <w:rFonts w:ascii="仿宋_GB2312" w:eastAsia="仿宋_GB2312" w:cs="Times New Roman" w:hAnsi="宋体" w:hint="eastAsia"/>
          <w:bCs/>
          <w:color w:val="000000"/>
          <w:kern w:val="0"/>
          <w:sz w:val="32"/>
          <w:szCs w:val="32"/>
        </w:rPr>
        <w:t>指单位从同级财政部门取得的财政预</w:t>
      </w:r>
    </w:p>
    <w:p>
      <w:p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Cs/>
          <w:color w:val="000000"/>
          <w:kern w:val="0"/>
          <w:sz w:val="32"/>
          <w:szCs w:val="32"/>
        </w:rPr>
        <w:t>算资金。</w:t>
      </w:r>
    </w:p>
    <w:p>
      <w:pPr>
        <w:numPr>
          <w:ilvl w:val="0"/>
          <w:numId w:val="3"/>
        </w:num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
          <w:bCs/>
          <w:color w:val="000000"/>
          <w:kern w:val="0"/>
          <w:sz w:val="32"/>
          <w:szCs w:val="32"/>
        </w:rPr>
        <w:t>事业收入：</w:t>
      </w:r>
      <w:r>
        <w:rPr>
          <w:rFonts w:ascii="仿宋_GB2312" w:eastAsia="仿宋_GB2312" w:cs="Times New Roman" w:hAnsi="宋体" w:hint="eastAsia"/>
          <w:bCs/>
          <w:color w:val="000000"/>
          <w:kern w:val="0"/>
          <w:sz w:val="32"/>
          <w:szCs w:val="32"/>
        </w:rPr>
        <w:t>指事业单位开展专业业务活动及辅助活动</w:t>
      </w:r>
    </w:p>
    <w:p>
      <w:p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Cs/>
          <w:color w:val="000000"/>
          <w:kern w:val="0"/>
          <w:sz w:val="32"/>
          <w:szCs w:val="32"/>
        </w:rPr>
        <w:t>取得的收入。</w:t>
      </w:r>
    </w:p>
    <w:p>
      <w:pPr>
        <w:numPr>
          <w:ilvl w:val="0"/>
          <w:numId w:val="3"/>
        </w:num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
          <w:bCs/>
          <w:color w:val="000000"/>
          <w:kern w:val="0"/>
          <w:sz w:val="32"/>
          <w:szCs w:val="32"/>
        </w:rPr>
        <w:t>经营收入：</w:t>
      </w:r>
      <w:r>
        <w:rPr>
          <w:rFonts w:ascii="仿宋_GB2312" w:eastAsia="仿宋_GB2312" w:cs="Times New Roman" w:hAnsi="宋体" w:hint="eastAsia"/>
          <w:bCs/>
          <w:color w:val="000000"/>
          <w:kern w:val="0"/>
          <w:sz w:val="32"/>
          <w:szCs w:val="32"/>
        </w:rPr>
        <w:t>指事业单位在专业业务活动及其辅助活动</w:t>
      </w:r>
    </w:p>
    <w:p>
      <w:p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Cs/>
          <w:color w:val="000000"/>
          <w:kern w:val="0"/>
          <w:sz w:val="32"/>
          <w:szCs w:val="32"/>
        </w:rPr>
        <w:t>之外开展非独立核算经营活动取得的收入。</w:t>
      </w:r>
    </w:p>
    <w:p>
      <w:pPr>
        <w:numPr>
          <w:ilvl w:val="0"/>
          <w:numId w:val="3"/>
        </w:num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
          <w:bCs/>
          <w:color w:val="000000"/>
          <w:kern w:val="0"/>
          <w:sz w:val="32"/>
          <w:szCs w:val="32"/>
        </w:rPr>
        <w:t>其他收入：</w:t>
      </w:r>
      <w:r>
        <w:rPr>
          <w:rFonts w:ascii="仿宋_GB2312" w:eastAsia="仿宋_GB2312" w:cs="Times New Roman" w:hAnsi="宋体" w:hint="eastAsia"/>
          <w:bCs/>
          <w:color w:val="000000"/>
          <w:kern w:val="0"/>
          <w:sz w:val="32"/>
          <w:szCs w:val="32"/>
        </w:rPr>
        <w:t>指单位取得的除上述收入以外的各项收</w:t>
      </w:r>
    </w:p>
    <w:p>
      <w:pPr>
        <w:spacing w:line="580" w:lineRule="exact"/>
        <w:rPr>
          <w:rFonts w:ascii="仿宋_GB2312" w:eastAsia="仿宋_GB2312" w:cs="Times New Roman" w:hAnsi="宋体"/>
          <w:b/>
          <w:bCs/>
          <w:color w:val="000000"/>
          <w:kern w:val="0"/>
          <w:sz w:val="32"/>
          <w:szCs w:val="32"/>
        </w:rPr>
      </w:pPr>
      <w:r>
        <w:rPr>
          <w:rFonts w:ascii="仿宋_GB2312" w:eastAsia="仿宋_GB2312" w:cs="Times New Roman" w:hAnsi="宋体" w:hint="eastAsia"/>
          <w:bCs/>
          <w:color w:val="000000"/>
          <w:kern w:val="0"/>
          <w:sz w:val="32"/>
          <w:szCs w:val="32"/>
        </w:rPr>
        <w:t>入。主要是事业单位固定资产出租收入、存款利息收入等。</w:t>
      </w:r>
    </w:p>
    <w:p>
      <w:p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
          <w:bCs/>
          <w:color w:val="000000"/>
          <w:kern w:val="0"/>
          <w:sz w:val="32"/>
          <w:szCs w:val="32"/>
        </w:rPr>
        <w:t xml:space="preserve">   五、使用非财政拨款结余（含专用结余）：</w:t>
      </w:r>
      <w:r>
        <w:rPr>
          <w:rFonts w:ascii="仿宋_GB2312" w:eastAsia="仿宋_GB2312" w:cs="Times New Roman" w:hAnsi="宋体" w:hint="eastAsia"/>
          <w:bCs/>
          <w:color w:val="000000"/>
          <w:kern w:val="0"/>
          <w:sz w:val="32"/>
          <w:szCs w:val="32"/>
        </w:rPr>
        <w:t>指事业单位按照预算管理要求使用非财政拨款结余弥补收支差额的金额，以及使用专用结余安排支出的金额。</w:t>
      </w:r>
    </w:p>
    <w:p>
      <w:pPr>
        <w:numPr>
          <w:ilvl w:val="0"/>
          <w:numId w:val="4"/>
        </w:num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
          <w:bCs/>
          <w:color w:val="000000"/>
          <w:kern w:val="0"/>
          <w:sz w:val="32"/>
          <w:szCs w:val="32"/>
        </w:rPr>
        <w:t>年初结转和结余：</w:t>
      </w:r>
      <w:r>
        <w:rPr>
          <w:rFonts w:ascii="仿宋_GB2312" w:eastAsia="仿宋_GB2312" w:cs="Times New Roman" w:hAnsi="宋体" w:hint="eastAsia"/>
          <w:bCs/>
          <w:color w:val="000000"/>
          <w:kern w:val="0"/>
          <w:sz w:val="32"/>
          <w:szCs w:val="32"/>
        </w:rPr>
        <w:t>指单位以前年度尚未完成、结转到</w:t>
      </w:r>
    </w:p>
    <w:p>
      <w:p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Cs/>
          <w:color w:val="000000"/>
          <w:kern w:val="0"/>
          <w:sz w:val="32"/>
          <w:szCs w:val="32"/>
        </w:rPr>
        <w:t>本年仍按原规定用途继续使用的资金，或项目已完成等产生的结余资金。</w:t>
      </w:r>
    </w:p>
    <w:p>
      <w:pPr>
        <w:numPr>
          <w:ilvl w:val="0"/>
          <w:numId w:val="4"/>
        </w:num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
          <w:bCs/>
          <w:color w:val="000000"/>
          <w:kern w:val="0"/>
          <w:sz w:val="32"/>
          <w:szCs w:val="32"/>
        </w:rPr>
        <w:t>结余分配：</w:t>
      </w:r>
      <w:r>
        <w:rPr>
          <w:rFonts w:ascii="仿宋_GB2312" w:eastAsia="仿宋_GB2312" w:cs="Times New Roman" w:hAnsi="宋体" w:hint="eastAsia"/>
          <w:bCs/>
          <w:color w:val="000000"/>
          <w:kern w:val="0"/>
          <w:sz w:val="32"/>
          <w:szCs w:val="32"/>
        </w:rPr>
        <w:t>指事业单位按照会计制度规定缴纳的所得</w:t>
      </w:r>
    </w:p>
    <w:p>
      <w:p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Cs/>
          <w:color w:val="000000"/>
          <w:kern w:val="0"/>
          <w:sz w:val="32"/>
          <w:szCs w:val="32"/>
        </w:rPr>
        <w:t>税、提取的专用结余以及转入非财政拨款结余的金额等。</w:t>
      </w:r>
    </w:p>
    <w:p>
      <w:pPr>
        <w:numPr>
          <w:ilvl w:val="0"/>
          <w:numId w:val="4"/>
        </w:num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
          <w:bCs/>
          <w:color w:val="000000"/>
          <w:kern w:val="0"/>
          <w:sz w:val="32"/>
          <w:szCs w:val="32"/>
        </w:rPr>
        <w:t>年末结转和结余：</w:t>
      </w:r>
      <w:r>
        <w:rPr>
          <w:rFonts w:ascii="仿宋_GB2312" w:eastAsia="仿宋_GB2312" w:cs="Times New Roman" w:hAnsi="宋体" w:hint="eastAsia"/>
          <w:bCs/>
          <w:color w:val="000000"/>
          <w:kern w:val="0"/>
          <w:sz w:val="32"/>
          <w:szCs w:val="32"/>
        </w:rPr>
        <w:t>指单位按有关规定结转到下年或以</w:t>
      </w:r>
    </w:p>
    <w:p>
      <w:p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Cs/>
          <w:color w:val="000000"/>
          <w:kern w:val="0"/>
          <w:sz w:val="32"/>
          <w:szCs w:val="32"/>
        </w:rPr>
        <w:t>后年度继续使用的资金，或项目已完成等产生的结余资金。</w:t>
      </w:r>
    </w:p>
    <w:p>
      <w:pPr>
        <w:numPr>
          <w:ilvl w:val="0"/>
          <w:numId w:val="4"/>
        </w:num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
          <w:bCs/>
          <w:color w:val="000000"/>
          <w:kern w:val="0"/>
          <w:sz w:val="32"/>
          <w:szCs w:val="32"/>
        </w:rPr>
        <w:t>基本支出：</w:t>
      </w:r>
      <w:r>
        <w:rPr>
          <w:rFonts w:ascii="仿宋_GB2312" w:eastAsia="仿宋_GB2312" w:cs="Times New Roman" w:hAnsi="宋体" w:hint="eastAsia"/>
          <w:bCs/>
          <w:color w:val="000000"/>
          <w:kern w:val="0"/>
          <w:sz w:val="32"/>
          <w:szCs w:val="32"/>
        </w:rPr>
        <w:t>指为保障机构正常运转、完成日常工作任</w:t>
      </w:r>
    </w:p>
    <w:p>
      <w:pPr>
        <w:spacing w:line="580" w:lineRule="exact"/>
        <w:rPr>
          <w:rFonts w:ascii="仿宋_GB2312" w:eastAsia="仿宋_GB2312" w:cs="Times New Roman" w:hAnsi="宋体"/>
          <w:bCs/>
          <w:color w:val="000000"/>
          <w:kern w:val="0"/>
          <w:sz w:val="32"/>
          <w:szCs w:val="32"/>
        </w:rPr>
      </w:pPr>
      <w:r>
        <w:rPr>
          <w:rFonts w:ascii="仿宋_GB2312" w:eastAsia="仿宋_GB2312" w:cs="Times New Roman" w:hAnsi="宋体" w:hint="eastAsia"/>
          <w:bCs/>
          <w:color w:val="000000"/>
          <w:kern w:val="0"/>
          <w:sz w:val="32"/>
          <w:szCs w:val="32"/>
        </w:rPr>
        <w:t>务而发生的人员支出和公用支出。</w:t>
      </w:r>
    </w:p>
    <w:p>
      <w:pPr>
        <w:widowControl/>
        <w:spacing w:line="560" w:lineRule="exact"/>
        <w:ind w:firstLineChars="200" w:firstLine="640"/>
        <w:rPr>
          <w:rFonts w:ascii="仿宋_GB2312" w:eastAsia="仿宋_GB2312" w:cs="Times New Roman" w:hAnsi="宋体"/>
          <w:color w:val="000000"/>
          <w:kern w:val="0"/>
          <w:sz w:val="32"/>
          <w:szCs w:val="32"/>
        </w:rPr>
      </w:pPr>
      <w:r>
        <w:rPr>
          <w:rFonts w:ascii="仿宋_GB2312" w:eastAsia="仿宋_GB2312" w:cs="Times New Roman" w:hAnsi="宋体" w:hint="eastAsia"/>
          <w:b/>
          <w:bCs/>
          <w:color w:val="000000"/>
          <w:kern w:val="0"/>
          <w:sz w:val="32"/>
          <w:szCs w:val="32"/>
        </w:rPr>
        <w:t>十、项目支出：</w:t>
      </w:r>
      <w:r>
        <w:rPr>
          <w:rFonts w:ascii="仿宋_GB2312" w:eastAsia="仿宋_GB2312" w:cs="Times New Roman" w:hAnsi="宋体" w:hint="eastAsia"/>
          <w:color w:val="000000"/>
          <w:kern w:val="0"/>
          <w:sz w:val="32"/>
          <w:szCs w:val="32"/>
        </w:rPr>
        <w:t>指在基本支出之外为完成特定行政任务和事业发展目标所发生的支出。</w:t>
      </w:r>
    </w:p>
    <w:p>
      <w:pPr>
        <w:widowControl/>
        <w:spacing w:line="560" w:lineRule="exact"/>
        <w:ind w:firstLineChars="200" w:firstLine="640"/>
        <w:rPr>
          <w:rFonts w:ascii="仿宋_GB2312" w:eastAsia="仿宋_GB2312" w:cs="Times New Roman" w:hAnsi="宋体"/>
          <w:color w:val="000000"/>
          <w:kern w:val="0"/>
          <w:sz w:val="32"/>
          <w:szCs w:val="32"/>
        </w:rPr>
      </w:pPr>
      <w:r>
        <w:rPr>
          <w:rFonts w:ascii="仿宋_GB2312" w:eastAsia="仿宋_GB2312" w:cs="Times New Roman" w:hAnsi="宋体" w:hint="eastAsia"/>
          <w:b/>
          <w:bCs/>
          <w:color w:val="000000"/>
          <w:kern w:val="0"/>
          <w:sz w:val="32"/>
          <w:szCs w:val="32"/>
        </w:rPr>
        <w:t>十一、经营支出 ：</w:t>
      </w:r>
      <w:r>
        <w:rPr>
          <w:rFonts w:ascii="仿宋_GB2312" w:eastAsia="仿宋_GB2312" w:cs="Times New Roman" w:hAnsi="宋体" w:hint="eastAsia"/>
          <w:color w:val="000000"/>
          <w:kern w:val="0"/>
          <w:sz w:val="32"/>
          <w:szCs w:val="32"/>
        </w:rPr>
        <w:t>指事业单位在专业业务活动及其辅助活动之外开展非独立核算经营活动发生的支出。</w:t>
      </w:r>
    </w:p>
    <w:p>
      <w:pPr>
        <w:widowControl/>
        <w:spacing w:line="560" w:lineRule="exact"/>
        <w:ind w:firstLineChars="200" w:firstLine="640"/>
        <w:rPr>
          <w:rFonts w:ascii="仿宋_GB2312" w:eastAsia="仿宋_GB2312" w:cs="Times New Roman" w:hAnsi="宋体"/>
          <w:color w:val="000000"/>
          <w:kern w:val="0"/>
          <w:sz w:val="32"/>
          <w:szCs w:val="32"/>
        </w:rPr>
      </w:pPr>
      <w:r>
        <w:rPr>
          <w:rFonts w:ascii="仿宋_GB2312" w:eastAsia="仿宋_GB2312" w:cs="Times New Roman" w:hAnsi="宋体" w:hint="eastAsia"/>
          <w:b/>
          <w:bCs/>
          <w:color w:val="000000"/>
          <w:kern w:val="0"/>
          <w:sz w:val="32"/>
          <w:szCs w:val="32"/>
        </w:rPr>
        <w:t>十二、基本建设支出：</w:t>
      </w:r>
      <w:r>
        <w:rPr>
          <w:rFonts w:ascii="仿宋_GB2312" w:eastAsia="仿宋_GB2312" w:cs="Times New Roman" w:hAnsi="宋体"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Chars="200" w:firstLine="640"/>
        <w:rPr>
          <w:rFonts w:ascii="仿宋_GB2312" w:eastAsia="仿宋_GB2312" w:cs="Times New Roman" w:hAnsi="宋体"/>
          <w:b/>
          <w:bCs/>
          <w:color w:val="000000"/>
          <w:kern w:val="0"/>
          <w:sz w:val="32"/>
          <w:szCs w:val="32"/>
        </w:rPr>
      </w:pPr>
      <w:r>
        <w:rPr>
          <w:rFonts w:ascii="仿宋_GB2312" w:eastAsia="仿宋_GB2312" w:cs="Times New Roman" w:hAnsi="宋体" w:hint="eastAsia"/>
          <w:b/>
          <w:bCs/>
          <w:color w:val="000000"/>
          <w:kern w:val="0"/>
          <w:sz w:val="32"/>
          <w:szCs w:val="32"/>
        </w:rPr>
        <w:t>十三、其他资本性支出：</w:t>
      </w:r>
      <w:r>
        <w:rPr>
          <w:rFonts w:ascii="仿宋_GB2312" w:eastAsia="仿宋_GB2312" w:cs="Times New Roman" w:hAnsi="宋体"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Chars="200" w:firstLine="640"/>
        <w:rPr>
          <w:rFonts w:ascii="仿宋_GB2312" w:eastAsia="仿宋_GB2312" w:cs="Times New Roman" w:hAnsi="宋体"/>
          <w:color w:val="000000"/>
          <w:kern w:val="0"/>
          <w:sz w:val="32"/>
          <w:szCs w:val="32"/>
        </w:rPr>
      </w:pPr>
      <w:r>
        <w:rPr>
          <w:rFonts w:ascii="仿宋_GB2312" w:eastAsia="仿宋_GB2312" w:cs="Times New Roman" w:hAnsi="宋体" w:hint="eastAsia"/>
          <w:b/>
          <w:bCs/>
          <w:color w:val="000000"/>
          <w:kern w:val="0"/>
          <w:sz w:val="32"/>
          <w:szCs w:val="32"/>
        </w:rPr>
        <w:t>十四、“三公”经费：</w:t>
      </w:r>
      <w:r>
        <w:rPr>
          <w:rFonts w:ascii="仿宋_GB2312" w:eastAsia="仿宋_GB2312" w:cs="Times New Roman" w:hAnsi="宋体"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Chars="200" w:firstLine="640"/>
        <w:rPr>
          <w:rFonts w:ascii="仿宋_GB2312" w:eastAsia="仿宋_GB2312" w:cs="Times New Roman" w:hAnsi="宋体"/>
          <w:color w:val="000000"/>
          <w:kern w:val="0"/>
          <w:sz w:val="32"/>
          <w:szCs w:val="32"/>
        </w:rPr>
      </w:pPr>
      <w:r>
        <w:rPr>
          <w:rFonts w:ascii="仿宋_GB2312" w:eastAsia="仿宋_GB2312" w:cs="Times New Roman" w:hAnsi="宋体" w:hint="eastAsia"/>
          <w:b/>
          <w:bCs/>
          <w:color w:val="000000"/>
          <w:kern w:val="0"/>
          <w:sz w:val="32"/>
          <w:szCs w:val="32"/>
        </w:rPr>
        <w:t>十五、其他交通费用：</w:t>
      </w:r>
      <w:r>
        <w:rPr>
          <w:rFonts w:ascii="仿宋_GB2312" w:eastAsia="仿宋_GB2312" w:cs="Times New Roman" w:hAnsi="宋体" w:hint="eastAsia"/>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Chars="200" w:firstLine="640"/>
        <w:rPr>
          <w:rFonts w:ascii="仿宋_GB2312" w:eastAsia="仿宋_GB2312" w:cs="Times New Roman" w:hAnsi="宋体"/>
          <w:color w:val="000000"/>
          <w:kern w:val="0"/>
          <w:sz w:val="32"/>
          <w:szCs w:val="32"/>
        </w:rPr>
      </w:pPr>
      <w:r>
        <w:rPr>
          <w:rFonts w:ascii="仿宋_GB2312" w:eastAsia="仿宋_GB2312" w:cs="Times New Roman" w:hAnsi="宋体" w:hint="eastAsia"/>
          <w:b/>
          <w:bCs/>
          <w:color w:val="000000"/>
          <w:kern w:val="0"/>
          <w:sz w:val="32"/>
          <w:szCs w:val="32"/>
        </w:rPr>
        <w:t>十六、公务用车购置：</w:t>
      </w:r>
      <w:r>
        <w:rPr>
          <w:rFonts w:ascii="仿宋_GB2312" w:eastAsia="仿宋_GB2312" w:cs="Times New Roman" w:hAnsi="宋体" w:hint="eastAsia"/>
          <w:color w:val="000000"/>
          <w:kern w:val="0"/>
          <w:sz w:val="32"/>
          <w:szCs w:val="32"/>
        </w:rPr>
        <w:t>填列单位公务用车车辆购置支出（含车辆购置税、牌照费）。</w:t>
      </w:r>
    </w:p>
    <w:p>
      <w:pPr>
        <w:widowControl/>
        <w:spacing w:line="560" w:lineRule="exact"/>
        <w:ind w:firstLineChars="200" w:firstLine="640"/>
        <w:rPr>
          <w:rFonts w:ascii="仿宋_GB2312" w:eastAsia="仿宋_GB2312" w:cs="Times New Roman" w:hAnsi="宋体"/>
          <w:color w:val="000000"/>
          <w:kern w:val="0"/>
          <w:sz w:val="32"/>
          <w:szCs w:val="32"/>
        </w:rPr>
      </w:pPr>
      <w:r>
        <w:rPr>
          <w:rFonts w:ascii="仿宋_GB2312" w:eastAsia="仿宋_GB2312" w:cs="Times New Roman" w:hAnsi="宋体" w:hint="eastAsia"/>
          <w:b/>
          <w:bCs/>
          <w:color w:val="000000"/>
          <w:kern w:val="0"/>
          <w:sz w:val="32"/>
          <w:szCs w:val="32"/>
        </w:rPr>
        <w:t>十七、其他交通工具购置：</w:t>
      </w:r>
      <w:r>
        <w:rPr>
          <w:rFonts w:ascii="仿宋_GB2312" w:eastAsia="仿宋_GB2312" w:cs="Times New Roman" w:hAnsi="宋体" w:hint="eastAsia"/>
          <w:color w:val="000000"/>
          <w:kern w:val="0"/>
          <w:sz w:val="32"/>
          <w:szCs w:val="32"/>
        </w:rPr>
        <w:t>填列单位除公务用车外的其他各类交通工具（如船舶、飞机等）购置支出（含车辆购置税、牌照费）。</w:t>
      </w:r>
    </w:p>
    <w:p>
      <w:pPr>
        <w:widowControl/>
        <w:spacing w:line="560" w:lineRule="exact"/>
        <w:ind w:firstLineChars="200" w:firstLine="640"/>
        <w:rPr>
          <w:rFonts w:ascii="仿宋_GB2312" w:eastAsia="仿宋_GB2312" w:cs="Times New Roman" w:hAnsi="宋体"/>
          <w:color w:val="000000"/>
          <w:kern w:val="0"/>
          <w:sz w:val="32"/>
          <w:szCs w:val="32"/>
        </w:rPr>
      </w:pPr>
      <w:r>
        <w:rPr>
          <w:rFonts w:ascii="仿宋_GB2312" w:eastAsia="仿宋_GB2312" w:cs="Times New Roman" w:hAnsi="宋体" w:hint="eastAsia"/>
          <w:b/>
          <w:bCs/>
          <w:color w:val="000000"/>
          <w:kern w:val="0"/>
          <w:sz w:val="32"/>
          <w:szCs w:val="32"/>
        </w:rPr>
        <w:t>十八、机关运行经费：</w:t>
      </w:r>
      <w:r>
        <w:rPr>
          <w:rFonts w:ascii="仿宋_GB2312" w:eastAsia="仿宋_GB2312" w:cs="Times New Roman" w:hAnsi="宋体"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Chars="200" w:firstLine="640"/>
        <w:jc w:val="left"/>
        <w:rPr>
          <w:rFonts w:ascii="仿宋_GB2312" w:eastAsia="仿宋_GB2312" w:cs="ArialUnicodeMS" w:hAnsi="Cambria"/>
          <w:kern w:val="0"/>
          <w:sz w:val="32"/>
          <w:szCs w:val="32"/>
        </w:rPr>
      </w:pPr>
      <w:r>
        <w:rPr>
          <w:rFonts w:ascii="仿宋_GB2312" w:eastAsia="仿宋_GB2312" w:cs="Times New Roman" w:hAnsi="宋体" w:hint="eastAsia"/>
          <w:b/>
          <w:bCs/>
          <w:color w:val="000000"/>
          <w:kern w:val="0"/>
          <w:sz w:val="32"/>
          <w:szCs w:val="32"/>
        </w:rPr>
        <w:t>十九、经费形式:</w:t>
      </w:r>
      <w:r>
        <w:rPr>
          <w:rFonts w:ascii="仿宋_GB2312" w:eastAsia="仿宋_GB2312" w:cs="Times New Roman" w:hAnsi="宋体" w:hint="eastAsia"/>
          <w:color w:val="000000"/>
          <w:kern w:val="0"/>
          <w:sz w:val="32"/>
          <w:szCs w:val="32"/>
        </w:rPr>
        <w:t>按照经费来源，</w:t>
      </w:r>
      <w:r>
        <w:rPr>
          <w:rFonts w:ascii="仿宋_GB2312" w:eastAsia="仿宋_GB2312" w:cs="ArialUnicodeMS" w:hAnsi="Cambria" w:hint="eastAsia"/>
          <w:kern w:val="0"/>
          <w:sz w:val="32"/>
          <w:szCs w:val="32"/>
        </w:rPr>
        <w:t>可分为财政拨款、财政性资金基本保证、财政性资金定额或定项补助、财政性资金零补助四类</w:t>
      </w:r>
    </w:p>
    <w:p/>
    <w:sectPr>
      <w:pgSz w:w="11906" w:h="16838"/>
      <w:pgMar w:top="1474" w:right="1474" w:bottom="1474" w:left="1474" w:header="851" w:footer="992" w:gutter="0"/>
      <w:pgBorders>
        <w:top w:val="none" w:sz="0" w:space="0" w:color="auto"/>
        <w:left w:val="none" w:sz="0" w:space="0" w:color="auto"/>
        <w:bottom w:val="none" w:sz="0" w:space="0" w:color="auto"/>
        <w:right w:val="none" w:sz="0" w:space="0" w:color="auto"/>
      </w:pgBorders>
      <w:cols w:num="1" w:space="425"/>
      <w:docGrid w:type="lines" w:linePitch="312" w:charSpace="0"/>
    </w:sectPr>
  </w:body>
</w:document>
</file>

<file path=word/fontTable.xml><?xml version="1.0" encoding="utf-8"?>
<w:fonts xmlns:w="http://schemas.openxmlformats.org/wordprocessingml/2006/main" xmlns:r="http://schemas.openxmlformats.org/officeDocument/2006/relationships">
  <w:font w:name="黑体">
    <w:altName w:val="方正黑体_GBK"/>
    <w:panose1 w:val="02010609060101010101"/>
    <w:charset w:val="86"/>
    <w:family w:val="auto"/>
    <w:pitch w:val="variable"/>
    <w:sig w:usb0="800002BF" w:usb1="38CF7CFA" w:usb2="00000016" w:usb3="00000000" w:csb0="00040001" w:csb1="00000000"/>
  </w:font>
  <w:font w:name="楷体_GB2312">
    <w:altName w:val="楷体"/>
    <w:panose1 w:val="00000000000000000000"/>
    <w:charset w:val="86"/>
    <w:family w:val="modern"/>
    <w:pitch w:val="variable"/>
    <w:sig w:usb0="00000000" w:usb1="00000000" w:usb2="00000010" w:usb3="00000000" w:csb0="00040000" w:csb1="00000000"/>
  </w:font>
  <w:font w:name="方正魏碑简体">
    <w:altName w:val="方正黑体简体"/>
    <w:panose1 w:val="02000000000000000000"/>
    <w:charset w:val="86"/>
    <w:family w:val="auto"/>
    <w:pitch w:val="variable"/>
    <w:sig w:usb0="A00002BF" w:usb1="184F6CFA" w:usb2="00000012" w:usb3="00000000" w:csb0="00040001" w:csb1="00000000"/>
  </w:font>
  <w:font w:name="Arial">
    <w:altName w:val="DejaVu Sans"/>
    <w:panose1 w:val="020B0604020202020204"/>
    <w:charset w:val="01"/>
    <w:family w:val="swiss"/>
    <w:pitch w:val="variable"/>
    <w:sig w:usb0="E0002AFF" w:usb1="C0007843" w:usb2="00000009" w:usb3="00000000" w:csb0="400001FF" w:csb1="FFFF0000"/>
  </w:font>
  <w:font w:name="思源黑体 CN Heavy">
    <w:altName w:val="方正黑体_GBK"/>
    <w:panose1 w:val="00000000000000000000"/>
    <w:charset w:val="86"/>
    <w:family w:val="swiss"/>
    <w:pitch w:val="variable"/>
    <w:sig w:usb0="00000000" w:usb1="00000000" w:usb2="00000016" w:usb3="00000000" w:csb0="00060107" w:csb1="00000000"/>
  </w:font>
  <w:font w:name="Times New Roman">
    <w:altName w:val="DejaVu Sans"/>
    <w:panose1 w:val="02020603050405020304"/>
    <w:charset w:val="01"/>
    <w:family w:val="auto"/>
    <w:pitch w:val="variable"/>
    <w:sig w:usb0="E0002AFF" w:usb1="C0007841" w:usb2="00000009" w:usb3="00000000" w:csb0="400001FF" w:csb1="FFFF0000"/>
  </w:font>
  <w:font w:name="仿宋_GB2312">
    <w:altName w:val="仿宋"/>
    <w:panose1 w:val="02010609030101010101"/>
    <w:charset w:val="86"/>
    <w:family w:val="modern"/>
    <w:pitch w:val="variable"/>
    <w:sig w:usb0="00000000" w:usb1="00000000" w:usb2="00000010" w:usb3="00000000" w:csb0="00040000" w:csb1="00000000"/>
  </w:font>
  <w:font w:name="DengXian-Regular">
    <w:altName w:val="楷体_GB2312"/>
    <w:panose1 w:val="00000000000000000000"/>
    <w:charset w:val="86"/>
    <w:family w:val="auto"/>
    <w:pitch w:val="variable"/>
    <w:sig w:usb0="00000000" w:usb1="00000000" w:usb2="00000010" w:usb3="00000000" w:csb0="00040001" w:csb1="00000000"/>
  </w:font>
  <w:font w:name="Calibri">
    <w:altName w:val="DejaVu Sans"/>
    <w:panose1 w:val="020F0502020204030204"/>
    <w:charset w:val="00"/>
    <w:family w:val="swiss"/>
    <w:pitch w:val="variable"/>
    <w:sig w:usb0="E00002FF" w:usb1="4000ACFF" w:usb2="00000001" w:usb3="00000000" w:csb0="2000019F" w:csb1="00000000"/>
  </w:font>
  <w:font w:name="ArialUnicodeMS">
    <w:altName w:val="楷体_GB2312"/>
    <w:panose1 w:val="00000000000000000000"/>
    <w:charset w:val="81"/>
    <w:family w:val="auto"/>
    <w:pitch w:val="variable"/>
    <w:sig w:usb0="00000000" w:usb1="00000000" w:usb2="00000010" w:usb3="00000000" w:csb0="00080001" w:csb1="00000000"/>
  </w:font>
  <w:font w:name="宋体">
    <w:altName w:val="方正仿宋简体"/>
    <w:panose1 w:val="02010600030101010101"/>
    <w:charset w:val="7A"/>
    <w:family w:val="auto"/>
    <w:pitch w:val="variable"/>
    <w:sig w:usb0="00000003" w:usb1="288F0000" w:usb2="00000006" w:usb3="00000000" w:csb0="00040001" w:csb1="00000000"/>
  </w:font>
  <w:font w:name="方正仿宋_GB2312">
    <w:altName w:val="方正仿宋_GBK"/>
    <w:panose1 w:val="00000000000000000000"/>
    <w:charset w:val="86"/>
    <w:family w:val="auto"/>
    <w:pitch w:val="variable"/>
    <w:sig w:usb0="00000000" w:usb1="00000000" w:usb2="00000000" w:usb3="00000000" w:csb0="00000000" w:csb1="00000000"/>
  </w:font>
  <w:font w:name="华文中宋">
    <w:altName w:val="方正仿宋简体"/>
    <w:panose1 w:val="02010600040101010101"/>
    <w:charset w:val="86"/>
    <w:family w:val="auto"/>
    <w:pitch w:val="variable"/>
    <w:sig w:usb0="00000000" w:usb1="00000000" w:usb2="00000010" w:usb3="00000000" w:csb0="0004009F" w:csb1="00000000"/>
  </w:font>
  <w:font w:name="Cambria">
    <w:altName w:val="DejaVu Sans"/>
    <w:panose1 w:val="02040503050406030204"/>
    <w:charset w:val="00"/>
    <w:family w:val="roman"/>
    <w:pitch w:val="variable"/>
    <w:sig w:usb0="E00002FF" w:usb1="400004FF" w:usb2="00000000" w:usb3="00000000" w:csb0="2000019F" w:csb1="00000000"/>
  </w:font>
  <w:font w:name="DengXian-Bold">
    <w:altName w:val="方正黑体_GBK"/>
    <w:panose1 w:val="00000000000000000000"/>
    <w:charset w:val="86"/>
    <w:family w:val="auto"/>
    <w:pitch w:val="variable"/>
    <w:sig w:usb0="00000000" w:usb1="00000000" w:usb2="00000010" w:usb3="00000000" w:csb0="00040001" w:csb1="00000000"/>
  </w:font>
  <w:font w:name="Wingdings">
    <w:panose1 w:val="05000000000000000000"/>
    <w:charset w:val="02"/>
    <w:family w:val="auto"/>
    <w:pitch w:val="variable"/>
    <w:sig w:usb0="00000000" w:usb1="00000000" w:usb2="00000000" w:usb3="00000000" w:csb0="80000000" w:csb1="00000000"/>
  </w:font>
  <w:font w:name="MS-UIGothic,Bold">
    <w:altName w:val="方正黑体_GBK"/>
    <w:panose1 w:val="00000000000000000000"/>
    <w:charset w:val="81"/>
    <w:family w:val="auto"/>
    <w:pitch w:val="variable"/>
    <w:sig w:usb0="00000000" w:usb1="00000000" w:usb2="00000010" w:usb3="00000000" w:csb0="00080000" w:csb1="00000000"/>
  </w:font>
  <w:font w:name="Lucida Sans">
    <w:altName w:val="DejaVu Sans"/>
    <w:panose1 w:val="020B0602030504020204"/>
    <w:charset w:val="00"/>
    <w:family w:val="auto"/>
    <w:pitch w:val="variable"/>
    <w:sig w:usb0="00000003" w:usb1="00000000" w:usb2="00000000" w:usb3="00000000" w:csb0="20000001" w:csb1="00000000"/>
  </w:font>
  <w:font w:name="方正兰亭黑_GBK">
    <w:panose1 w:val="02000000000000000000"/>
    <w:charset w:val="86"/>
    <w:family w:val="script"/>
    <w:pitch w:val="variable"/>
    <w:sig w:usb0="A00002BF" w:usb1="3ACF7CFA" w:usb2="00080016" w:usb3="00000000" w:csb0="00040001" w:csb1="00000000"/>
  </w:font>
</w:fonts>
</file>

<file path=word/header1.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6"/>
      </w:tabs>
    </w:pPr>
  </w:p>
</w:hd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688E1420"/>
    <w:multiLevelType w:val="singleLevel"/>
    <w:tmpl w:val="688E1420"/>
    <w:lvl w:ilvl="0">
      <w:start w:val="2"/>
      <w:numFmt w:val="decimal"/>
      <w:lvlRestart w:val="0"/>
      <w:suff w:val="nothing"/>
      <w:lvlText w:val="%1、"/>
      <w:lvlJc w:val="left"/>
      <w:pPr/>
    </w:lvl>
  </w:abstractNum>
  <w:abstractNum w:abstractNumId="1">
    <w:nsid w:val="45DB9A87"/>
    <w:multiLevelType w:val="singleLevel"/>
    <w:tmpl w:val="45DB9A87"/>
    <w:lvl w:ilvl="0">
      <w:start w:val="3"/>
      <w:numFmt w:val="chineseCounting"/>
      <w:lvlRestart w:val="0"/>
      <w:suff w:val="nothing"/>
      <w:lvlText w:val="（%1）"/>
      <w:lvlJc w:val="left"/>
      <w:pPr/>
      <w:rPr>
        <w:rFonts w:hint="eastAsia"/>
      </w:rPr>
    </w:lvl>
  </w:abstractNum>
  <w:abstractNum w:abstractNumId="2">
    <w:nsid w:val="53D25D65"/>
    <w:multiLevelType w:val="multilevel"/>
    <w:tmpl w:val="53D25D65"/>
    <w:lvl w:ilvl="0">
      <w:start w:val="1"/>
      <w:numFmt w:val="japaneseCounting"/>
      <w:lvlRestart w:val="0"/>
      <w:lvlText w:val="%1、"/>
      <w:lvlJc w:val="left"/>
      <w:pPr>
        <w:tabs>
          <w:tab w:val="num" w:pos="1395"/>
        </w:tabs>
        <w:ind w:left="1395" w:hanging="720"/>
      </w:pPr>
      <w:rPr>
        <w:rFonts w:hint="default"/>
        <w:b/>
        <w:u w:val="none"/>
      </w:rPr>
    </w:lvl>
    <w:lvl w:ilvl="1">
      <w:start w:val="1"/>
      <w:numFmt w:val="lowerLetter"/>
      <w:lvlText w:val="%2)"/>
      <w:lvlJc w:val="left"/>
      <w:pPr>
        <w:tabs>
          <w:tab w:val="num" w:pos="1515"/>
        </w:tabs>
        <w:ind w:left="1515" w:hanging="420"/>
      </w:pPr>
      <w:rPr>
        <w:rFonts w:hint="default"/>
        <w:u w:val="none"/>
      </w:rPr>
    </w:lvl>
    <w:lvl w:ilvl="2">
      <w:start w:val="1"/>
      <w:numFmt w:val="lowerRoman"/>
      <w:lvlText w:val="%3."/>
      <w:lvlJc w:val="right"/>
      <w:pPr>
        <w:tabs>
          <w:tab w:val="num" w:pos="1935"/>
        </w:tabs>
        <w:ind w:left="1935" w:hanging="420"/>
      </w:pPr>
      <w:rPr>
        <w:rFonts w:hint="default"/>
        <w:u w:val="none"/>
      </w:rPr>
    </w:lvl>
    <w:lvl w:ilvl="3">
      <w:start w:val="1"/>
      <w:numFmt w:val="decimal"/>
      <w:lvlText w:val="%4."/>
      <w:lvlJc w:val="left"/>
      <w:pPr>
        <w:tabs>
          <w:tab w:val="num" w:pos="2355"/>
        </w:tabs>
        <w:ind w:left="2355" w:hanging="420"/>
      </w:pPr>
      <w:rPr>
        <w:rFonts w:hint="default"/>
        <w:u w:val="none"/>
      </w:rPr>
    </w:lvl>
    <w:lvl w:ilvl="4">
      <w:start w:val="1"/>
      <w:numFmt w:val="lowerLetter"/>
      <w:lvlText w:val="%5)"/>
      <w:lvlJc w:val="left"/>
      <w:pPr>
        <w:tabs>
          <w:tab w:val="num" w:pos="2775"/>
        </w:tabs>
        <w:ind w:left="2775" w:hanging="420"/>
      </w:pPr>
      <w:rPr>
        <w:rFonts w:hint="default"/>
        <w:u w:val="none"/>
      </w:rPr>
    </w:lvl>
    <w:lvl w:ilvl="5">
      <w:start w:val="1"/>
      <w:numFmt w:val="lowerRoman"/>
      <w:lvlText w:val="%6."/>
      <w:lvlJc w:val="right"/>
      <w:pPr>
        <w:tabs>
          <w:tab w:val="num" w:pos="3195"/>
        </w:tabs>
        <w:ind w:left="3195" w:hanging="420"/>
      </w:pPr>
      <w:rPr>
        <w:rFonts w:hint="default"/>
        <w:u w:val="none"/>
      </w:rPr>
    </w:lvl>
    <w:lvl w:ilvl="6">
      <w:start w:val="1"/>
      <w:numFmt w:val="decimal"/>
      <w:lvlText w:val="%7."/>
      <w:lvlJc w:val="left"/>
      <w:pPr>
        <w:tabs>
          <w:tab w:val="num" w:pos="3615"/>
        </w:tabs>
        <w:ind w:left="3615" w:hanging="420"/>
      </w:pPr>
      <w:rPr>
        <w:rFonts w:hint="default"/>
        <w:u w:val="none"/>
      </w:rPr>
    </w:lvl>
    <w:lvl w:ilvl="7">
      <w:start w:val="1"/>
      <w:numFmt w:val="lowerLetter"/>
      <w:lvlText w:val="%8)"/>
      <w:lvlJc w:val="left"/>
      <w:pPr>
        <w:tabs>
          <w:tab w:val="num" w:pos="4035"/>
        </w:tabs>
        <w:ind w:left="4035" w:hanging="420"/>
      </w:pPr>
      <w:rPr>
        <w:rFonts w:hint="default"/>
        <w:u w:val="none"/>
      </w:rPr>
    </w:lvl>
    <w:lvl w:ilvl="8">
      <w:start w:val="1"/>
      <w:numFmt w:val="lowerRoman"/>
      <w:lvlText w:val="%9."/>
      <w:lvlJc w:val="right"/>
      <w:pPr>
        <w:tabs>
          <w:tab w:val="num" w:pos="4455"/>
        </w:tabs>
        <w:ind w:left="4455" w:hanging="420"/>
      </w:pPr>
      <w:rPr>
        <w:rFonts w:hint="default"/>
        <w:u w:val="none"/>
      </w:rPr>
    </w:lvl>
  </w:abstractNum>
  <w:abstractNum w:abstractNumId="3">
    <w:nsid w:val="486A544E"/>
    <w:multiLevelType w:val="multilevel"/>
    <w:tmpl w:val="486A544E"/>
    <w:lvl w:ilvl="0">
      <w:start w:val="6"/>
      <w:numFmt w:val="japaneseCounting"/>
      <w:lvlRestart w:val="0"/>
      <w:lvlText w:val="%1、"/>
      <w:lvlJc w:val="left"/>
      <w:pPr>
        <w:ind w:left="1360" w:hanging="720"/>
      </w:pPr>
      <w:rPr>
        <w:rFonts w:hint="default"/>
        <w:b/>
        <w:u w:val="none"/>
      </w:rPr>
    </w:lvl>
    <w:lvl w:ilvl="1">
      <w:start w:val="1"/>
      <w:numFmt w:val="lowerLetter"/>
      <w:lvlText w:val="%2)"/>
      <w:lvlJc w:val="left"/>
      <w:pPr>
        <w:ind w:left="1480" w:hanging="420"/>
      </w:pPr>
      <w:rPr>
        <w:rFonts w:hint="default"/>
        <w:u w:val="none"/>
      </w:rPr>
    </w:lvl>
    <w:lvl w:ilvl="2">
      <w:start w:val="1"/>
      <w:numFmt w:val="lowerRoman"/>
      <w:lvlText w:val="%3."/>
      <w:lvlJc w:val="right"/>
      <w:pPr>
        <w:ind w:left="1900" w:hanging="420"/>
      </w:pPr>
      <w:rPr>
        <w:rFonts w:hint="default"/>
        <w:u w:val="none"/>
      </w:rPr>
    </w:lvl>
    <w:lvl w:ilvl="3">
      <w:start w:val="1"/>
      <w:numFmt w:val="decimal"/>
      <w:lvlText w:val="%4."/>
      <w:lvlJc w:val="left"/>
      <w:pPr>
        <w:ind w:left="2320" w:hanging="420"/>
      </w:pPr>
      <w:rPr>
        <w:rFonts w:hint="default"/>
        <w:u w:val="none"/>
      </w:rPr>
    </w:lvl>
    <w:lvl w:ilvl="4">
      <w:start w:val="1"/>
      <w:numFmt w:val="lowerLetter"/>
      <w:lvlText w:val="%5)"/>
      <w:lvlJc w:val="left"/>
      <w:pPr>
        <w:ind w:left="2740" w:hanging="420"/>
      </w:pPr>
      <w:rPr>
        <w:rFonts w:hint="default"/>
        <w:u w:val="none"/>
      </w:rPr>
    </w:lvl>
    <w:lvl w:ilvl="5">
      <w:start w:val="1"/>
      <w:numFmt w:val="lowerRoman"/>
      <w:lvlText w:val="%6."/>
      <w:lvlJc w:val="right"/>
      <w:pPr>
        <w:ind w:left="3160" w:hanging="420"/>
      </w:pPr>
      <w:rPr>
        <w:rFonts w:hint="default"/>
        <w:u w:val="none"/>
      </w:rPr>
    </w:lvl>
    <w:lvl w:ilvl="6">
      <w:start w:val="1"/>
      <w:numFmt w:val="decimal"/>
      <w:lvlText w:val="%7."/>
      <w:lvlJc w:val="left"/>
      <w:pPr>
        <w:ind w:left="3580" w:hanging="420"/>
      </w:pPr>
      <w:rPr>
        <w:rFonts w:hint="default"/>
        <w:u w:val="none"/>
      </w:rPr>
    </w:lvl>
    <w:lvl w:ilvl="7">
      <w:start w:val="1"/>
      <w:numFmt w:val="lowerLetter"/>
      <w:lvlText w:val="%8)"/>
      <w:lvlJc w:val="left"/>
      <w:pPr>
        <w:ind w:left="4000" w:hanging="420"/>
      </w:pPr>
      <w:rPr>
        <w:rFonts w:hint="default"/>
        <w:u w:val="none"/>
      </w:rPr>
    </w:lvl>
    <w:lvl w:ilvl="8">
      <w:start w:val="1"/>
      <w:numFmt w:val="lowerRoman"/>
      <w:lvlText w:val="%9."/>
      <w:lvlJc w:val="right"/>
      <w:pPr>
        <w:ind w:left="4420" w:hanging="420"/>
      </w:pPr>
      <w:rPr>
        <w:rFonts w:hint="default"/>
        <w:u w:val="none"/>
      </w:rPr>
    </w:lvl>
  </w:abstractNum>
  <w:num w:numId="1">
    <w:abstractNumId w:val="0"/>
  </w:num>
  <w:num w:numId="2">
    <w:abstractNumId w:val="1"/>
  </w:num>
  <w:num w:numId="3">
    <w:abstractNumId w:val="2"/>
  </w:num>
  <w:num w:numId="4">
    <w:abstractNumId w:val="3"/>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6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2"/>
  </w:compat>
  <w:docVars>
    <w:docVar w:name="commondata" w:val="eyJjb3VudCI6NjAsImhkaWQiOiI4NjIzMTc5NTZjZmU2MzI5NDBmMmM1YWM4ZDQyZjVmMyIsInVzZXJDb3VudCI6MX0="/>
    <w:docVar w:name="KSO_WPS_MARK_KEY" w:val="71c2c6a0-067b-4e3a-b3ef-0dc62715dcd3"/>
  </w:docVars>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Lucida Sans"/>
        <w:lang w:val="en-US" w:eastAsia="zh-CN" w:bidi="ar-SA"/>
      </w:rPr>
    </w:rPrDefault>
    <w:pPrDefault/>
  </w:docDefaults>
  <w:style w:type="paragraph" w:default="1" w:styleId="0">
    <w:name w:val="Normal"/>
    <w:qFormat/>
    <w:pPr>
      <w:widowControl w:val="0"/>
      <w:jc w:val="both"/>
    </w:pPr>
    <w:rPr>
      <w:rFonts w:ascii="Calibri" w:eastAsia="宋体" w:cs="Arial" w:hAnsi="Calibri"/>
      <w:kern w:val="2"/>
      <w:sz w:val="21"/>
      <w:szCs w:val="22"/>
      <w:lang w:val="en-US" w:eastAsia="zh-CN"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Calibri" w:eastAsia="宋体" w:cs="Arial" w:hAnsi="Calibri"/>
      <w:b/>
      <w:bCs/>
      <w:kern w:val="44"/>
      <w:sz w:val="44"/>
      <w:szCs w:val="44"/>
      <w:lang w:val="en-US" w:eastAsia="zh-CN" w:bidi="ar-SA"/>
    </w:rPr>
  </w:style>
  <w:style w:type="paragraph" w:styleId="2">
    <w:name w:val="heading 2"/>
    <w:qFormat/>
    <w:basedOn w:val="0"/>
    <w:next w:val="0"/>
    <w:link w:val="2Char"/>
    <w:pPr>
      <w:keepNext/>
      <w:keepLines/>
      <w:spacing w:before="260" w:after="260" w:line="415" w:lineRule="auto"/>
      <w:outlineLvl w:val="1"/>
    </w:pPr>
    <w:rPr>
      <w:rFonts w:ascii="方正兰亭黑_GBK" w:eastAsia="黑体" w:hAnsi="方正兰亭黑_GBK"/>
      <w:b/>
      <w:bCs/>
      <w:sz w:val="32"/>
      <w:szCs w:val="32"/>
    </w:rPr>
  </w:style>
  <w:style w:type="character" w:customStyle="1" w:styleId="2Char">
    <w:name w:val="heading 2 Char"/>
    <w:basedOn w:val="10"/>
    <w:link w:val="2"/>
    <w:rPr>
      <w:rFonts w:ascii="方正兰亭黑_GBK" w:eastAsia="黑体" w:cs="Arial" w:hAnsi="Calibri"/>
      <w:b/>
      <w:bCs/>
      <w:kern w:val="2"/>
      <w:sz w:val="32"/>
      <w:szCs w:val="32"/>
      <w:lang w:val="en-US" w:eastAsia="zh-CN"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Calibri" w:eastAsia="宋体" w:cs="Arial" w:hAnsi="Calibri"/>
      <w:b/>
      <w:bCs/>
      <w:kern w:val="2"/>
      <w:sz w:val="32"/>
      <w:szCs w:val="32"/>
      <w:lang w:val="en-US" w:eastAsia="zh-CN" w:bidi="ar-SA"/>
    </w:rPr>
  </w:style>
  <w:style w:type="character" w:default="1" w:styleId="10">
    <w:name w:val="Default Paragraph Font"/>
    <w:qFormat/>
  </w:style>
  <w:style w:type="paragraph" w:styleId="15">
    <w:name w:val="Balloon Text"/>
    <w:qFormat/>
    <w:basedOn w:val="0"/>
    <w:rPr>
      <w:sz w:val="18"/>
      <w:szCs w:val="18"/>
    </w:rPr>
  </w:style>
  <w:style w:type="paragraph" w:styleId="16">
    <w:name w:val="footer"/>
    <w:qFormat/>
    <w:basedOn w:val="0"/>
    <w:pPr>
      <w:tabs>
        <w:tab w:val="center" w:pos="4153"/>
        <w:tab w:val="right" w:pos="8306"/>
      </w:tabs>
      <w:snapToGrid w:val="0"/>
      <w:jc w:val="left"/>
    </w:pPr>
    <w:rPr>
      <w:sz w:val="18"/>
      <w:szCs w:val="18"/>
    </w:rPr>
  </w:style>
  <w:style w:type="paragraph" w:styleId="17">
    <w:name w:val="header"/>
    <w:qFormat/>
    <w:basedOn w:val="0"/>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paragraph" w:styleId="18">
    <w:name w:val="Normal (Web)"/>
    <w:qFormat/>
    <w:basedOn w:val="0"/>
    <w:pPr>
      <w:spacing w:beforeAutospacing="1" w:afterAutospacing="1"/>
      <w:jc w:val="left"/>
    </w:pPr>
    <w:rPr>
      <w:rFonts w:cs="Times New Roman"/>
    </w:rPr>
  </w:style>
  <w:style w:type="character" w:customStyle="1" w:yozoId="4094" w:styleId="19">
    <w:name w:val="font11"/>
    <w:qFormat/>
    <w:basedOn w:val="10"/>
    <w:rPr>
      <w:rFonts w:ascii="宋体" w:eastAsia="宋体" w:cs="宋体" w:hAnsi="宋体"/>
      <w:color w:val="000000"/>
      <w:sz w:val="20"/>
      <w:szCs w:val="20"/>
      <w:u w:val="none"/>
    </w:rPr>
  </w:style>
  <w:style w:type="character" w:customStyle="1" w:yozoId="4094" w:styleId="20">
    <w:name w:val="font01"/>
    <w:qFormat/>
    <w:basedOn w:val="10"/>
    <w:rPr>
      <w:rFonts w:ascii="宋体" w:eastAsia="宋体" w:cs="宋体" w:hAnsi="宋体"/>
      <w:color w:val="000000"/>
      <w:sz w:val="22"/>
      <w:szCs w:val="22"/>
      <w:u w:val="none"/>
    </w:rPr>
  </w:style>
  <w:style w:type="character" w:customStyle="1" w:yozoId="4094" w:styleId="21">
    <w:name w:val="font41"/>
    <w:qFormat/>
    <w:basedOn w:val="10"/>
    <w:rPr>
      <w:rFonts w:ascii="宋体" w:eastAsia="宋体" w:cs="宋体" w:hAnsi="宋体"/>
      <w:color w:val="000000"/>
      <w:sz w:val="24"/>
      <w:szCs w:val="24"/>
      <w:u w:val="none"/>
    </w:rPr>
  </w:style>
  <w:style w:type="character" w:customStyle="1" w:yozoId="4094" w:styleId="22">
    <w:name w:val="font31"/>
    <w:qFormat/>
    <w:basedOn w:val="10"/>
    <w:rPr>
      <w:rFonts w:ascii="华文中宋" w:eastAsia="华文中宋" w:cs="华文中宋" w:hAnsi="华文中宋"/>
      <w:color w:val="000000"/>
      <w:sz w:val="32"/>
      <w:szCs w:val="32"/>
      <w:u w:val="none"/>
    </w:rPr>
  </w:style>
  <w:style w:type="character" w:customStyle="1" w:yozoId="4094" w:styleId="23">
    <w:name w:val="font91"/>
    <w:qFormat/>
    <w:basedOn w:val="10"/>
    <w:rPr>
      <w:rFonts w:ascii="华文中宋" w:eastAsia="华文中宋" w:cs="华文中宋" w:hAnsi="华文中宋"/>
      <w:color w:val="000000"/>
      <w:sz w:val="32"/>
      <w:szCs w:val="32"/>
      <w:u w:val="none"/>
    </w:rPr>
  </w:style>
  <w:style w:type="character" w:customStyle="1" w:yozoId="4094" w:styleId="24">
    <w:name w:val="font51"/>
    <w:qFormat/>
    <w:basedOn w:val="10"/>
    <w:rPr>
      <w:rFonts w:ascii="宋体" w:eastAsia="宋体" w:cs="宋体" w:hAnsi="宋体"/>
      <w:color w:val="000000"/>
      <w:sz w:val="24"/>
      <w:szCs w:val="24"/>
      <w:u w:val="none"/>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image" Target="media/3.jpeg"/><Relationship Id="rId3" Type="http://schemas.openxmlformats.org/officeDocument/2006/relationships/image" Target="media/5.jpeg"/><Relationship Id="rId4" Type="http://schemas.openxmlformats.org/officeDocument/2006/relationships/image" Target="media/15.jpeg"/><Relationship Id="rId5" Type="http://schemas.openxmlformats.org/officeDocument/2006/relationships/image" Target="media/29.png"/><Relationship Id="rId6" Type="http://schemas.openxmlformats.org/officeDocument/2006/relationships/image" Target="media/35.jpeg"/><Relationship Id="rId7" Type="http://schemas.openxmlformats.org/officeDocument/2006/relationships/header" Target="header1.xml"/><Relationship Id="rId8" Type="http://schemas.openxmlformats.org/officeDocument/2006/relationships/chart" Target="charts/chart1.xml"/><Relationship Id="rId9" Type="http://schemas.openxmlformats.org/officeDocument/2006/relationships/styles" Target="styles.xml"/><Relationship Id="rId10" Type="http://schemas.openxmlformats.org/officeDocument/2006/relationships/numbering" Target="numbering.xml"/><Relationship Id="rId11" Type="http://schemas.openxmlformats.org/officeDocument/2006/relationships/fontTable" Target="fontTable.xml"/><Relationship Id="rId12" Type="http://schemas.openxmlformats.org/officeDocument/2006/relationships/customXml" Target="../customXml/item1.xml"/><Relationship Id="rId13"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char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hPercent val="100"/>
      <c:rotY val="0"/>
      <c:depthPercent val="100"/>
      <c:rAngAx val="0"/>
      <c:perspective val="0"/>
    </c:view3D>
    <c:floor>
      <c:thickness val="0"/>
      <c:spPr>
        <a:noFill/>
        <a:ln>
          <a:noFill/>
        </a:ln>
      </c:spPr>
    </c:floor>
    <c:sideWall>
      <c:thickness val="0"/>
      <c:spPr>
        <a:noFill/>
        <a:ln>
          <a:noFill/>
        </a:ln>
      </c:spPr>
    </c:sideWall>
    <c:backWall>
      <c:thickness val="0"/>
      <c:spPr>
        <a:noFill/>
        <a:ln>
          <a:noFill/>
        </a:ln>
      </c:spPr>
    </c:backWall>
    <c:plotArea>
      <c:layout/>
      <c:pie3DChart>
        <c:varyColors val="1"/>
        <c:ser>
          <c:idx val="0"/>
          <c:order val="0"/>
          <c:tx>
            <c:strRef>
              <c:f>工作表1!$B$1</c:f>
              <c:strCache>
                <c:ptCount val="1"/>
                <c:pt idx="0">
                  <c:v>支出合计</c:v>
                </c:pt>
              </c:strCache>
            </c:strRef>
          </c:tx>
          <c:spPr>
            <a:ln w="12700">
              <a:solidFill>
                <a:srgbClr val="FFFFFF"/>
              </a:solidFill>
              <a:prstDash val="solid"/>
            </a:ln>
          </c:spPr>
          <c:dPt>
            <c:idx val="0"/>
            <c:bubble3D val="0"/>
            <c:spPr>
              <a:solidFill>
                <a:srgbClr val="4472C4"/>
              </a:solidFill>
              <a:ln w="12700">
                <a:solidFill>
                  <a:srgbClr val="FFFFFF"/>
                </a:solidFill>
                <a:prstDash val="solid"/>
              </a:ln>
            </c:spPr>
          </c:dPt>
          <c:dPt>
            <c:idx val="1"/>
            <c:bubble3D val="0"/>
            <c:spPr>
              <a:solidFill>
                <a:srgbClr val="ED7D31"/>
              </a:solidFill>
              <a:ln w="12700">
                <a:solidFill>
                  <a:srgbClr val="FFFFFF"/>
                </a:solidFill>
                <a:prstDash val="solid"/>
              </a:ln>
            </c:spPr>
          </c:dPt>
          <c:dLbls>
            <c:dLbl>
              <c:idx val="0"/>
              <c:spPr>
                <a:noFill/>
                <a:ln>
                  <a:noFill/>
                </a:ln>
              </c:spPr>
              <c:txPr>
                <a:bodyPr/>
                <a:lstStyle/>
                <a:p>
                  <a:pPr algn="ctr">
                    <a:defRPr sz="900" b="0" i="0" u="none" strike="noStrike" baseline="0">
                      <a:solidFill>
                        <a:srgbClr val="3F3F3F"/>
                      </a:solidFill>
                      <a:latin typeface="方正兰亭黑_GBK"/>
                      <a:ea typeface="方正兰亭黑_GBK"/>
                      <a:cs typeface="Lucida Sans"/>
                    </a:defRPr>
                  </a:pPr>
                  <a:endParaRPr lang="zh-CN"/>
                </a:p>
              </c:txPr>
              <c:showLegendKey val="0"/>
              <c:showVal val="0"/>
              <c:showCatName val="0"/>
              <c:showSerName val="0"/>
              <c:showPercent val="0"/>
              <c:showBubbleSize val="0"/>
            </c:dLbl>
            <c:dLbl>
              <c:idx val="1"/>
              <c:spPr>
                <a:noFill/>
                <a:ln>
                  <a:noFill/>
                </a:ln>
              </c:spPr>
              <c:txPr>
                <a:bodyPr/>
                <a:lstStyle/>
                <a:p>
                  <a:pPr algn="ctr">
                    <a:defRPr sz="900" b="0" i="0" u="none" strike="noStrike" baseline="0">
                      <a:solidFill>
                        <a:srgbClr val="3F3F3F"/>
                      </a:solidFill>
                      <a:latin typeface="方正兰亭黑_GBK"/>
                      <a:ea typeface="方正兰亭黑_GBK"/>
                      <a:cs typeface="Lucida Sans"/>
                    </a:defRPr>
                  </a:pPr>
                  <a:endParaRPr lang="zh-CN"/>
                </a:p>
              </c:txPr>
              <c:showLegendKey val="0"/>
              <c:showVal val="0"/>
              <c:showCatName val="0"/>
              <c:showSerName val="0"/>
              <c:showPercent val="0"/>
              <c:showBubbleSize val="0"/>
            </c:dLbl>
            <c:showLegendKey val="0"/>
            <c:showVal val="0"/>
            <c:showCatName val="0"/>
            <c:showSerName val="0"/>
            <c:showPercent val="0"/>
            <c:showBubbleSize val="0"/>
            <c:showLeaderLines val="1"/>
          </c:dLbls>
          <c:cat>
            <c:strRef>
              <c:f>工作表1!$A$2:$A$5</c:f>
              <c:strCache>
                <c:ptCount val="4"/>
                <c:pt idx="0">
                  <c:v>基本支出</c:v>
                </c:pt>
                <c:pt idx="1">
                  <c:v>项目支出</c:v>
                </c:pt>
              </c:strCache>
            </c:strRef>
          </c:cat>
          <c:val>
            <c:numRef>
              <c:f>工作表1!$B$2:$B$3</c:f>
              <c:numCache>
                <c:formatCode>0.00%</c:formatCode>
                <c:ptCount val="2"/>
                <c:pt idx="0">
                  <c:v>0.6037</c:v>
                </c:pt>
                <c:pt idx="1">
                  <c:v>0.39630000000000004</c:v>
                </c:pt>
              </c:numCache>
            </c:numRef>
          </c:val>
        </c:ser>
        <c:gapDepth val="150"/>
        <c:firstSliceAng val="0"/>
      </c:pie3DChart>
      <c:spPr>
        <a:noFill/>
        <a:ln>
          <a:noFill/>
        </a:ln>
      </c:spPr>
    </c:plotArea>
    <c:legend>
      <c:legendPos val="b"/>
      <c:layout/>
      <c:overlay val="0"/>
      <c:spPr>
        <a:noFill/>
        <a:ln>
          <a:noFill/>
        </a:ln>
      </c:spPr>
      <c:txPr>
        <a:bodyPr/>
        <a:lstStyle/>
        <a:p>
          <a:pPr>
            <a:defRPr sz="900" b="0" i="0" u="none" strike="noStrike" baseline="0">
              <a:solidFill>
                <a:srgbClr val="595959"/>
              </a:solidFill>
              <a:latin typeface="方正兰亭黑_GBK"/>
              <a:ea typeface="方正兰亭黑_GBK"/>
              <a:cs typeface="Lucida Sans"/>
            </a:defRPr>
          </a:pPr>
          <a:endParaRPr lang="zh-CN"/>
        </a:p>
      </c:txPr>
    </c:legend>
    <c:plotVisOnly val="1"/>
    <c:dispBlanksAs val="gap"/>
    <c:extLst>
      <c:ext uri="{56B9EC1D-385E-4148-901F-78D8002777C0}">
        <c16r3:dataDisplayOptions16 xmlns:c16r3="http://schemas.microsoft.com/office/drawing/2017/03/chart">
          <c16r3:dispNaAsBlank val="1"/>
        </c16r3:dataDisplayOptions16>
      </c:ext>
    </c:extLst>
    <c:showDLblsOverMax val="0"/>
  </c:chart>
  <c:spPr>
    <a:solidFill>
      <a:srgbClr val="FFFFFF"/>
    </a:solidFill>
    <a:ln>
      <a:noFill/>
    </a:ln>
  </c:spPr>
  <c:txPr>
    <a:bodyPr/>
    <a:lstStyle/>
    <a:p>
      <a:pPr>
        <a:defRPr sz="900" b="0" i="0" u="none" strike="noStrike" baseline="0">
          <a:solidFill>
            <a:srgbClr val="000000"/>
          </a:solidFill>
          <a:latin typeface="方正兰亭黑_GBK"/>
          <a:ea typeface="方正兰亭黑_GBK"/>
          <a:cs typeface="Lucida Sans"/>
        </a:defRPr>
      </a:pPr>
      <a:endParaRPr lang="zh-CN"/>
    </a:p>
  </c:txPr>
  <c:printSettings>
    <c:headerFooter/>
    <c:pageMargins b="0.75" l="0.7" r="0.7" t="0.75" header="0.3" footer="0.3"/>
    <c:pageSetup/>
  </c:printSettings>
  <c:externalData r:id="rId1">
    <c:autoUpdate val="0"/>
  </c:externalData>
</c:chartSpace>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ctr"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26650 1 1 1 1 1"/>
    <sectPr/>
    <sectPr/>
    <sectPr/>
    <sectPr/>
    <sectPr/>
    <sectPr/>
    <sectPr/>
    <sectPr/>
    <sectPr/>
    <sectPr/>
    <sectPr/>
    <sectPr/>
    <sectPr/>
    <sectPr/>
  </customProps>
</customData>
</file>

<file path=customXml/itemProps1.xml><?xml version="1.0" encoding="utf-8"?>
<ds:datastoreItem xmlns:ds="http://schemas.openxmlformats.org/officeDocument/2006/customXml" ds:itemID="{AA21EDFC-8F31-4965-9C31-12E98566CE70}">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598</TotalTime>
  <Application>WPS_Yozo_Office9.0.6115.101ZH.S1</Application>
  <Pages>30</Pages>
  <Words>0</Words>
  <Characters>12006</Characters>
  <Lines>0</Lines>
  <Paragraphs>177</Paragraphs>
  <CharactersWithSpaces>16009</CharactersWithSpaces>
  <Company>神州网信技术有限公司</Company>
</Properties>
</file>

<file path=docProps/core.xml><?xml version="1.0" encoding="utf-8"?>
<cp:coreProperties xmlns:cp="http://schemas.openxmlformats.org/package/2006/metadata/core-properties" xmlns:dc="http://purl.org/dc/elements/1.1/" xmlns:dcterms="http://purl.org/dc/terms/" xmlns:xsi="http://www.w3.org/2001/XMLSchema-instance">
  <dc:creator>王明新TIAD</dc:creator>
  <cp:lastModifiedBy>liuxuexue</cp:lastModifiedBy>
  <cp:revision>18</cp:revision>
  <cp:lastPrinted>2023-08-04T01:00:00Z</cp:lastPrinted>
  <dcterms:created xsi:type="dcterms:W3CDTF">2023-08-04T07:55:00Z</dcterms:created>
  <dcterms:modified xsi:type="dcterms:W3CDTF">2025-09-11T08:41:42Z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2052-11.8.2.12089</vt:lpwstr>
  </property>
  <property fmtid="{D5CDD505-2E9C-101B-9397-08002B2CF9AE}" pid="3" name="KSOTemplateUUID">
    <vt:lpwstr>v1.0_mb_S7ajbG3IpAnL1wSthNCxfw==</vt:lpwstr>
  </property>
  <property fmtid="{D5CDD505-2E9C-101B-9397-08002B2CF9AE}" pid="4" name="ICV">
    <vt:lpwstr>6388C71828994EE68F92E15B0CED978C</vt:lpwstr>
  </property>
</Properties>
</file>