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cs="幼圆"/>
          <w:sz w:val="32"/>
          <w:szCs w:val="32"/>
        </w:rPr>
      </w:pPr>
      <w:r>
        <w:rPr>
          <w:rFonts w:ascii="Times New Roman" w:hAnsi="Times New Roman" w:eastAsia="黑体" w:cs="Times New Roman"/>
          <w:sz w:val="32"/>
          <w:szCs w:val="32"/>
        </w:rPr>
        <w:drawing>
          <wp:anchor distT="0" distB="0" distL="114300" distR="114300" simplePos="0" relativeHeight="251662336" behindDoc="1" locked="0" layoutInCell="1" allowOverlap="1">
            <wp:simplePos x="0" y="0"/>
            <wp:positionH relativeFrom="column">
              <wp:posOffset>-1447165</wp:posOffset>
            </wp:positionH>
            <wp:positionV relativeFrom="paragraph">
              <wp:posOffset>-1321435</wp:posOffset>
            </wp:positionV>
            <wp:extent cx="8646795" cy="10781665"/>
            <wp:effectExtent l="0" t="0" r="0" b="0"/>
            <wp:wrapNone/>
            <wp:docPr id="3" name="图片 3"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7b0a202020202266696c746572223a202230220a7d0a"/>
                    <pic:cNvPicPr>
                      <a:picLocks noChangeAspect="1"/>
                    </pic:cNvPicPr>
                  </pic:nvPicPr>
                  <pic:blipFill>
                    <a:blip r:embed="rId10">
                      <a:lum bright="6000"/>
                    </a:blip>
                    <a:srcRect t="559" b="3637"/>
                    <a:stretch>
                      <a:fillRect/>
                    </a:stretch>
                  </pic:blipFill>
                  <pic:spPr>
                    <a:xfrm>
                      <a:off x="0" y="0"/>
                      <a:ext cx="8646795" cy="10781665"/>
                    </a:xfrm>
                    <a:prstGeom prst="rect">
                      <a:avLst/>
                    </a:prstGeom>
                  </pic:spPr>
                </pic:pic>
              </a:graphicData>
            </a:graphic>
          </wp:anchor>
        </w:drawing>
      </w:r>
    </w:p>
    <w:p>
      <w:pPr>
        <w:rPr>
          <w:rFonts w:ascii="Times New Roman" w:hAnsi="Times New Roman" w:eastAsia="黑体" w:cs="Times New Roman"/>
          <w:b/>
          <w:bCs/>
          <w:sz w:val="72"/>
          <w:szCs w:val="96"/>
        </w:rPr>
        <w:sectPr>
          <w:footerReference r:id="rId3" w:type="default"/>
          <w:pgSz w:w="11906" w:h="16838"/>
          <w:pgMar w:top="2098" w:right="1418" w:bottom="1871" w:left="1418" w:header="851" w:footer="992" w:gutter="0"/>
          <w:cols w:space="0" w:num="1"/>
          <w:titlePg/>
          <w:docGrid w:type="lines" w:linePitch="312" w:charSpace="0"/>
        </w:sectPr>
      </w:pPr>
      <w:r>
        <w:pict>
          <v:shape id="文本框 61" o:spid="_x0000_s1028" o:spt="202" type="#_x0000_t202" style="position:absolute;left:0pt;margin-left:55.9pt;margin-top:493.15pt;height:153.8pt;width:309.5pt;z-index:251660288;mso-width-relative:page;mso-height-relative:page;" filled="f" stroked="f" coordsize="21600,21600">
            <v:path/>
            <v:fill on="f" focussize="0,0"/>
            <v:stroke on="f" joinstyle="miter"/>
            <v:imagedata o:title=""/>
            <o:lock v:ext="edit"/>
            <v:textbox>
              <w:txbxContent>
                <w:p>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00000"/>
                      <w:sz w:val="40"/>
                      <w:szCs w:val="40"/>
                    </w:rPr>
                    <w:t>石家庄市桥西区民政局</w:t>
                  </w:r>
                  <w:r>
                    <w:rPr>
                      <w:rFonts w:hint="eastAsia" w:ascii="楷体_GB2312" w:hAnsi="楷体_GB2312" w:eastAsia="楷体_GB2312" w:cs="楷体_GB2312"/>
                      <w:b/>
                      <w:bCs/>
                      <w:color w:val="000000"/>
                      <w:sz w:val="40"/>
                      <w:szCs w:val="40"/>
                      <w:lang w:val="en-US" w:eastAsia="zh-CN"/>
                    </w:rPr>
                    <w:t>(本级）</w:t>
                  </w:r>
                </w:p>
                <w:p>
                  <w:pPr>
                    <w:jc w:val="center"/>
                    <w:rPr>
                      <w:rFonts w:ascii="楷体_GB2312" w:hAnsi="楷体_GB2312" w:eastAsia="楷体_GB2312" w:cs="楷体_GB2312"/>
                      <w:b w:val="0"/>
                      <w:bCs w:val="0"/>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预算代码：</w:t>
                  </w:r>
                  <w:r>
                    <w:rPr>
                      <w:rFonts w:hint="eastAsia" w:ascii="楷体_GB2312" w:hAnsi="楷体_GB2312" w:eastAsia="楷体_GB2312" w:cs="楷体_GB2312"/>
                      <w:b w:val="0"/>
                      <w:bCs w:val="0"/>
                      <w:color w:val="000000"/>
                      <w:sz w:val="40"/>
                      <w:szCs w:val="40"/>
                      <w:lang w:val="en-US" w:eastAsia="zh-CN"/>
                    </w:rPr>
                    <w:t>314001</w:t>
                  </w:r>
                </w:p>
                <w:p>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p>
                <w:p>
                  <w:pPr>
                    <w:jc w:val="center"/>
                    <w:rPr>
                      <w:rFonts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pP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二〇二五年</w:t>
                  </w:r>
                  <w:r>
                    <w:rPr>
                      <w:rFonts w:hint="eastAsia" w:ascii="楷体_GB2312" w:hAnsi="楷体_GB2312" w:eastAsia="楷体_GB2312" w:cs="楷体_GB2312"/>
                      <w:b/>
                      <w:bCs/>
                      <w:color w:val="0D0D0D" w:themeColor="text1" w:themeTint="F2"/>
                      <w:sz w:val="48"/>
                      <w:szCs w:val="56"/>
                      <w:lang w:eastAsia="zh-CN"/>
                      <w14:textFill>
                        <w14:solidFill>
                          <w14:schemeClr w14:val="tx1">
                            <w14:lumMod w14:val="95000"/>
                            <w14:lumOff w14:val="5000"/>
                          </w14:schemeClr>
                        </w14:solidFill>
                      </w14:textFill>
                    </w:rPr>
                    <w:t>九</w:t>
                  </w:r>
                  <w:r>
                    <w:rPr>
                      <w:rFonts w:hint="eastAsia" w:ascii="楷体_GB2312" w:hAnsi="楷体_GB2312" w:eastAsia="楷体_GB2312" w:cs="楷体_GB2312"/>
                      <w:b/>
                      <w:bCs/>
                      <w:color w:val="0D0D0D" w:themeColor="text1" w:themeTint="F2"/>
                      <w:sz w:val="48"/>
                      <w:szCs w:val="56"/>
                      <w14:textFill>
                        <w14:solidFill>
                          <w14:schemeClr w14:val="tx1">
                            <w14:lumMod w14:val="95000"/>
                            <w14:lumOff w14:val="5000"/>
                          </w14:schemeClr>
                        </w14:solidFill>
                      </w14:textFill>
                    </w:rPr>
                    <w:t>月</w:t>
                  </w:r>
                </w:p>
              </w:txbxContent>
            </v:textbox>
          </v:shape>
        </w:pict>
      </w:r>
      <w:r>
        <w:pict>
          <v:shape id="文本框 48" o:spid="_x0000_s1032" o:spt="202" alt="7b0a2020202022776f7264617274223a20227b5c2269645c223a32353030323136362c5c227469645c223a5c225c227d220a7d0a" type="#_x0000_t202" style="position:absolute;left:0pt;margin-left:-10.7pt;margin-top:71pt;height:225.4pt;width:506.4pt;z-index:251659264;mso-width-relative:page;mso-height-relative:page;" filled="f" stroked="f" coordsize="21600,21600">
            <v:path/>
            <v:fill on="f" focussize="0,0"/>
            <v:stroke on="f" joinstyle="miter"/>
            <v:imagedata o:title=""/>
            <o:lock v:ext="edit"/>
            <v:shadow on="t" opacity="32768f" offset="6pt,-6pt"/>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w:r>
      <w:r>
        <w:drawing>
          <wp:anchor distT="0" distB="0" distL="114300" distR="114300" simplePos="0" relativeHeight="251661312" behindDoc="1" locked="0" layoutInCell="1" allowOverlap="1">
            <wp:simplePos x="0" y="0"/>
            <wp:positionH relativeFrom="column">
              <wp:posOffset>-552450</wp:posOffset>
            </wp:positionH>
            <wp:positionV relativeFrom="paragraph">
              <wp:posOffset>1809750</wp:posOffset>
            </wp:positionV>
            <wp:extent cx="1295400" cy="1295400"/>
            <wp:effectExtent l="0" t="0" r="0" b="0"/>
            <wp:wrapNone/>
            <wp:docPr id="2" name="图片 2" descr="10759009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0759009815"/>
                    <pic:cNvPicPr>
                      <a:picLocks noChangeAspect="1"/>
                    </pic:cNvPicPr>
                  </pic:nvPicPr>
                  <pic:blipFill>
                    <a:blip r:embed="rId11"/>
                    <a:stretch>
                      <a:fillRect/>
                    </a:stretch>
                  </pic:blipFill>
                  <pic:spPr>
                    <a:xfrm>
                      <a:off x="0" y="0"/>
                      <a:ext cx="1295400" cy="1295400"/>
                    </a:xfrm>
                    <a:prstGeom prst="rect">
                      <a:avLst/>
                    </a:prstGeom>
                  </pic:spPr>
                </pic:pic>
              </a:graphicData>
            </a:graphic>
          </wp:anchor>
        </w:drawing>
      </w:r>
    </w:p>
    <w:p>
      <w:pPr>
        <w:rPr>
          <w:rFonts w:ascii="Times New Roman" w:hAnsi="Times New Roman" w:eastAsia="黑体" w:cs="Times New Roman"/>
          <w:b/>
          <w:bCs/>
          <w:sz w:val="72"/>
          <w:szCs w:val="96"/>
        </w:rPr>
      </w:pPr>
    </w:p>
    <w:p>
      <w:pPr>
        <w:jc w:val="center"/>
        <w:rPr>
          <w:rFonts w:hint="eastAsia" w:ascii="方正小标宋_GBK" w:hAnsi="方正小标宋_GBK" w:eastAsia="方正小标宋_GBK" w:cs="方正小标宋_GBK"/>
          <w:sz w:val="72"/>
          <w:szCs w:val="96"/>
          <w:lang w:eastAsia="zh-CN"/>
        </w:rPr>
      </w:pPr>
      <w:r>
        <w:rPr>
          <w:rFonts w:hint="eastAsia" w:ascii="方正小标宋_GBK" w:hAnsi="方正小标宋_GBK" w:eastAsia="方正小标宋_GBK" w:cs="方正小标宋_GBK"/>
          <w:sz w:val="72"/>
          <w:szCs w:val="96"/>
          <w:lang w:val="en-US" w:eastAsia="zh-CN"/>
        </w:rPr>
        <w:t>石家庄市桥西区民政局（本级）</w:t>
      </w:r>
    </w:p>
    <w:p>
      <w:pPr>
        <w:rPr>
          <w:rFonts w:ascii="方正小标宋_GBK" w:hAnsi="方正小标宋_GBK" w:eastAsia="方正小标宋_GBK" w:cs="方正小标宋_GBK"/>
          <w:sz w:val="72"/>
          <w:szCs w:val="96"/>
        </w:rPr>
      </w:pPr>
      <w:r>
        <w:rPr>
          <w:rFonts w:hint="eastAsia" w:ascii="方正小标宋_GBK" w:hAnsi="方正小标宋_GBK" w:eastAsia="方正小标宋_GBK" w:cs="方正小标宋_GBK"/>
          <w:sz w:val="72"/>
          <w:szCs w:val="96"/>
        </w:rPr>
        <w:t>2024年度部门决算公开文本</w:t>
      </w:r>
    </w:p>
    <w:p>
      <w:pPr>
        <w:spacing w:line="360" w:lineRule="auto"/>
        <w:jc w:val="center"/>
        <w:rPr>
          <w:rFonts w:ascii="Times New Roman" w:hAnsi="Times New Roman" w:eastAsia="黑体" w:cs="Times New Roman"/>
          <w:sz w:val="56"/>
          <w:szCs w:val="72"/>
        </w:rPr>
      </w:pPr>
    </w:p>
    <w:p>
      <w:pPr>
        <w:spacing w:line="600" w:lineRule="auto"/>
        <w:jc w:val="center"/>
        <w:rPr>
          <w:rFonts w:ascii="Times New Roman" w:hAnsi="Times New Roman" w:eastAsia="黑体" w:cs="Times New Roman"/>
          <w:sz w:val="56"/>
          <w:szCs w:val="72"/>
        </w:rPr>
      </w:pPr>
    </w:p>
    <w:p>
      <w:pPr>
        <w:spacing w:line="600" w:lineRule="auto"/>
        <w:jc w:val="center"/>
        <w:rPr>
          <w:rFonts w:ascii="Times New Roman" w:hAnsi="Times New Roman" w:eastAsia="黑体" w:cs="Times New Roman"/>
          <w:sz w:val="56"/>
          <w:szCs w:val="72"/>
        </w:rPr>
      </w:pPr>
    </w:p>
    <w:p>
      <w:pPr>
        <w:spacing w:line="600" w:lineRule="auto"/>
        <w:jc w:val="center"/>
        <w:rPr>
          <w:rFonts w:ascii="Times New Roman" w:hAnsi="Times New Roman" w:eastAsia="黑体" w:cs="Times New Roman"/>
          <w:sz w:val="56"/>
          <w:szCs w:val="72"/>
        </w:rPr>
      </w:pPr>
    </w:p>
    <w:p>
      <w:pPr>
        <w:spacing w:line="480" w:lineRule="auto"/>
        <w:jc w:val="center"/>
        <w:rPr>
          <w:rFonts w:ascii="Times New Roman" w:hAnsi="Times New Roman" w:eastAsia="黑体" w:cs="Times New Roman"/>
          <w:sz w:val="56"/>
          <w:szCs w:val="72"/>
        </w:rPr>
      </w:pPr>
    </w:p>
    <w:p>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ascii="Times New Roman" w:eastAsia="楷体_GB2312"/>
          <w:b w:val="0"/>
          <w:sz w:val="44"/>
          <w:szCs w:val="44"/>
        </w:rPr>
        <w:t>石家庄市桥西区民政局</w:t>
      </w:r>
    </w:p>
    <w:p>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w:t>
      </w:r>
      <w:r>
        <w:rPr>
          <w:rFonts w:ascii="Times New Roman" w:hAnsi="Times New Roman" w:eastAsia="宋体"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〇</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二五年</w:t>
      </w:r>
      <w:r>
        <w:rPr>
          <w:rFonts w:hint="eastAsia" w:ascii="Times New Roman" w:hAnsi="Times New Roman" w:eastAsia="楷体_GB2312" w:cs="Times New Roman"/>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snapToGrid w:val="0"/>
        <w:jc w:val="center"/>
        <w:rPr>
          <w:rFonts w:ascii="Times New Roman" w:hAnsi="Times New Roman" w:eastAsia="楷体_GB2312" w:cs="Times New Roman"/>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jc w:val="center"/>
        <w:rPr>
          <w:rFonts w:hint="eastAsia" w:ascii="方正小标宋简体" w:hAnsi="Times New Roman" w:eastAsia="方正小标宋简体" w:cs="Times New Roman"/>
          <w:sz w:val="44"/>
          <w:szCs w:val="44"/>
        </w:rPr>
      </w:pPr>
    </w:p>
    <w:p>
      <w:pPr>
        <w:jc w:val="center"/>
        <w:rPr>
          <w:rFonts w:hint="eastAsia" w:ascii="方正小标宋简体" w:hAnsi="Times New Roman" w:eastAsia="方正小标宋简体" w:cs="Times New Roman"/>
          <w:sz w:val="44"/>
          <w:szCs w:val="44"/>
        </w:rPr>
      </w:pPr>
    </w:p>
    <w:p>
      <w:pPr>
        <w:jc w:val="center"/>
        <w:rPr>
          <w:rFonts w:hint="eastAsia" w:ascii="方正小标宋简体" w:hAnsi="Times New Roman" w:eastAsia="方正小标宋简体" w:cs="Times New Roman"/>
          <w:sz w:val="44"/>
          <w:szCs w:val="44"/>
        </w:rPr>
      </w:pPr>
    </w:p>
    <w:p>
      <w:pPr>
        <w:tabs>
          <w:tab w:val="left" w:pos="2728"/>
        </w:tabs>
        <w:jc w:val="center"/>
        <w:rPr>
          <w:rFonts w:ascii="Times New Roman" w:hAnsi="Times New Roman" w:eastAsia="黑体" w:cs="Times New Roman"/>
          <w:sz w:val="44"/>
          <w:szCs w:val="44"/>
        </w:rPr>
      </w:pPr>
      <w:r>
        <w:rPr>
          <w:rFonts w:ascii="Times New Roman" w:hAnsi="Times New Roman" w:eastAsia="黑体" w:cs="Times New Roman"/>
          <w:sz w:val="44"/>
          <w:szCs w:val="44"/>
        </w:rPr>
        <w:t>目    录</w:t>
      </w: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2024年度部门决算报表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   2024年度部门决算情况说明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九、关于2024年度绩效评价情况的说明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第四部分  名词解释</w:t>
      </w: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2098" w:right="1418" w:bottom="1871" w:left="1418" w:header="851" w:footer="992" w:gutter="0"/>
          <w:cols w:space="0" w:num="1"/>
          <w:docGrid w:type="lines" w:linePitch="312" w:charSpace="0"/>
        </w:sect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w:t>
      </w:r>
      <w:r>
        <w:rPr>
          <w:rFonts w:hint="eastAsia" w:ascii="Times New Roman" w:hAnsi="Times New Roman" w:eastAsia="黑体" w:cs="Times New Roman"/>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概况</w:t>
      </w:r>
    </w:p>
    <w:p>
      <w:pPr>
        <w:widowControl/>
        <w:ind w:firstLine="640" w:firstLineChars="200"/>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kern w:val="0"/>
          <w:sz w:val="32"/>
          <w:szCs w:val="32"/>
        </w:rPr>
        <w:t>一、</w:t>
      </w:r>
      <w:r>
        <w:rPr>
          <w:rFonts w:hint="eastAsia" w:ascii="Times New Roman" w:hAnsi="Times New Roman" w:eastAsia="黑体" w:cs="Times New Roman"/>
          <w:kern w:val="0"/>
          <w:sz w:val="32"/>
          <w:szCs w:val="32"/>
          <w:lang w:eastAsia="zh-CN"/>
        </w:rPr>
        <w:t>单位</w:t>
      </w:r>
      <w:r>
        <w:rPr>
          <w:rFonts w:ascii="Times New Roman" w:hAnsi="Times New Roman" w:eastAsia="黑体" w:cs="Times New Roman"/>
          <w:kern w:val="0"/>
          <w:sz w:val="32"/>
          <w:szCs w:val="32"/>
        </w:rPr>
        <w:t>职责</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根据《石家庄市桥西区民政局职能配置、内设机构和人员编制规定》，石家庄市桥西区民政局的主要职责是：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贯彻执行国家和省、市民政事业发展法律法规、政策规划;拟订民政事业发展规划并组织实施。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拟订社会团体、社会服务机构等社会组织监督管理办法并组织实施，依法对全区社会组织进行管理和监督检查。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牵头拟订全区社会救助有关政策和标准，统筹社会救助体系建设，负责城乡居民最低生活保障、特困人员救助供养临时救助、承担的老龄及生活无着流浪乞讨人员救助工作。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落实行政区划、行政区域界线管理和地名管理办法负责区行政区划调整及街道办事处的设立、命名、撒销、更名和政府驻地迁移的初审报批工作，负责行政区域界线勘察和管理工作，负责地名档案管理工作</w:t>
      </w:r>
      <w:bookmarkStart w:id="0" w:name="_GoBack"/>
      <w:bookmarkEnd w:id="0"/>
      <w:r>
        <w:rPr>
          <w:rFonts w:ascii="Times New Roman" w:eastAsia="仿宋_GB2312"/>
          <w:b w:val="0"/>
          <w:sz w:val="32"/>
          <w:szCs w:val="32"/>
        </w:rPr>
        <w:t xml:space="preserve">。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负责婚姻登记管理工作。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落实市殡葬管理政策法规、殡葬服务规范，推进殡葬改革。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统筹推进、督促指导、监督管理全区养老服务工作，拟订全区养老服务体系建设规划、政策、标准并组织实施，承担老年人福利和特殊困难老年人救助工作。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会同相关部门做好残疾人权益保护相关工作，统筹推进残疾人福利制度建设。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落实市儿童福利、儿童救助相关政策和标准，负责儿童收养登记管理工作，负责困境儿童保障工作。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负责促进全区慈善事业发展，落实慈善信托、慈善组织活动管理办法，组织开展慈善捐助工作。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拟订全区推动老龄工作向主动应对和统筹协调转变，健全工作机制、强化综合协调、督促指导，组织推进者龄事业发展职能，协调有关部门不断完善老年人救助、社会福利、社会优待、宜居环境、社会参与等政策，增强政策制度的针对性、协调性、体系性。推动养老服务向全面提升老年人生活质量转变，加快建设居家社区机构相协调、医养康养相结合的养老服务体系，大力发展普惠型养老服务，促进资源均衡配置，推动实现全体老年人享有基本养老服务，努力实现老有所养、老有所医、老有所为老有所学、老有所乐。强化基本民生保障，健全分层分类、城乡统筹的社会救助体系,聚焦困难群众、孤老孤残孤儿等特殊群体:促进资源向薄弱区域、领域和环节倾斜，兜牢民生底线。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负责民政系统综合执法工作。 </w:t>
      </w:r>
    </w:p>
    <w:p>
      <w:pPr>
        <w:widowControl/>
        <w:numPr>
          <w:ilvl w:val="0"/>
          <w:numId w:val="1"/>
        </w:numPr>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完成区委、区政府交办的其他任务。</w:t>
      </w:r>
    </w:p>
    <w:p>
      <w:pPr>
        <w:widowControl/>
        <w:spacing w:line="580" w:lineRule="exact"/>
        <w:ind w:firstLine="640" w:firstLineChars="200"/>
        <w:rPr>
          <w:rFonts w:ascii="Times New Roman" w:hAnsi="Times New Roman" w:eastAsia="仿宋_GB2312" w:cs="Times New Roman"/>
          <w:kern w:val="0"/>
          <w:sz w:val="32"/>
          <w:szCs w:val="32"/>
          <w:highlight w:val="yellow"/>
        </w:rPr>
      </w:pPr>
      <w:r>
        <w:rPr>
          <w:rFonts w:ascii="Times New Roman" w:hAnsi="Times New Roman" w:eastAsia="黑体" w:cs="Times New Roman"/>
          <w:kern w:val="0"/>
          <w:sz w:val="32"/>
          <w:szCs w:val="32"/>
        </w:rPr>
        <w:t>二、机构设置</w:t>
      </w:r>
    </w:p>
    <w:p>
      <w:pPr>
        <w:spacing w:line="58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从决算编报单位构成看，纳入2024年度本部门决算汇编范围的独立核算单位（以下简称“单位”）共</w:t>
      </w:r>
      <w:r>
        <w:rPr>
          <w:rFonts w:hint="eastAsia" w:ascii="Times New Roman" w:hAnsi="Times New Roman" w:eastAsia="仿宋_GB2312" w:cs="Times New Roman"/>
          <w:kern w:val="0"/>
          <w:sz w:val="32"/>
          <w:szCs w:val="32"/>
          <w:lang w:val="en-US" w:eastAsia="zh-CN"/>
        </w:rPr>
        <w:t>1</w:t>
      </w:r>
      <w:r>
        <w:rPr>
          <w:rFonts w:ascii="Times New Roman" w:hAnsi="Times New Roman" w:eastAsia="仿宋_GB2312" w:cs="Times New Roman"/>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3"/>
        <w:gridCol w:w="3902"/>
        <w:gridCol w:w="2160"/>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853" w:type="dxa"/>
            <w:vAlign w:val="center"/>
          </w:tcPr>
          <w:p>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序号</w:t>
            </w:r>
          </w:p>
        </w:tc>
        <w:tc>
          <w:tcPr>
            <w:tcW w:w="3902" w:type="dxa"/>
            <w:vAlign w:val="center"/>
          </w:tcPr>
          <w:p>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单位名称</w:t>
            </w:r>
          </w:p>
        </w:tc>
        <w:tc>
          <w:tcPr>
            <w:tcW w:w="2160" w:type="dxa"/>
            <w:vAlign w:val="center"/>
          </w:tcPr>
          <w:p>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单位基本性质</w:t>
            </w:r>
          </w:p>
        </w:tc>
        <w:tc>
          <w:tcPr>
            <w:tcW w:w="2665" w:type="dxa"/>
            <w:vAlign w:val="center"/>
          </w:tcPr>
          <w:p>
            <w:pPr>
              <w:spacing w:line="560" w:lineRule="exact"/>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53" w:type="dxa"/>
          </w:tcPr>
          <w:p>
            <w:pPr>
              <w:spacing w:line="560" w:lineRule="exact"/>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w:t>
            </w:r>
          </w:p>
        </w:tc>
        <w:tc>
          <w:tcPr>
            <w:tcW w:w="3902" w:type="dxa"/>
          </w:tcPr>
          <w:p>
            <w:pPr>
              <w:spacing w:line="560" w:lineRule="exact"/>
              <w:rPr>
                <w:rFonts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lang w:val="en-US" w:eastAsia="zh-CN"/>
              </w:rPr>
              <w:t>石家庄市桥西区民政局（本级）</w:t>
            </w:r>
          </w:p>
        </w:tc>
        <w:tc>
          <w:tcPr>
            <w:tcW w:w="2160" w:type="dxa"/>
          </w:tcPr>
          <w:p>
            <w:pPr>
              <w:spacing w:line="560" w:lineRule="exact"/>
              <w:jc w:val="center"/>
              <w:rPr>
                <w:rFonts w:ascii="Times New Roman" w:hAnsi="Times New Roman" w:eastAsia="仿宋_GB2312" w:cs="Times New Roman"/>
                <w:kern w:val="0"/>
                <w:sz w:val="28"/>
                <w:szCs w:val="28"/>
              </w:rPr>
            </w:pPr>
            <w:r>
              <w:rPr>
                <w:rFonts w:hint="eastAsia" w:ascii="仿宋_GB2312" w:hAnsi="Calibri" w:eastAsia="仿宋_GB2312" w:cs="ArialUnicodeMS"/>
                <w:kern w:val="0"/>
                <w:sz w:val="28"/>
                <w:szCs w:val="28"/>
                <w:lang w:val="en-US" w:eastAsia="zh-CN"/>
              </w:rPr>
              <w:t>行政单位</w:t>
            </w:r>
          </w:p>
        </w:tc>
        <w:tc>
          <w:tcPr>
            <w:tcW w:w="2665" w:type="dxa"/>
          </w:tcPr>
          <w:p>
            <w:pPr>
              <w:spacing w:line="560" w:lineRule="exact"/>
              <w:jc w:val="center"/>
              <w:rPr>
                <w:rFonts w:ascii="Times New Roman" w:hAnsi="Times New Roman" w:eastAsia="仿宋_GB2312" w:cs="Times New Roman"/>
                <w:kern w:val="0"/>
                <w:sz w:val="28"/>
                <w:szCs w:val="28"/>
              </w:rPr>
            </w:pPr>
            <w:r>
              <w:rPr>
                <w:rFonts w:hint="eastAsia" w:ascii="仿宋_GB2312" w:hAnsi="Calibri" w:eastAsia="仿宋_GB2312" w:cs="ArialUnicodeMS"/>
                <w:kern w:val="0"/>
                <w:sz w:val="28"/>
                <w:szCs w:val="28"/>
                <w:lang w:val="en-US" w:eastAsia="zh-CN"/>
              </w:rPr>
              <w:t>财政拨款</w:t>
            </w:r>
          </w:p>
        </w:tc>
      </w:tr>
    </w:tbl>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bl>
      <w:tblPr>
        <w:tblStyle w:val="8"/>
        <w:tblW w:w="10260" w:type="dxa"/>
        <w:jc w:val="center"/>
        <w:tblLayout w:type="fixed"/>
        <w:tblCellMar>
          <w:top w:w="15" w:type="dxa"/>
          <w:left w:w="15" w:type="dxa"/>
          <w:bottom w:w="15" w:type="dxa"/>
          <w:right w:w="15" w:type="dxa"/>
        </w:tblCellMar>
      </w:tblPr>
      <w:tblGrid>
        <w:gridCol w:w="3490"/>
        <w:gridCol w:w="536"/>
        <w:gridCol w:w="26"/>
        <w:gridCol w:w="1324"/>
        <w:gridCol w:w="814"/>
        <w:gridCol w:w="2469"/>
        <w:gridCol w:w="502"/>
        <w:gridCol w:w="1099"/>
      </w:tblGrid>
      <w:tr>
        <w:tblPrEx>
          <w:tblCellMar>
            <w:top w:w="15" w:type="dxa"/>
            <w:left w:w="15" w:type="dxa"/>
            <w:bottom w:w="15" w:type="dxa"/>
            <w:right w:w="15" w:type="dxa"/>
          </w:tblCellMar>
        </w:tblPrEx>
        <w:trPr>
          <w:trHeight w:val="1350" w:hRule="exact"/>
          <w:jc w:val="center"/>
        </w:trPr>
        <w:tc>
          <w:tcPr>
            <w:tcW w:w="10260" w:type="dxa"/>
            <w:gridSpan w:val="8"/>
            <w:tcBorders>
              <w:top w:val="nil"/>
              <w:left w:val="nil"/>
              <w:bottom w:val="nil"/>
              <w:right w:val="nil"/>
            </w:tcBorders>
            <w:shd w:val="clear" w:color="auto" w:fill="FFFFFF"/>
            <w:vAlign w:val="bottom"/>
          </w:tcPr>
          <w:p>
            <w:pPr>
              <w:pStyle w:val="22"/>
              <w:widowControl/>
              <w:spacing w:line="500" w:lineRule="exact"/>
              <w:ind w:left="1760" w:firstLine="880"/>
              <w:jc w:val="left"/>
              <w:textAlignment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第二部分2024年度部门决算表</w:t>
            </w:r>
          </w:p>
          <w:p>
            <w:pPr>
              <w:pStyle w:val="22"/>
              <w:widowControl/>
              <w:spacing w:line="500" w:lineRule="exact"/>
              <w:ind w:left="1760" w:firstLine="1446" w:firstLineChars="400"/>
              <w:textAlignment w:val="center"/>
              <w:rPr>
                <w:rFonts w:ascii="Times New Roman" w:hAnsi="Times New Roman" w:eastAsia="仿宋_GB2312" w:cs="Times New Roman"/>
                <w:b/>
                <w:bCs/>
                <w:sz w:val="36"/>
                <w:szCs w:val="36"/>
              </w:rPr>
            </w:pPr>
            <w:r>
              <w:rPr>
                <w:rFonts w:ascii="Times New Roman" w:hAnsi="Times New Roman" w:eastAsia="仿宋_GB2312" w:cs="Times New Roman"/>
                <w:b/>
                <w:bCs/>
                <w:sz w:val="36"/>
                <w:szCs w:val="36"/>
              </w:rPr>
              <w:t>收入支出决算总表</w:t>
            </w:r>
          </w:p>
          <w:p>
            <w:pPr>
              <w:pStyle w:val="22"/>
              <w:widowControl/>
              <w:ind w:left="1760" w:firstLine="0" w:firstLineChars="0"/>
              <w:textAlignment w:val="center"/>
              <w:rPr>
                <w:rFonts w:ascii="Times New Roman" w:hAnsi="Times New Roman" w:eastAsia="仿宋_GB2312" w:cs="Times New Roman"/>
                <w:b/>
                <w:bCs/>
                <w:sz w:val="32"/>
                <w:szCs w:val="32"/>
              </w:rPr>
            </w:pPr>
          </w:p>
        </w:tc>
      </w:tr>
      <w:tr>
        <w:tblPrEx>
          <w:tblCellMar>
            <w:top w:w="15" w:type="dxa"/>
            <w:left w:w="15" w:type="dxa"/>
            <w:bottom w:w="15" w:type="dxa"/>
            <w:right w:w="15" w:type="dxa"/>
          </w:tblCellMar>
        </w:tblPrEx>
        <w:trPr>
          <w:trHeight w:val="358" w:hRule="exact"/>
          <w:jc w:val="center"/>
        </w:trPr>
        <w:tc>
          <w:tcPr>
            <w:tcW w:w="10260" w:type="dxa"/>
            <w:gridSpan w:val="8"/>
            <w:tcBorders>
              <w:top w:val="nil"/>
              <w:left w:val="nil"/>
              <w:bottom w:val="nil"/>
              <w:right w:val="nil"/>
            </w:tcBorders>
            <w:shd w:val="clear" w:color="auto" w:fill="FFFFFF"/>
            <w:vAlign w:val="center"/>
          </w:tcPr>
          <w:p>
            <w:pPr>
              <w:widowControl/>
              <w:jc w:val="right"/>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color w:val="000000"/>
                <w:kern w:val="0"/>
                <w:sz w:val="20"/>
                <w:szCs w:val="20"/>
                <w:lang w:bidi="ar"/>
              </w:rPr>
              <w:t>公开01表</w:t>
            </w:r>
          </w:p>
        </w:tc>
      </w:tr>
      <w:tr>
        <w:tblPrEx>
          <w:tblCellMar>
            <w:top w:w="15" w:type="dxa"/>
            <w:left w:w="15" w:type="dxa"/>
            <w:bottom w:w="15" w:type="dxa"/>
            <w:right w:w="15" w:type="dxa"/>
          </w:tblCellMar>
        </w:tblPrEx>
        <w:trPr>
          <w:trHeight w:val="350" w:hRule="exact"/>
          <w:jc w:val="center"/>
        </w:trPr>
        <w:tc>
          <w:tcPr>
            <w:tcW w:w="4052" w:type="dxa"/>
            <w:gridSpan w:val="3"/>
            <w:tcBorders>
              <w:top w:val="nil"/>
              <w:left w:val="nil"/>
              <w:bottom w:val="single" w:color="auto" w:sz="4" w:space="0"/>
              <w:right w:val="nil"/>
            </w:tcBorders>
            <w:shd w:val="clear" w:color="auto" w:fill="FFFFFF"/>
            <w:vAlign w:val="center"/>
          </w:tcPr>
          <w:p>
            <w:pPr>
              <w:widowControl/>
              <w:jc w:val="left"/>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石家庄市桥西区民政局（本级）</w:t>
            </w:r>
            <w:r>
              <w:rPr>
                <w:rFonts w:ascii="Times New Roman" w:hAnsi="Times New Roman" w:eastAsia="仿宋_GB2312" w:cs="Times New Roman"/>
                <w:color w:val="000000"/>
                <w:kern w:val="0"/>
                <w:sz w:val="20"/>
                <w:szCs w:val="20"/>
                <w:lang w:bidi="ar"/>
              </w:rPr>
              <w:t xml:space="preserve">                     </w:t>
            </w:r>
          </w:p>
        </w:tc>
        <w:tc>
          <w:tcPr>
            <w:tcW w:w="2138" w:type="dxa"/>
            <w:gridSpan w:val="2"/>
            <w:tcBorders>
              <w:top w:val="nil"/>
              <w:left w:val="nil"/>
              <w:bottom w:val="single" w:color="auto" w:sz="4" w:space="0"/>
              <w:right w:val="nil"/>
            </w:tcBorders>
            <w:shd w:val="clear" w:color="auto" w:fill="FFFFFF"/>
            <w:vAlign w:val="center"/>
          </w:tcPr>
          <w:p>
            <w:pPr>
              <w:widowControl/>
              <w:jc w:val="center"/>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2024年度</w:t>
            </w:r>
          </w:p>
        </w:tc>
        <w:tc>
          <w:tcPr>
            <w:tcW w:w="4070" w:type="dxa"/>
            <w:gridSpan w:val="3"/>
            <w:tcBorders>
              <w:top w:val="nil"/>
              <w:left w:val="nil"/>
              <w:bottom w:val="single" w:color="auto" w:sz="4" w:space="0"/>
              <w:right w:val="nil"/>
            </w:tcBorders>
            <w:shd w:val="clear" w:color="auto" w:fill="FFFFFF"/>
            <w:vAlign w:val="center"/>
          </w:tcPr>
          <w:p>
            <w:pPr>
              <w:widowControl/>
              <w:jc w:val="right"/>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544" w:hRule="exact"/>
          <w:jc w:val="center"/>
        </w:trPr>
        <w:tc>
          <w:tcPr>
            <w:tcW w:w="5376"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收入</w:t>
            </w:r>
          </w:p>
        </w:tc>
        <w:tc>
          <w:tcPr>
            <w:tcW w:w="4884"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支出</w:t>
            </w:r>
          </w:p>
        </w:tc>
      </w:tr>
      <w:tr>
        <w:tblPrEx>
          <w:tblCellMar>
            <w:top w:w="15" w:type="dxa"/>
            <w:left w:w="15" w:type="dxa"/>
            <w:bottom w:w="15" w:type="dxa"/>
            <w:right w:w="15" w:type="dxa"/>
          </w:tblCellMar>
        </w:tblPrEx>
        <w:trPr>
          <w:trHeight w:val="600"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决算数</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决算数</w:t>
            </w:r>
          </w:p>
        </w:tc>
      </w:tr>
      <w:tr>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36"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imes New Roman" w:hAnsi="Times New Roman" w:eastAsia="仿宋_GB2312" w:cs="Times New Roman"/>
                <w:color w:val="000000"/>
                <w:sz w:val="22"/>
              </w:rPr>
            </w:pPr>
          </w:p>
        </w:tc>
        <w:tc>
          <w:tcPr>
            <w:tcW w:w="135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328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02"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imes New Roman" w:hAnsi="Times New Roman" w:eastAsia="仿宋_GB2312" w:cs="Times New Roman"/>
                <w:color w:val="000000"/>
                <w:sz w:val="22"/>
              </w:rPr>
            </w:pPr>
          </w:p>
        </w:tc>
        <w:tc>
          <w:tcPr>
            <w:tcW w:w="1099"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r>
      <w:tr>
        <w:tblPrEx>
          <w:tblCellMar>
            <w:top w:w="15" w:type="dxa"/>
            <w:left w:w="15" w:type="dxa"/>
            <w:bottom w:w="15" w:type="dxa"/>
            <w:right w:w="15" w:type="dxa"/>
          </w:tblCellMar>
        </w:tblPrEx>
        <w:trPr>
          <w:trHeight w:val="474" w:hRule="exact"/>
          <w:jc w:val="center"/>
        </w:trPr>
        <w:tc>
          <w:tcPr>
            <w:tcW w:w="3490" w:type="dxa"/>
            <w:tcBorders>
              <w:top w:val="single" w:color="auto"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一、一般公共预算财政拨款收入</w:t>
            </w:r>
          </w:p>
        </w:tc>
        <w:tc>
          <w:tcPr>
            <w:tcW w:w="536" w:type="dxa"/>
            <w:tcBorders>
              <w:top w:val="single" w:color="auto"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1350"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pPr>
              <w:bidi w:val="0"/>
              <w:jc w:val="center"/>
              <w:rPr>
                <w:rFonts w:hint="eastAsia" w:cs="宋体" w:asciiTheme="minorHAnsi" w:hAnsiTheme="minorHAnsi" w:eastAsiaTheme="minorEastAsia"/>
                <w:color w:val="auto"/>
                <w:kern w:val="0"/>
                <w:sz w:val="24"/>
                <w:szCs w:val="24"/>
                <w:lang w:val="en-US" w:eastAsia="zh-CN" w:bidi="ar-SA"/>
              </w:rPr>
            </w:pPr>
            <w:r>
              <w:rPr>
                <w:rFonts w:hint="default"/>
              </w:rPr>
              <w:t>5689.68</w:t>
            </w:r>
          </w:p>
        </w:tc>
        <w:tc>
          <w:tcPr>
            <w:tcW w:w="3283" w:type="dxa"/>
            <w:gridSpan w:val="2"/>
            <w:tcBorders>
              <w:top w:val="single" w:color="auto"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一、一般公共服务支出</w:t>
            </w:r>
          </w:p>
        </w:tc>
        <w:tc>
          <w:tcPr>
            <w:tcW w:w="502" w:type="dxa"/>
            <w:tcBorders>
              <w:top w:val="single" w:color="auto"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32</w:t>
            </w:r>
          </w:p>
        </w:tc>
        <w:tc>
          <w:tcPr>
            <w:tcW w:w="1099" w:type="dxa"/>
            <w:tcBorders>
              <w:top w:val="single" w:color="auto"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二、政府性基金预算财政拨款收入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2059.63</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二、外交支出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三、国有资本经营预算财政拨款收入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三、国防支出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四、上级补助收入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四、公共安全支出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五、事业收入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五、教育支出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六、经营收入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六、科学技术支出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七、附属单位上缴收入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rPr>
              <w:t>七、文化旅游体育与传媒支出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color w:val="000000"/>
                <w:sz w:val="22"/>
              </w:rPr>
            </w:pPr>
            <w:r>
              <w:rPr>
                <w:rFonts w:ascii="Times New Roman" w:hAnsi="Times New Roman" w:eastAsia="仿宋_GB2312" w:cs="Times New Roman"/>
              </w:rPr>
              <w:t>八、其他收入</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2"/>
              </w:rPr>
            </w:pPr>
            <w:r>
              <w:rPr>
                <w:rFonts w:ascii="Times New Roman" w:hAnsi="Times New Roman" w:eastAsia="仿宋_GB2312" w:cs="Times New Roman"/>
              </w:rPr>
              <w:t>八、社会保障和就业支出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5668.48</w:t>
            </w: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九、卫生健康支出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22.34</w:t>
            </w: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十、节能环保支出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十一、城乡社区支出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十二、农林水支出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十三、交通运输支出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十四、资源勘探工业信息等支出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十五、商业服务业等支出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十六、金融支出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563"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十七、援助其他地区支出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十八、自然资源海洋气象等支出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49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kern w:val="2"/>
                <w:sz w:val="22"/>
                <w:szCs w:val="22"/>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十九、住房保障支出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29.21</w:t>
            </w: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二十、粮油物资储备支出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rPr>
                <w:rFonts w:hint="default" w:cs="宋体" w:asciiTheme="minorHAnsi" w:hAnsiTheme="minorHAnsi" w:eastAsiaTheme="minorEastAsia"/>
                <w:color w:val="auto"/>
                <w:kern w:val="0"/>
                <w:sz w:val="24"/>
                <w:szCs w:val="24"/>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二十一、国有资本经营预算支出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rPr>
                <w:rFonts w:hint="default" w:cs="宋体" w:asciiTheme="minorHAnsi" w:hAnsiTheme="minorHAnsi" w:eastAsiaTheme="minorEastAsia"/>
                <w:color w:val="auto"/>
                <w:kern w:val="0"/>
                <w:sz w:val="24"/>
                <w:szCs w:val="24"/>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22</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二十二、灾害防治及应急管理支出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53</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rPr>
                <w:rFonts w:hint="default" w:cs="宋体" w:asciiTheme="minorHAnsi" w:hAnsiTheme="minorHAnsi" w:eastAsiaTheme="minorEastAsia"/>
                <w:color w:val="auto"/>
                <w:kern w:val="0"/>
                <w:sz w:val="24"/>
                <w:szCs w:val="24"/>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23</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二十三、其他支出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54</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2059.63</w:t>
            </w: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24</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二十四、债务还本支出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55</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rPr>
                <w:rFonts w:hint="default" w:cs="宋体" w:asciiTheme="minorHAnsi" w:hAnsiTheme="minorHAnsi" w:eastAsiaTheme="minorEastAsia"/>
                <w:color w:val="auto"/>
                <w:kern w:val="0"/>
                <w:sz w:val="24"/>
                <w:szCs w:val="24"/>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25</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二十五、债务付息支出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56</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rPr>
                <w:rFonts w:hint="default" w:cs="宋体" w:asciiTheme="minorHAnsi" w:hAnsiTheme="minorHAnsi" w:eastAsiaTheme="minorEastAsia"/>
                <w:color w:val="auto"/>
                <w:kern w:val="0"/>
                <w:sz w:val="24"/>
                <w:szCs w:val="24"/>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26</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kern w:val="2"/>
                <w:sz w:val="22"/>
                <w:szCs w:val="22"/>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二十六、抗疫特别国债安排的支出</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57</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rPr>
                <w:rFonts w:hint="default" w:cs="宋体" w:asciiTheme="minorHAnsi" w:hAnsiTheme="minorHAnsi" w:eastAsiaTheme="minorEastAsia"/>
                <w:color w:val="auto"/>
                <w:kern w:val="0"/>
                <w:sz w:val="24"/>
                <w:szCs w:val="24"/>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本年收入合计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27</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eastAsia" w:cs="宋体" w:asciiTheme="minorHAnsi" w:hAnsiTheme="minorHAnsi" w:eastAsiaTheme="minorEastAsia"/>
                <w:color w:val="auto"/>
                <w:kern w:val="0"/>
                <w:sz w:val="24"/>
                <w:szCs w:val="24"/>
                <w:lang w:val="en-US" w:eastAsia="zh-CN" w:bidi="ar-SA"/>
              </w:rPr>
            </w:pPr>
            <w:r>
              <w:rPr>
                <w:rFonts w:hint="default"/>
              </w:rPr>
              <w:t>7749.31</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0"/>
                <w:szCs w:val="20"/>
              </w:rPr>
            </w:pPr>
            <w:r>
              <w:rPr>
                <w:rFonts w:ascii="Times New Roman" w:hAnsi="Times New Roman" w:eastAsia="仿宋_GB2312" w:cs="Times New Roman"/>
                <w:b/>
                <w:bCs/>
              </w:rPr>
              <w:t>本年支出合计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58</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7779.65</w:t>
            </w: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使用非财政拨款结余（含专用结余）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28</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结余分配</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59</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年初结转和结余</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29</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84.31</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rPr>
              <w:t>年末结转和结余</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60</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53.96</w:t>
            </w:r>
          </w:p>
        </w:tc>
      </w:tr>
      <w:tr>
        <w:tblPrEx>
          <w:tblCellMar>
            <w:top w:w="15" w:type="dxa"/>
            <w:left w:w="15" w:type="dxa"/>
            <w:bottom w:w="15" w:type="dxa"/>
            <w:right w:w="15" w:type="dxa"/>
          </w:tblCellMar>
        </w:tblPrEx>
        <w:trPr>
          <w:trHeight w:val="474"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30</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61</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p>
        </w:tc>
      </w:tr>
      <w:tr>
        <w:tblPrEx>
          <w:tblCellMar>
            <w:top w:w="15" w:type="dxa"/>
            <w:left w:w="15" w:type="dxa"/>
            <w:bottom w:w="15" w:type="dxa"/>
            <w:right w:w="15" w:type="dxa"/>
          </w:tblCellMar>
        </w:tblPrEx>
        <w:trPr>
          <w:trHeight w:val="515" w:hRule="exact"/>
          <w:jc w:val="center"/>
        </w:trPr>
        <w:tc>
          <w:tcPr>
            <w:tcW w:w="34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3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31</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7833.62</w:t>
            </w:r>
          </w:p>
        </w:tc>
        <w:tc>
          <w:tcPr>
            <w:tcW w:w="3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bCs/>
              </w:rPr>
              <w:t>总计</w:t>
            </w:r>
          </w:p>
        </w:tc>
        <w:tc>
          <w:tcPr>
            <w:tcW w:w="50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62</w:t>
            </w:r>
          </w:p>
        </w:tc>
        <w:tc>
          <w:tcPr>
            <w:tcW w:w="1099" w:type="dxa"/>
            <w:tcBorders>
              <w:top w:val="single" w:color="000000" w:sz="4" w:space="0"/>
              <w:left w:val="single" w:color="000000" w:sz="4" w:space="0"/>
              <w:bottom w:val="single" w:color="000000" w:sz="4" w:space="0"/>
              <w:right w:val="single" w:color="000000" w:sz="4" w:space="0"/>
            </w:tcBorders>
            <w:shd w:val="clear" w:color="auto" w:fill="auto"/>
            <w:vAlign w:val="center"/>
          </w:tcPr>
          <w:p>
            <w:pPr>
              <w:bidi w:val="0"/>
              <w:jc w:val="center"/>
              <w:rPr>
                <w:rFonts w:hint="default" w:cs="宋体" w:asciiTheme="minorHAnsi" w:hAnsiTheme="minorHAnsi" w:eastAsiaTheme="minorEastAsia"/>
                <w:color w:val="auto"/>
                <w:kern w:val="0"/>
                <w:sz w:val="24"/>
                <w:szCs w:val="24"/>
                <w:lang w:val="en-US" w:eastAsia="zh-CN" w:bidi="ar-SA"/>
              </w:rPr>
            </w:pPr>
            <w:r>
              <w:rPr>
                <w:rFonts w:hint="default"/>
              </w:rPr>
              <w:t>7833.62</w:t>
            </w:r>
          </w:p>
        </w:tc>
      </w:tr>
    </w:tbl>
    <w:p>
      <w:pPr>
        <w:widowControl/>
        <w:jc w:val="left"/>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4"/>
          <w:szCs w:val="24"/>
          <w:lang w:bidi="ar"/>
        </w:rPr>
        <w:t>注：1.本表反映部门本年度的总收支和年末结转结余情况。</w:t>
      </w:r>
    </w:p>
    <w:p>
      <w:pPr>
        <w:rPr>
          <w:rFonts w:ascii="Times New Roman" w:hAnsi="Times New Roman" w:eastAsia="仿宋_GB2312" w:cs="Times New Roman"/>
        </w:rPr>
        <w:sectPr>
          <w:headerReference r:id="rId8" w:type="default"/>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lang w:bidi="ar"/>
        </w:rPr>
        <w:t xml:space="preserve">    2.本套报表金额单位转换时可能存在尾数误差。</w:t>
      </w:r>
    </w:p>
    <w:tbl>
      <w:tblPr>
        <w:tblStyle w:val="8"/>
        <w:tblW w:w="10040" w:type="dxa"/>
        <w:jc w:val="center"/>
        <w:tblLayout w:type="fixed"/>
        <w:tblCellMar>
          <w:top w:w="15" w:type="dxa"/>
          <w:left w:w="15" w:type="dxa"/>
          <w:bottom w:w="15" w:type="dxa"/>
          <w:right w:w="15" w:type="dxa"/>
        </w:tblCellMar>
      </w:tblPr>
      <w:tblGrid>
        <w:gridCol w:w="793"/>
        <w:gridCol w:w="240"/>
        <w:gridCol w:w="1732"/>
        <w:gridCol w:w="1382"/>
        <w:gridCol w:w="982"/>
        <w:gridCol w:w="982"/>
        <w:gridCol w:w="982"/>
        <w:gridCol w:w="982"/>
        <w:gridCol w:w="982"/>
        <w:gridCol w:w="983"/>
      </w:tblGrid>
      <w:tr>
        <w:tblPrEx>
          <w:tblCellMar>
            <w:top w:w="15" w:type="dxa"/>
            <w:left w:w="15" w:type="dxa"/>
            <w:bottom w:w="15" w:type="dxa"/>
            <w:right w:w="15" w:type="dxa"/>
          </w:tblCellMar>
        </w:tblPrEx>
        <w:trPr>
          <w:trHeight w:val="666" w:hRule="atLeast"/>
          <w:jc w:val="center"/>
        </w:trPr>
        <w:tc>
          <w:tcPr>
            <w:tcW w:w="10040" w:type="dxa"/>
            <w:gridSpan w:val="10"/>
            <w:shd w:val="clear" w:color="auto" w:fill="auto"/>
            <w:vAlign w:val="center"/>
          </w:tcPr>
          <w:p>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收入决算表</w:t>
            </w:r>
          </w:p>
        </w:tc>
      </w:tr>
      <w:tr>
        <w:tblPrEx>
          <w:tblCellMar>
            <w:top w:w="15" w:type="dxa"/>
            <w:left w:w="15" w:type="dxa"/>
            <w:bottom w:w="15" w:type="dxa"/>
            <w:right w:w="15" w:type="dxa"/>
          </w:tblCellMar>
        </w:tblPrEx>
        <w:trPr>
          <w:trHeight w:val="348" w:hRule="atLeast"/>
          <w:jc w:val="center"/>
        </w:trPr>
        <w:tc>
          <w:tcPr>
            <w:tcW w:w="793" w:type="dxa"/>
            <w:shd w:val="clear" w:color="auto" w:fill="FFFFFF"/>
            <w:vAlign w:val="center"/>
          </w:tcPr>
          <w:p>
            <w:pPr>
              <w:jc w:val="right"/>
              <w:rPr>
                <w:rFonts w:ascii="Times New Roman" w:hAnsi="Times New Roman" w:eastAsia="仿宋_GB2312" w:cs="Times New Roman"/>
                <w:color w:val="000000"/>
                <w:sz w:val="24"/>
              </w:rPr>
            </w:pPr>
          </w:p>
        </w:tc>
        <w:tc>
          <w:tcPr>
            <w:tcW w:w="240" w:type="dxa"/>
            <w:shd w:val="clear" w:color="auto" w:fill="FFFFFF"/>
            <w:vAlign w:val="center"/>
          </w:tcPr>
          <w:p>
            <w:pPr>
              <w:jc w:val="right"/>
              <w:rPr>
                <w:rFonts w:ascii="Times New Roman" w:hAnsi="Times New Roman" w:eastAsia="仿宋_GB2312" w:cs="Times New Roman"/>
                <w:color w:val="000000"/>
                <w:sz w:val="24"/>
              </w:rPr>
            </w:pPr>
          </w:p>
        </w:tc>
        <w:tc>
          <w:tcPr>
            <w:tcW w:w="1732" w:type="dxa"/>
            <w:shd w:val="clear" w:color="auto" w:fill="FFFFFF"/>
            <w:vAlign w:val="center"/>
          </w:tcPr>
          <w:p>
            <w:pPr>
              <w:jc w:val="right"/>
              <w:rPr>
                <w:rFonts w:ascii="Times New Roman" w:hAnsi="Times New Roman" w:eastAsia="仿宋_GB2312" w:cs="Times New Roman"/>
                <w:color w:val="000000"/>
                <w:sz w:val="24"/>
              </w:rPr>
            </w:pPr>
          </w:p>
        </w:tc>
        <w:tc>
          <w:tcPr>
            <w:tcW w:w="13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3"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公开02表</w:t>
            </w:r>
          </w:p>
        </w:tc>
      </w:tr>
      <w:tr>
        <w:tblPrEx>
          <w:tblCellMar>
            <w:top w:w="15" w:type="dxa"/>
            <w:left w:w="15" w:type="dxa"/>
            <w:bottom w:w="15" w:type="dxa"/>
            <w:right w:w="15" w:type="dxa"/>
          </w:tblCellMar>
        </w:tblPrEx>
        <w:trPr>
          <w:trHeight w:val="348" w:hRule="atLeast"/>
          <w:jc w:val="center"/>
        </w:trPr>
        <w:tc>
          <w:tcPr>
            <w:tcW w:w="4147" w:type="dxa"/>
            <w:gridSpan w:val="4"/>
            <w:shd w:val="clear" w:color="auto" w:fill="FFFFFF"/>
            <w:vAlign w:val="center"/>
          </w:tcPr>
          <w:p>
            <w:pPr>
              <w:jc w:val="left"/>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石家庄市桥西区民政局（本级）</w:t>
            </w:r>
          </w:p>
        </w:tc>
        <w:tc>
          <w:tcPr>
            <w:tcW w:w="1964" w:type="dxa"/>
            <w:gridSpan w:val="2"/>
            <w:shd w:val="clear" w:color="auto" w:fill="FFFFFF"/>
            <w:vAlign w:val="center"/>
          </w:tcPr>
          <w:p>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4"/>
                <w:szCs w:val="24"/>
              </w:rPr>
              <w:t>2024年度</w:t>
            </w: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2" w:type="dxa"/>
            <w:shd w:val="clear" w:color="auto" w:fill="FFFFFF"/>
            <w:vAlign w:val="center"/>
          </w:tcPr>
          <w:p>
            <w:pPr>
              <w:jc w:val="right"/>
              <w:rPr>
                <w:rFonts w:ascii="Times New Roman" w:hAnsi="Times New Roman" w:eastAsia="仿宋_GB2312" w:cs="Times New Roman"/>
                <w:color w:val="000000"/>
                <w:sz w:val="24"/>
              </w:rPr>
            </w:pPr>
          </w:p>
        </w:tc>
        <w:tc>
          <w:tcPr>
            <w:tcW w:w="983"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499" w:hRule="atLeast"/>
          <w:jc w:val="center"/>
        </w:trPr>
        <w:tc>
          <w:tcPr>
            <w:tcW w:w="276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13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本年收入合计</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财政拨款收入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上级补助收入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事业收入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经营收入</w:t>
            </w:r>
          </w:p>
        </w:tc>
        <w:tc>
          <w:tcPr>
            <w:tcW w:w="9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附属单位上缴收入</w:t>
            </w:r>
          </w:p>
        </w:tc>
        <w:tc>
          <w:tcPr>
            <w:tcW w:w="983"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其他收入</w:t>
            </w:r>
          </w:p>
        </w:tc>
      </w:tr>
      <w:tr>
        <w:tblPrEx>
          <w:tblCellMar>
            <w:top w:w="15" w:type="dxa"/>
            <w:left w:w="15" w:type="dxa"/>
            <w:bottom w:w="15" w:type="dxa"/>
            <w:right w:w="15" w:type="dxa"/>
          </w:tblCellMar>
        </w:tblPrEx>
        <w:trPr>
          <w:trHeight w:val="499" w:hRule="atLeast"/>
          <w:jc w:val="center"/>
        </w:trPr>
        <w:tc>
          <w:tcPr>
            <w:tcW w:w="1033"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科目代码</w:t>
            </w:r>
          </w:p>
        </w:tc>
        <w:tc>
          <w:tcPr>
            <w:tcW w:w="173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科目名称</w:t>
            </w:r>
          </w:p>
        </w:tc>
        <w:tc>
          <w:tcPr>
            <w:tcW w:w="13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r>
      <w:tr>
        <w:tblPrEx>
          <w:tblCellMar>
            <w:top w:w="15" w:type="dxa"/>
            <w:left w:w="15" w:type="dxa"/>
            <w:bottom w:w="15" w:type="dxa"/>
            <w:right w:w="15" w:type="dxa"/>
          </w:tblCellMar>
        </w:tblPrEx>
        <w:trPr>
          <w:trHeight w:val="499" w:hRule="atLeast"/>
          <w:jc w:val="center"/>
        </w:trPr>
        <w:tc>
          <w:tcPr>
            <w:tcW w:w="1033"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73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3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99" w:hRule="atLeast"/>
          <w:jc w:val="center"/>
        </w:trPr>
        <w:tc>
          <w:tcPr>
            <w:tcW w:w="276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栏次</w:t>
            </w:r>
          </w:p>
        </w:tc>
        <w:tc>
          <w:tcPr>
            <w:tcW w:w="13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c>
          <w:tcPr>
            <w:tcW w:w="9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6</w:t>
            </w:r>
          </w:p>
        </w:tc>
        <w:tc>
          <w:tcPr>
            <w:tcW w:w="9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7</w:t>
            </w:r>
          </w:p>
        </w:tc>
      </w:tr>
      <w:tr>
        <w:tblPrEx>
          <w:tblCellMar>
            <w:top w:w="15" w:type="dxa"/>
            <w:left w:w="15" w:type="dxa"/>
            <w:bottom w:w="15" w:type="dxa"/>
            <w:right w:w="15" w:type="dxa"/>
          </w:tblCellMar>
        </w:tblPrEx>
        <w:trPr>
          <w:trHeight w:val="499" w:hRule="atLeast"/>
          <w:jc w:val="center"/>
        </w:trPr>
        <w:tc>
          <w:tcPr>
            <w:tcW w:w="27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rPr>
              <w:t>7749.31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rPr>
              <w:t>7749.31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社会保障和就业支出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5638.13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5638.13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677"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民政管理事务</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435.70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435.70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行政运行</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334.32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334.32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2080202</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一般行政管理事务</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85.66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85.66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2080208</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基层政权建设和社区治理</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10.99</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10.99</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2080299</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其他民政管理事务支出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148.41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148.41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行政单位离退休</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105.72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105.72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35.43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35.43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社会福利</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2896.46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2896.46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儿童福利</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85.96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85.96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2081002</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老年福利</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2810.50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2810.50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残疾人事业</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540.26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540.26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2081107</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残疾人生活和护理补贴</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531.32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531.32</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2081199</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spacing w:val="-2"/>
                <w:sz w:val="20"/>
                <w:szCs w:val="20"/>
                <w:lang w:val="en-US" w:eastAsia="zh-CN"/>
              </w:rPr>
            </w:pPr>
            <w:r>
              <w:rPr>
                <w:rFonts w:hint="eastAsia" w:ascii="方正仿宋_GB2312" w:hAnsi="方正仿宋_GB2312" w:eastAsia="方正仿宋_GB2312" w:cs="方正仿宋_GB2312"/>
                <w:spacing w:val="-2"/>
                <w:sz w:val="20"/>
                <w:szCs w:val="20"/>
                <w:lang w:val="en-US" w:eastAsia="zh-CN"/>
              </w:rPr>
              <w:t>其他残疾人事业支出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最低生活保障</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1276.27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1276.27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城市最低生活保障金支出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1276.27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1276.27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临时救助</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临时救助支出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特困人员救助供养</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174.16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174.16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2082101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城市特困人员救助供养支出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174.16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174.16</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其他生活救助</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150.87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150.87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其他城市生活救助</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150.87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150.87</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22.34</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29.21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29.21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29.21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29.21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29.21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29.21</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2059.63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2059.63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彩票公益金安排的支出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2059.63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2059.63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499" w:hRule="atLeast"/>
          <w:jc w:val="center"/>
        </w:trPr>
        <w:tc>
          <w:tcPr>
            <w:tcW w:w="10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2296002</w:t>
            </w:r>
          </w:p>
        </w:tc>
        <w:tc>
          <w:tcPr>
            <w:tcW w:w="17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用于社会福利的彩票公益金支出</w:t>
            </w:r>
          </w:p>
        </w:tc>
        <w:tc>
          <w:tcPr>
            <w:tcW w:w="13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2059.63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2059.63</w:t>
            </w: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CellMar>
            <w:top w:w="15" w:type="dxa"/>
            <w:left w:w="15" w:type="dxa"/>
            <w:bottom w:w="15" w:type="dxa"/>
            <w:right w:w="15" w:type="dxa"/>
          </w:tblCellMar>
        </w:tblPrEx>
        <w:trPr>
          <w:trHeight w:val="657" w:hRule="atLeast"/>
          <w:jc w:val="center"/>
        </w:trPr>
        <w:tc>
          <w:tcPr>
            <w:tcW w:w="10040" w:type="dxa"/>
            <w:gridSpan w:val="10"/>
            <w:shd w:val="clear" w:color="auto" w:fill="auto"/>
            <w:vAlign w:val="center"/>
          </w:tcPr>
          <w:p>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w:t>
            </w:r>
            <w:r>
              <w:rPr>
                <w:rFonts w:hint="eastAsia" w:ascii="Times New Roman" w:hAnsi="Times New Roman" w:eastAsia="仿宋_GB2312" w:cs="Times New Roman"/>
                <w:color w:val="000000"/>
                <w:kern w:val="0"/>
                <w:sz w:val="24"/>
                <w:szCs w:val="24"/>
                <w:lang w:eastAsia="zh-CN" w:bidi="ar"/>
              </w:rPr>
              <w:t>单位</w:t>
            </w:r>
            <w:r>
              <w:rPr>
                <w:rFonts w:ascii="Times New Roman" w:hAnsi="Times New Roman" w:eastAsia="仿宋_GB2312" w:cs="Times New Roman"/>
                <w:color w:val="000000"/>
                <w:kern w:val="0"/>
                <w:sz w:val="24"/>
                <w:szCs w:val="24"/>
                <w:lang w:bidi="ar"/>
              </w:rPr>
              <w:t>本年度取得的各项收入情况。</w:t>
            </w: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286" w:type="dxa"/>
        <w:jc w:val="center"/>
        <w:tblLayout w:type="fixed"/>
        <w:tblCellMar>
          <w:top w:w="15" w:type="dxa"/>
          <w:left w:w="15" w:type="dxa"/>
          <w:bottom w:w="15" w:type="dxa"/>
          <w:right w:w="15" w:type="dxa"/>
        </w:tblCellMar>
      </w:tblPr>
      <w:tblGrid>
        <w:gridCol w:w="671"/>
        <w:gridCol w:w="227"/>
        <w:gridCol w:w="440"/>
        <w:gridCol w:w="1630"/>
        <w:gridCol w:w="1490"/>
        <w:gridCol w:w="1556"/>
        <w:gridCol w:w="1069"/>
        <w:gridCol w:w="1069"/>
        <w:gridCol w:w="1069"/>
        <w:gridCol w:w="1065"/>
      </w:tblGrid>
      <w:tr>
        <w:tblPrEx>
          <w:tblCellMar>
            <w:top w:w="15" w:type="dxa"/>
            <w:left w:w="15" w:type="dxa"/>
            <w:bottom w:w="15" w:type="dxa"/>
            <w:right w:w="15" w:type="dxa"/>
          </w:tblCellMar>
        </w:tblPrEx>
        <w:trPr>
          <w:trHeight w:val="435" w:hRule="atLeast"/>
          <w:jc w:val="center"/>
        </w:trPr>
        <w:tc>
          <w:tcPr>
            <w:tcW w:w="10286" w:type="dxa"/>
            <w:gridSpan w:val="10"/>
            <w:shd w:val="clear" w:color="auto" w:fill="auto"/>
            <w:vAlign w:val="center"/>
          </w:tcPr>
          <w:p>
            <w:pPr>
              <w:widowControl/>
              <w:jc w:val="center"/>
              <w:textAlignment w:val="center"/>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kern w:val="0"/>
                <w:sz w:val="32"/>
                <w:szCs w:val="32"/>
                <w:lang w:bidi="ar"/>
              </w:rPr>
              <w:t>支出决算表</w:t>
            </w:r>
          </w:p>
        </w:tc>
      </w:tr>
      <w:tr>
        <w:tblPrEx>
          <w:tblCellMar>
            <w:top w:w="15" w:type="dxa"/>
            <w:left w:w="15" w:type="dxa"/>
            <w:bottom w:w="15" w:type="dxa"/>
            <w:right w:w="15" w:type="dxa"/>
          </w:tblCellMar>
        </w:tblPrEx>
        <w:trPr>
          <w:trHeight w:val="286" w:hRule="atLeast"/>
          <w:jc w:val="center"/>
        </w:trPr>
        <w:tc>
          <w:tcPr>
            <w:tcW w:w="671" w:type="dxa"/>
            <w:shd w:val="clear" w:color="auto" w:fill="FFFFFF"/>
            <w:vAlign w:val="center"/>
          </w:tcPr>
          <w:p>
            <w:pPr>
              <w:jc w:val="right"/>
              <w:rPr>
                <w:rFonts w:ascii="Times New Roman" w:hAnsi="Times New Roman" w:eastAsia="仿宋_GB2312" w:cs="Times New Roman"/>
                <w:color w:val="000000"/>
                <w:sz w:val="24"/>
              </w:rPr>
            </w:pPr>
          </w:p>
        </w:tc>
        <w:tc>
          <w:tcPr>
            <w:tcW w:w="667" w:type="dxa"/>
            <w:gridSpan w:val="2"/>
            <w:shd w:val="clear" w:color="auto" w:fill="FFFFFF"/>
            <w:vAlign w:val="center"/>
          </w:tcPr>
          <w:p>
            <w:pPr>
              <w:jc w:val="right"/>
              <w:rPr>
                <w:rFonts w:ascii="Times New Roman" w:hAnsi="Times New Roman" w:eastAsia="仿宋_GB2312" w:cs="Times New Roman"/>
                <w:color w:val="000000"/>
                <w:sz w:val="24"/>
              </w:rPr>
            </w:pPr>
          </w:p>
        </w:tc>
        <w:tc>
          <w:tcPr>
            <w:tcW w:w="1630" w:type="dxa"/>
            <w:shd w:val="clear" w:color="auto" w:fill="FFFFFF"/>
            <w:vAlign w:val="center"/>
          </w:tcPr>
          <w:p>
            <w:pPr>
              <w:jc w:val="right"/>
              <w:rPr>
                <w:rFonts w:ascii="Times New Roman" w:hAnsi="Times New Roman" w:eastAsia="仿宋_GB2312" w:cs="Times New Roman"/>
                <w:color w:val="000000"/>
                <w:sz w:val="24"/>
              </w:rPr>
            </w:pPr>
          </w:p>
        </w:tc>
        <w:tc>
          <w:tcPr>
            <w:tcW w:w="1490" w:type="dxa"/>
            <w:shd w:val="clear" w:color="auto" w:fill="FFFFFF"/>
            <w:vAlign w:val="center"/>
          </w:tcPr>
          <w:p>
            <w:pPr>
              <w:jc w:val="right"/>
              <w:rPr>
                <w:rFonts w:ascii="Times New Roman" w:hAnsi="Times New Roman" w:eastAsia="仿宋_GB2312" w:cs="Times New Roman"/>
                <w:color w:val="000000"/>
                <w:sz w:val="24"/>
              </w:rPr>
            </w:pPr>
          </w:p>
        </w:tc>
        <w:tc>
          <w:tcPr>
            <w:tcW w:w="1556" w:type="dxa"/>
            <w:shd w:val="clear" w:color="auto" w:fill="FFFFFF"/>
            <w:vAlign w:val="center"/>
          </w:tcPr>
          <w:p>
            <w:pPr>
              <w:jc w:val="right"/>
              <w:rPr>
                <w:rFonts w:ascii="Times New Roman" w:hAnsi="Times New Roman" w:eastAsia="仿宋_GB2312" w:cs="Times New Roman"/>
                <w:color w:val="000000"/>
                <w:sz w:val="24"/>
              </w:rPr>
            </w:pPr>
          </w:p>
        </w:tc>
        <w:tc>
          <w:tcPr>
            <w:tcW w:w="1069" w:type="dxa"/>
            <w:shd w:val="clear" w:color="auto" w:fill="FFFFFF"/>
            <w:vAlign w:val="center"/>
          </w:tcPr>
          <w:p>
            <w:pPr>
              <w:jc w:val="right"/>
              <w:rPr>
                <w:rFonts w:ascii="Times New Roman" w:hAnsi="Times New Roman" w:eastAsia="仿宋_GB2312" w:cs="Times New Roman"/>
                <w:color w:val="000000"/>
                <w:sz w:val="24"/>
              </w:rPr>
            </w:pPr>
          </w:p>
        </w:tc>
        <w:tc>
          <w:tcPr>
            <w:tcW w:w="1069" w:type="dxa"/>
            <w:shd w:val="clear" w:color="auto" w:fill="FFFFFF"/>
            <w:vAlign w:val="center"/>
          </w:tcPr>
          <w:p>
            <w:pPr>
              <w:jc w:val="right"/>
              <w:rPr>
                <w:rFonts w:ascii="Times New Roman" w:hAnsi="Times New Roman" w:eastAsia="仿宋_GB2312" w:cs="Times New Roman"/>
                <w:color w:val="000000"/>
                <w:sz w:val="24"/>
              </w:rPr>
            </w:pPr>
          </w:p>
        </w:tc>
        <w:tc>
          <w:tcPr>
            <w:tcW w:w="1069" w:type="dxa"/>
            <w:shd w:val="clear" w:color="auto" w:fill="FFFFFF"/>
            <w:vAlign w:val="center"/>
          </w:tcPr>
          <w:p>
            <w:pPr>
              <w:jc w:val="right"/>
              <w:rPr>
                <w:rFonts w:ascii="Times New Roman" w:hAnsi="Times New Roman" w:eastAsia="仿宋_GB2312" w:cs="Times New Roman"/>
                <w:color w:val="000000"/>
                <w:sz w:val="24"/>
              </w:rPr>
            </w:pPr>
          </w:p>
        </w:tc>
        <w:tc>
          <w:tcPr>
            <w:tcW w:w="1065"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公开03表</w:t>
            </w:r>
          </w:p>
        </w:tc>
      </w:tr>
      <w:tr>
        <w:tblPrEx>
          <w:tblCellMar>
            <w:top w:w="15" w:type="dxa"/>
            <w:left w:w="15" w:type="dxa"/>
            <w:bottom w:w="15" w:type="dxa"/>
            <w:right w:w="15" w:type="dxa"/>
          </w:tblCellMar>
        </w:tblPrEx>
        <w:trPr>
          <w:trHeight w:val="286" w:hRule="atLeast"/>
          <w:jc w:val="center"/>
        </w:trPr>
        <w:tc>
          <w:tcPr>
            <w:tcW w:w="671" w:type="dxa"/>
            <w:shd w:val="clear" w:color="auto" w:fill="FFFFFF"/>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p>
        </w:tc>
        <w:tc>
          <w:tcPr>
            <w:tcW w:w="3787" w:type="dxa"/>
            <w:gridSpan w:val="4"/>
            <w:shd w:val="clear" w:color="auto" w:fill="FFFFFF"/>
            <w:vAlign w:val="center"/>
          </w:tcPr>
          <w:p>
            <w:pPr>
              <w:wordWrap/>
              <w:jc w:val="left"/>
              <w:rPr>
                <w:rFonts w:hint="default" w:ascii="Times New Roman" w:hAnsi="Times New Roman" w:eastAsia="仿宋_GB2312" w:cs="Times New Roman"/>
                <w:color w:val="000000"/>
                <w:sz w:val="24"/>
                <w:lang w:val="en-US" w:eastAsia="zh-CN"/>
              </w:rPr>
            </w:pPr>
            <w:r>
              <w:rPr>
                <w:rFonts w:ascii="Times New Roman" w:hAnsi="Times New Roman" w:eastAsia="仿宋_GB2312" w:cs="Times New Roman"/>
                <w:color w:val="000000"/>
                <w:sz w:val="24"/>
                <w:szCs w:val="24"/>
              </w:rPr>
              <w:t xml:space="preserve"> </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石家庄市桥西区民政局（本级）</w:t>
            </w:r>
          </w:p>
        </w:tc>
        <w:tc>
          <w:tcPr>
            <w:tcW w:w="1556" w:type="dxa"/>
            <w:shd w:val="clear" w:color="auto" w:fill="FFFFFF"/>
            <w:vAlign w:val="center"/>
          </w:tcPr>
          <w:p>
            <w:pPr>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2024年度</w:t>
            </w:r>
          </w:p>
        </w:tc>
        <w:tc>
          <w:tcPr>
            <w:tcW w:w="1069" w:type="dxa"/>
            <w:shd w:val="clear" w:color="auto" w:fill="FFFFFF"/>
            <w:vAlign w:val="center"/>
          </w:tcPr>
          <w:p>
            <w:pPr>
              <w:jc w:val="center"/>
              <w:rPr>
                <w:rFonts w:ascii="Times New Roman" w:hAnsi="Times New Roman" w:eastAsia="仿宋_GB2312" w:cs="Times New Roman"/>
                <w:color w:val="000000"/>
                <w:sz w:val="20"/>
                <w:szCs w:val="20"/>
              </w:rPr>
            </w:pPr>
          </w:p>
        </w:tc>
        <w:tc>
          <w:tcPr>
            <w:tcW w:w="1069" w:type="dxa"/>
            <w:shd w:val="clear" w:color="auto" w:fill="FFFFFF"/>
            <w:vAlign w:val="center"/>
          </w:tcPr>
          <w:p>
            <w:pPr>
              <w:jc w:val="right"/>
              <w:rPr>
                <w:rFonts w:ascii="Times New Roman" w:hAnsi="Times New Roman" w:eastAsia="仿宋_GB2312" w:cs="Times New Roman"/>
                <w:color w:val="000000"/>
                <w:sz w:val="24"/>
              </w:rPr>
            </w:pPr>
          </w:p>
        </w:tc>
        <w:tc>
          <w:tcPr>
            <w:tcW w:w="1069" w:type="dxa"/>
            <w:shd w:val="clear" w:color="auto" w:fill="FFFFFF"/>
            <w:vAlign w:val="center"/>
          </w:tcPr>
          <w:p>
            <w:pPr>
              <w:jc w:val="right"/>
              <w:rPr>
                <w:rFonts w:ascii="Times New Roman" w:hAnsi="Times New Roman" w:eastAsia="仿宋_GB2312" w:cs="Times New Roman"/>
                <w:color w:val="000000"/>
                <w:sz w:val="24"/>
              </w:rPr>
            </w:pPr>
          </w:p>
        </w:tc>
        <w:tc>
          <w:tcPr>
            <w:tcW w:w="1065"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450" w:hRule="atLeast"/>
          <w:jc w:val="center"/>
        </w:trPr>
        <w:tc>
          <w:tcPr>
            <w:tcW w:w="296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149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本年支出合计</w:t>
            </w:r>
          </w:p>
        </w:tc>
        <w:tc>
          <w:tcPr>
            <w:tcW w:w="155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对附属单位补助支出</w:t>
            </w:r>
          </w:p>
        </w:tc>
      </w:tr>
      <w:tr>
        <w:tblPrEx>
          <w:tblCellMar>
            <w:top w:w="15" w:type="dxa"/>
            <w:left w:w="15" w:type="dxa"/>
            <w:bottom w:w="15" w:type="dxa"/>
            <w:right w:w="15" w:type="dxa"/>
          </w:tblCellMar>
        </w:tblPrEx>
        <w:trPr>
          <w:trHeight w:val="450" w:hRule="atLeast"/>
          <w:jc w:val="center"/>
        </w:trPr>
        <w:tc>
          <w:tcPr>
            <w:tcW w:w="1338" w:type="dxa"/>
            <w:gridSpan w:val="3"/>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科目代码</w:t>
            </w:r>
          </w:p>
        </w:tc>
        <w:tc>
          <w:tcPr>
            <w:tcW w:w="163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科目名称</w:t>
            </w:r>
          </w:p>
        </w:tc>
        <w:tc>
          <w:tcPr>
            <w:tcW w:w="149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15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b/>
                <w:bCs/>
                <w:color w:val="000000"/>
                <w:sz w:val="22"/>
              </w:rPr>
            </w:pPr>
          </w:p>
        </w:tc>
      </w:tr>
      <w:tr>
        <w:tblPrEx>
          <w:tblCellMar>
            <w:top w:w="15" w:type="dxa"/>
            <w:left w:w="15" w:type="dxa"/>
            <w:bottom w:w="15" w:type="dxa"/>
            <w:right w:w="15" w:type="dxa"/>
          </w:tblCellMar>
        </w:tblPrEx>
        <w:trPr>
          <w:trHeight w:val="450" w:hRule="atLeast"/>
          <w:jc w:val="center"/>
        </w:trPr>
        <w:tc>
          <w:tcPr>
            <w:tcW w:w="1338" w:type="dxa"/>
            <w:gridSpan w:val="3"/>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63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49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55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50" w:hRule="atLeast"/>
          <w:jc w:val="center"/>
        </w:trPr>
        <w:tc>
          <w:tcPr>
            <w:tcW w:w="296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栏次</w:t>
            </w:r>
          </w:p>
        </w:tc>
        <w:tc>
          <w:tcPr>
            <w:tcW w:w="14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155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6</w:t>
            </w:r>
          </w:p>
        </w:tc>
      </w:tr>
      <w:tr>
        <w:tblPrEx>
          <w:tblCellMar>
            <w:top w:w="15" w:type="dxa"/>
            <w:left w:w="15" w:type="dxa"/>
            <w:bottom w:w="15" w:type="dxa"/>
            <w:right w:w="15" w:type="dxa"/>
          </w:tblCellMar>
        </w:tblPrEx>
        <w:trPr>
          <w:trHeight w:val="450" w:hRule="atLeast"/>
          <w:jc w:val="center"/>
        </w:trPr>
        <w:tc>
          <w:tcPr>
            <w:tcW w:w="296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7779.65</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542.49</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7237.16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5668.48</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490.94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5177.53</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民政管理事务</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435.90</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334.32</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101.59</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334.32</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334.32</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2080202</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85.86</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85.86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2080208</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基层政权建设和社区治理</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10.99</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10.99</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2080299</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其他民政管理事务支出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156.63</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156.63</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105.72</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105.72</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35.43</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35.43</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15.48</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15.48</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社会福利</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2879.71</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2879.71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儿童福利</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85.96</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85.96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2081002</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老年福利</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2793.75</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2793.75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残疾人事业</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540.27</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540.27</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2081107</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残疾人生活和护理补贴</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531.32</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531.32</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2081199</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其他残疾人事业支出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8.95</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8.95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最低生活保障</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1311.19</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1311.19</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城市最低生活保障金支出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1311.19</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1311.19</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临时救助</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19.75</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19.75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临时救助支出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19.75</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19.75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特困人员救助供养</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174.16</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174.16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城市特困人员救助供养支出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174.16</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174.16</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其他生活救助</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150.87</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150.87</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其他城市生活救助</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150.87</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150.87</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2059.63</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2059.63</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彩票公益金安排的支出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2059.63</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2059.63</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2296002</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用于社会福利的彩票公益金支出</w:t>
            </w:r>
          </w:p>
        </w:tc>
        <w:tc>
          <w:tcPr>
            <w:tcW w:w="14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2059.63</w:t>
            </w:r>
          </w:p>
        </w:tc>
        <w:tc>
          <w:tcPr>
            <w:tcW w:w="15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2059.63</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630" w:hRule="atLeast"/>
          <w:jc w:val="center"/>
        </w:trPr>
        <w:tc>
          <w:tcPr>
            <w:tcW w:w="10286" w:type="dxa"/>
            <w:gridSpan w:val="10"/>
            <w:shd w:val="clear" w:color="auto" w:fill="auto"/>
            <w:vAlign w:val="center"/>
          </w:tcPr>
          <w:p>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w:t>
            </w:r>
            <w:r>
              <w:rPr>
                <w:rFonts w:hint="eastAsia" w:ascii="Times New Roman" w:hAnsi="Times New Roman" w:eastAsia="仿宋_GB2312" w:cs="Times New Roman"/>
                <w:color w:val="000000"/>
                <w:kern w:val="0"/>
                <w:sz w:val="24"/>
                <w:szCs w:val="24"/>
                <w:lang w:eastAsia="zh-CN" w:bidi="ar"/>
              </w:rPr>
              <w:t>单位</w:t>
            </w:r>
            <w:r>
              <w:rPr>
                <w:rFonts w:ascii="Times New Roman" w:hAnsi="Times New Roman" w:eastAsia="仿宋_GB2312" w:cs="Times New Roman"/>
                <w:color w:val="000000"/>
                <w:kern w:val="0"/>
                <w:sz w:val="24"/>
                <w:szCs w:val="24"/>
                <w:lang w:bidi="ar"/>
              </w:rPr>
              <w:t>本年度各项支出情况。</w:t>
            </w: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653" w:type="dxa"/>
        <w:jc w:val="center"/>
        <w:tblLayout w:type="fixed"/>
        <w:tblCellMar>
          <w:top w:w="15" w:type="dxa"/>
          <w:left w:w="15" w:type="dxa"/>
          <w:bottom w:w="15" w:type="dxa"/>
          <w:right w:w="15" w:type="dxa"/>
        </w:tblCellMar>
      </w:tblPr>
      <w:tblGrid>
        <w:gridCol w:w="2390"/>
        <w:gridCol w:w="586"/>
        <w:gridCol w:w="839"/>
        <w:gridCol w:w="2468"/>
        <w:gridCol w:w="494"/>
        <w:gridCol w:w="670"/>
        <w:gridCol w:w="198"/>
        <w:gridCol w:w="970"/>
        <w:gridCol w:w="1028"/>
        <w:gridCol w:w="1010"/>
      </w:tblGrid>
      <w:tr>
        <w:tblPrEx>
          <w:tblCellMar>
            <w:top w:w="15" w:type="dxa"/>
            <w:left w:w="15" w:type="dxa"/>
            <w:bottom w:w="15" w:type="dxa"/>
            <w:right w:w="15" w:type="dxa"/>
          </w:tblCellMar>
        </w:tblPrEx>
        <w:trPr>
          <w:trHeight w:val="1069" w:hRule="atLeast"/>
          <w:jc w:val="center"/>
        </w:trPr>
        <w:tc>
          <w:tcPr>
            <w:tcW w:w="10653" w:type="dxa"/>
            <w:gridSpan w:val="10"/>
            <w:tcBorders>
              <w:top w:val="nil"/>
              <w:left w:val="nil"/>
              <w:bottom w:val="nil"/>
              <w:right w:val="nil"/>
            </w:tcBorders>
            <w:shd w:val="clear" w:color="auto" w:fill="FFFFFF"/>
            <w:vAlign w:val="bottom"/>
          </w:tcPr>
          <w:p>
            <w:pPr>
              <w:widowControl/>
              <w:ind w:firstLine="3534" w:firstLineChars="1100"/>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b/>
                <w:bCs/>
                <w:color w:val="000000"/>
                <w:kern w:val="0"/>
                <w:sz w:val="32"/>
                <w:szCs w:val="32"/>
                <w:lang w:bidi="ar"/>
              </w:rPr>
              <w:t>财政拨款收入支出决算总表</w:t>
            </w:r>
          </w:p>
        </w:tc>
      </w:tr>
      <w:tr>
        <w:tblPrEx>
          <w:tblCellMar>
            <w:top w:w="15" w:type="dxa"/>
            <w:left w:w="15" w:type="dxa"/>
            <w:bottom w:w="15" w:type="dxa"/>
            <w:right w:w="15" w:type="dxa"/>
          </w:tblCellMar>
        </w:tblPrEx>
        <w:trPr>
          <w:trHeight w:val="347" w:hRule="atLeast"/>
          <w:jc w:val="center"/>
        </w:trPr>
        <w:tc>
          <w:tcPr>
            <w:tcW w:w="3815" w:type="dxa"/>
            <w:gridSpan w:val="3"/>
            <w:tcBorders>
              <w:top w:val="nil"/>
              <w:left w:val="nil"/>
              <w:bottom w:val="nil"/>
              <w:right w:val="nil"/>
            </w:tcBorders>
            <w:shd w:val="clear" w:color="auto" w:fill="FFFFFF"/>
            <w:vAlign w:val="center"/>
          </w:tcPr>
          <w:p>
            <w:pPr>
              <w:widowControl/>
              <w:jc w:val="right"/>
              <w:textAlignment w:val="center"/>
              <w:rPr>
                <w:rFonts w:ascii="Times New Roman" w:hAnsi="Times New Roman" w:eastAsia="仿宋_GB2312" w:cs="Times New Roman"/>
                <w:color w:val="000000"/>
                <w:kern w:val="0"/>
                <w:sz w:val="24"/>
                <w:szCs w:val="24"/>
                <w:lang w:bidi="ar"/>
              </w:rPr>
            </w:pPr>
          </w:p>
        </w:tc>
        <w:tc>
          <w:tcPr>
            <w:tcW w:w="6838" w:type="dxa"/>
            <w:gridSpan w:val="7"/>
            <w:tcBorders>
              <w:top w:val="nil"/>
              <w:left w:val="nil"/>
              <w:bottom w:val="nil"/>
              <w:right w:val="nil"/>
            </w:tcBorders>
            <w:shd w:val="clear" w:color="auto" w:fill="FFFFFF"/>
            <w:vAlign w:val="center"/>
          </w:tcPr>
          <w:p>
            <w:pPr>
              <w:widowControl/>
              <w:jc w:val="right"/>
              <w:textAlignment w:val="center"/>
              <w:rPr>
                <w:rFonts w:ascii="Times New Roman" w:hAnsi="Times New Roman" w:eastAsia="仿宋_GB2312" w:cs="Times New Roman"/>
                <w:color w:val="000000"/>
                <w:kern w:val="0"/>
                <w:sz w:val="24"/>
                <w:szCs w:val="24"/>
                <w:lang w:bidi="ar"/>
              </w:rPr>
            </w:pPr>
            <w:r>
              <w:rPr>
                <w:rFonts w:ascii="Times New Roman" w:hAnsi="Times New Roman" w:eastAsia="仿宋_GB2312" w:cs="Times New Roman"/>
                <w:color w:val="000000"/>
                <w:kern w:val="0"/>
                <w:sz w:val="20"/>
                <w:szCs w:val="20"/>
                <w:lang w:bidi="ar"/>
              </w:rPr>
              <w:t>公开04表</w:t>
            </w:r>
          </w:p>
        </w:tc>
      </w:tr>
      <w:tr>
        <w:tblPrEx>
          <w:tblCellMar>
            <w:top w:w="15" w:type="dxa"/>
            <w:left w:w="15" w:type="dxa"/>
            <w:bottom w:w="15" w:type="dxa"/>
            <w:right w:w="15" w:type="dxa"/>
          </w:tblCellMar>
        </w:tblPrEx>
        <w:trPr>
          <w:trHeight w:val="388" w:hRule="atLeast"/>
          <w:jc w:val="center"/>
        </w:trPr>
        <w:tc>
          <w:tcPr>
            <w:tcW w:w="3815" w:type="dxa"/>
            <w:gridSpan w:val="3"/>
            <w:tcBorders>
              <w:top w:val="nil"/>
              <w:left w:val="nil"/>
              <w:bottom w:val="nil"/>
              <w:right w:val="nil"/>
            </w:tcBorders>
            <w:shd w:val="clear" w:color="auto" w:fill="FFFFFF"/>
            <w:vAlign w:val="center"/>
          </w:tcPr>
          <w:p>
            <w:pPr>
              <w:widowControl/>
              <w:jc w:val="lef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石家庄市桥西区民政局（本级）</w:t>
            </w:r>
            <w:r>
              <w:rPr>
                <w:rFonts w:ascii="Times New Roman" w:hAnsi="Times New Roman" w:eastAsia="仿宋_GB2312" w:cs="Times New Roman"/>
                <w:color w:val="000000"/>
                <w:kern w:val="0"/>
                <w:sz w:val="20"/>
                <w:szCs w:val="20"/>
                <w:lang w:bidi="ar"/>
              </w:rPr>
              <w:t xml:space="preserve">                   </w:t>
            </w:r>
          </w:p>
        </w:tc>
        <w:tc>
          <w:tcPr>
            <w:tcW w:w="3632" w:type="dxa"/>
            <w:gridSpan w:val="3"/>
            <w:tcBorders>
              <w:top w:val="nil"/>
              <w:left w:val="nil"/>
              <w:bottom w:val="nil"/>
              <w:right w:val="nil"/>
            </w:tcBorders>
            <w:shd w:val="clear" w:color="auto" w:fill="FFFFFF"/>
            <w:vAlign w:val="center"/>
          </w:tcPr>
          <w:p>
            <w:pPr>
              <w:widowControl/>
              <w:jc w:val="center"/>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2024年度</w:t>
            </w:r>
          </w:p>
        </w:tc>
        <w:tc>
          <w:tcPr>
            <w:tcW w:w="3206" w:type="dxa"/>
            <w:gridSpan w:val="4"/>
            <w:tcBorders>
              <w:top w:val="nil"/>
              <w:left w:val="nil"/>
              <w:bottom w:val="nil"/>
              <w:right w:val="nil"/>
            </w:tcBorders>
            <w:shd w:val="clear" w:color="auto" w:fill="FFFFFF"/>
            <w:vAlign w:val="center"/>
          </w:tcPr>
          <w:p>
            <w:pPr>
              <w:widowControl/>
              <w:jc w:val="right"/>
              <w:textAlignment w:val="center"/>
              <w:rPr>
                <w:rFonts w:ascii="Times New Roman" w:hAnsi="Times New Roman" w:eastAsia="仿宋_GB2312" w:cs="Times New Roman"/>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535" w:hRule="atLeast"/>
          <w:jc w:val="center"/>
        </w:trPr>
        <w:tc>
          <w:tcPr>
            <w:tcW w:w="3815"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收入</w:t>
            </w:r>
          </w:p>
        </w:tc>
        <w:tc>
          <w:tcPr>
            <w:tcW w:w="6838" w:type="dxa"/>
            <w:gridSpan w:val="7"/>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支出</w:t>
            </w:r>
          </w:p>
        </w:tc>
      </w:tr>
      <w:tr>
        <w:tblPrEx>
          <w:tblCellMar>
            <w:top w:w="15" w:type="dxa"/>
            <w:left w:w="15" w:type="dxa"/>
            <w:bottom w:w="15" w:type="dxa"/>
            <w:right w:w="15" w:type="dxa"/>
          </w:tblCellMar>
        </w:tblPrEx>
        <w:trPr>
          <w:trHeight w:val="997" w:hRule="atLeas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金额</w:t>
            </w: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项    目</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szCs w:val="20"/>
              </w:rPr>
            </w:pPr>
            <w:r>
              <w:rPr>
                <w:rFonts w:ascii="Times New Roman" w:hAnsi="Times New Roman" w:eastAsia="仿宋_GB2312" w:cs="Times New Roman"/>
                <w:b/>
                <w:bCs/>
                <w:color w:val="000000"/>
                <w:kern w:val="0"/>
                <w:sz w:val="22"/>
                <w:szCs w:val="20"/>
                <w:lang w:bidi="ar"/>
              </w:rPr>
              <w:t>行次</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合计</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一般公共预算财政拨款</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政府性基金预算财政拨款</w:t>
            </w: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szCs w:val="24"/>
                <w:lang w:bidi="ar"/>
              </w:rPr>
              <w:t>国有资本经营预算财政拨款</w:t>
            </w:r>
          </w:p>
        </w:tc>
      </w:tr>
      <w:tr>
        <w:tblPrEx>
          <w:tblCellMar>
            <w:top w:w="15" w:type="dxa"/>
            <w:left w:w="15" w:type="dxa"/>
            <w:bottom w:w="15" w:type="dxa"/>
            <w:right w:w="15" w:type="dxa"/>
          </w:tblCellMar>
        </w:tblPrEx>
        <w:trPr>
          <w:trHeight w:val="535" w:hRule="atLeas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1</w:t>
            </w: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栏    次</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2</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3</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4</w:t>
            </w: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szCs w:val="24"/>
                <w:lang w:bidi="ar"/>
              </w:rPr>
              <w:t>5</w:t>
            </w: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一、一般公共预算财政拨款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5689.68</w:t>
            </w: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一、一般公共服务支出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33</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8"/>
                <w:szCs w:val="21"/>
              </w:rPr>
              <w:t>二、政府性基金预算财政拨款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2</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2059.63</w:t>
            </w: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二、外交支出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34</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1"/>
                <w:szCs w:val="11"/>
              </w:rPr>
            </w:pPr>
            <w:r>
              <w:rPr>
                <w:rFonts w:ascii="Times New Roman" w:hAnsi="Times New Roman" w:eastAsia="仿宋_GB2312" w:cs="Times New Roman"/>
                <w:sz w:val="16"/>
                <w:szCs w:val="20"/>
              </w:rPr>
              <w:t>三、国有资本经营预算财政拨款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3</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三、国防支出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35</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4</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四、公共安全支出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36</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5</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五、教育支出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37</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6</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六、科学技术支出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38</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7</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5"/>
                <w:szCs w:val="15"/>
              </w:rPr>
            </w:pPr>
            <w:r>
              <w:rPr>
                <w:rFonts w:ascii="Times New Roman" w:hAnsi="Times New Roman" w:eastAsia="仿宋_GB2312" w:cs="Times New Roman"/>
                <w:sz w:val="18"/>
                <w:szCs w:val="18"/>
              </w:rPr>
              <w:t>七、文化旅游体育与传媒支出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39</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8</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八、社会保障和就业支出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40</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5668.48</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5668.48</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9</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20"/>
              </w:rPr>
              <w:t>九、卫生健康支出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41</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22.34</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22.34</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10</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13"/>
                <w:szCs w:val="13"/>
              </w:rPr>
            </w:pPr>
            <w:r>
              <w:rPr>
                <w:rFonts w:ascii="Times New Roman" w:hAnsi="Times New Roman" w:eastAsia="仿宋_GB2312" w:cs="Times New Roman"/>
                <w:sz w:val="20"/>
              </w:rPr>
              <w:t>十、节能环保支出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42</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11</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十一、城乡社区支出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43</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12</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十二、农林水支出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44</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13</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3"/>
                <w:szCs w:val="13"/>
              </w:rPr>
            </w:pPr>
            <w:r>
              <w:rPr>
                <w:rFonts w:ascii="Times New Roman" w:hAnsi="Times New Roman" w:eastAsia="仿宋_GB2312" w:cs="Times New Roman"/>
                <w:sz w:val="20"/>
              </w:rPr>
              <w:t>十三、交通运输支出</w:t>
            </w:r>
          </w:p>
        </w:tc>
        <w:tc>
          <w:tcPr>
            <w:tcW w:w="49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45</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sz w:val="15"/>
                <w:szCs w:val="15"/>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rPr>
              <w:t>14</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sz w:val="13"/>
                <w:szCs w:val="13"/>
              </w:rPr>
            </w:pPr>
            <w:r>
              <w:rPr>
                <w:rFonts w:ascii="Times New Roman" w:hAnsi="Times New Roman" w:eastAsia="仿宋_GB2312" w:cs="Times New Roman"/>
                <w:sz w:val="18"/>
                <w:szCs w:val="21"/>
              </w:rPr>
              <w:t>十四、资源勘探工业信息等支出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Cs w:val="21"/>
              </w:rPr>
            </w:pPr>
            <w:r>
              <w:rPr>
                <w:rFonts w:ascii="Times New Roman" w:hAnsi="Times New Roman" w:eastAsia="仿宋_GB2312" w:cs="Times New Roman"/>
                <w:sz w:val="20"/>
              </w:rPr>
              <w:t>46</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15</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十五、商业服务业等支出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47</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16</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十六、金融支出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48</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17</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十七、援助其他地区支出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49</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18</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8"/>
                <w:szCs w:val="21"/>
              </w:rPr>
              <w:t>十八、自然资源海洋气象等支出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50</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19</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十九、住房保障支出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51</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29.21</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29.21</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20</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二十、粮油物资储备支出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52</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140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行次</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行次</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    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    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21</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8"/>
                <w:szCs w:val="21"/>
              </w:rPr>
              <w:t>二十一、国有资本经营预算支出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53</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22</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6"/>
                <w:szCs w:val="20"/>
              </w:rPr>
              <w:t>二十二、灾害防治及应急管理支出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54</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23</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二十三、其他支出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55</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2059.63</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2059.63</w:t>
            </w: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24</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二十四、债务还本支出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56</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25</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二十五、债务付息支出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57</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26</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16"/>
                <w:szCs w:val="20"/>
              </w:rPr>
              <w:t>二十六、抗疫特别国债安排的支出</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58</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9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Times New Roman" w:hAnsi="Times New Roman" w:eastAsia="仿宋_GB2312" w:cs="Times New Roman"/>
                <w:color w:val="000000"/>
                <w:sz w:val="22"/>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r>
              <w:rPr>
                <w:rFonts w:ascii="Times New Roman" w:hAnsi="Times New Roman" w:eastAsia="仿宋_GB2312" w:cs="Times New Roman"/>
                <w:b/>
                <w:bCs/>
              </w:rPr>
              <w:t>本年收入合计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27</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7749.31</w:t>
            </w: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b/>
                <w:bCs/>
                <w:sz w:val="20"/>
              </w:rPr>
              <w:t>本年支出合计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59</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7779.65</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5720.02</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2059.63</w:t>
            </w: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0"/>
                <w:szCs w:val="20"/>
                <w:lang w:bidi="ar"/>
              </w:rPr>
            </w:pPr>
            <w:r>
              <w:rPr>
                <w:rFonts w:ascii="Times New Roman" w:hAnsi="Times New Roman" w:eastAsia="仿宋_GB2312" w:cs="Times New Roman"/>
                <w:sz w:val="18"/>
                <w:szCs w:val="21"/>
              </w:rPr>
              <w:t>年初财政拨款结转和结余</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28</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84.31</w:t>
            </w: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sz w:val="20"/>
              </w:rPr>
              <w:t>年末财政拨款结转和结余</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60</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53.96</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53.96</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 w:val="20"/>
                <w:szCs w:val="20"/>
                <w:lang w:bidi="ar"/>
              </w:rPr>
            </w:pPr>
            <w:r>
              <w:rPr>
                <w:rFonts w:hint="eastAsia" w:ascii="Times New Roman" w:hAnsi="Times New Roman" w:eastAsia="仿宋_GB2312" w:cs="Times New Roman"/>
                <w:sz w:val="18"/>
                <w:szCs w:val="21"/>
                <w:lang w:val="en-US" w:eastAsia="zh-CN"/>
              </w:rPr>
              <w:t>一、</w:t>
            </w:r>
            <w:r>
              <w:rPr>
                <w:rFonts w:ascii="Times New Roman" w:hAnsi="Times New Roman" w:eastAsia="仿宋_GB2312" w:cs="Times New Roman"/>
                <w:sz w:val="18"/>
                <w:szCs w:val="21"/>
              </w:rPr>
              <w:t>一般公共预算财政拨款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29</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84.31</w:t>
            </w: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61</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 w:val="20"/>
                <w:szCs w:val="20"/>
                <w:lang w:bidi="ar"/>
              </w:rPr>
            </w:pPr>
            <w:r>
              <w:rPr>
                <w:rFonts w:hint="eastAsia" w:ascii="Times New Roman" w:hAnsi="Times New Roman" w:eastAsia="仿宋_GB2312" w:cs="Times New Roman"/>
                <w:sz w:val="18"/>
                <w:szCs w:val="21"/>
                <w:lang w:val="en-US" w:eastAsia="zh-CN"/>
              </w:rPr>
              <w:t>二、</w:t>
            </w:r>
            <w:r>
              <w:rPr>
                <w:rFonts w:ascii="Times New Roman" w:hAnsi="Times New Roman" w:eastAsia="仿宋_GB2312" w:cs="Times New Roman"/>
                <w:sz w:val="18"/>
                <w:szCs w:val="21"/>
              </w:rPr>
              <w:t>政府性基金预算财政拨款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30</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62</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Times New Roman" w:hAnsi="Times New Roman" w:eastAsia="仿宋_GB2312" w:cs="Times New Roman"/>
                <w:b/>
                <w:color w:val="000000"/>
                <w:kern w:val="0"/>
                <w:sz w:val="20"/>
                <w:szCs w:val="20"/>
                <w:lang w:bidi="ar"/>
              </w:rPr>
            </w:pPr>
            <w:r>
              <w:rPr>
                <w:rFonts w:hint="eastAsia" w:ascii="Times New Roman" w:hAnsi="Times New Roman" w:eastAsia="仿宋_GB2312" w:cs="Times New Roman"/>
                <w:sz w:val="16"/>
                <w:szCs w:val="20"/>
                <w:lang w:val="en-US" w:eastAsia="zh-CN"/>
              </w:rPr>
              <w:t>三、</w:t>
            </w:r>
            <w:r>
              <w:rPr>
                <w:rFonts w:ascii="Times New Roman" w:hAnsi="Times New Roman" w:eastAsia="仿宋_GB2312" w:cs="Times New Roman"/>
                <w:sz w:val="16"/>
                <w:szCs w:val="20"/>
              </w:rPr>
              <w:t>国有资本经营预算财政拨款</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 w:val="22"/>
                <w:lang w:bidi="ar"/>
              </w:rPr>
            </w:pPr>
            <w:r>
              <w:rPr>
                <w:rFonts w:ascii="Times New Roman" w:hAnsi="Times New Roman" w:eastAsia="仿宋_GB2312" w:cs="Times New Roman"/>
              </w:rPr>
              <w:t>31</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Times New Roman" w:hAnsi="Times New Roman" w:eastAsia="仿宋_GB2312" w:cs="Times New Roman"/>
                <w:b/>
                <w:color w:val="000000"/>
                <w:kern w:val="0"/>
                <w:szCs w:val="21"/>
                <w:lang w:bidi="ar"/>
              </w:rPr>
            </w:pP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63</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442" w:hRule="exact"/>
          <w:jc w:val="center"/>
        </w:trPr>
        <w:tc>
          <w:tcPr>
            <w:tcW w:w="23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 w:val="22"/>
                <w:lang w:bidi="ar"/>
              </w:rPr>
            </w:pPr>
            <w:r>
              <w:rPr>
                <w:rFonts w:ascii="Times New Roman" w:hAnsi="Times New Roman" w:eastAsia="仿宋_GB2312" w:cs="Times New Roman"/>
                <w:b/>
                <w:bCs/>
              </w:rPr>
              <w:t>总计</w:t>
            </w:r>
          </w:p>
        </w:tc>
        <w:tc>
          <w:tcPr>
            <w:tcW w:w="58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rPr>
            </w:pPr>
            <w:r>
              <w:rPr>
                <w:rFonts w:ascii="Times New Roman" w:hAnsi="Times New Roman" w:eastAsia="仿宋_GB2312" w:cs="Times New Roman"/>
              </w:rPr>
              <w:t>32</w:t>
            </w:r>
          </w:p>
        </w:tc>
        <w:tc>
          <w:tcPr>
            <w:tcW w:w="8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7833.62</w:t>
            </w:r>
          </w:p>
        </w:tc>
        <w:tc>
          <w:tcPr>
            <w:tcW w:w="246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b/>
                <w:color w:val="000000"/>
                <w:kern w:val="0"/>
                <w:szCs w:val="21"/>
                <w:lang w:bidi="ar"/>
              </w:rPr>
            </w:pPr>
            <w:r>
              <w:rPr>
                <w:rFonts w:ascii="Times New Roman" w:hAnsi="Times New Roman" w:eastAsia="仿宋_GB2312" w:cs="Times New Roman"/>
                <w:b/>
                <w:bCs/>
                <w:sz w:val="20"/>
              </w:rPr>
              <w:t>总计</w:t>
            </w:r>
          </w:p>
        </w:tc>
        <w:tc>
          <w:tcPr>
            <w:tcW w:w="494"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Times New Roman" w:hAnsi="Times New Roman" w:eastAsia="仿宋_GB2312" w:cs="Times New Roman"/>
                <w:color w:val="000000"/>
                <w:kern w:val="0"/>
                <w:szCs w:val="21"/>
                <w:lang w:bidi="ar"/>
              </w:rPr>
            </w:pPr>
            <w:r>
              <w:rPr>
                <w:rFonts w:ascii="Times New Roman" w:hAnsi="Times New Roman" w:eastAsia="仿宋_GB2312" w:cs="Times New Roman"/>
                <w:sz w:val="20"/>
              </w:rPr>
              <w:t>64</w:t>
            </w:r>
          </w:p>
        </w:tc>
        <w:tc>
          <w:tcPr>
            <w:tcW w:w="8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7833.62</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eastAsia" w:ascii="Times New Roman" w:hAnsi="Times New Roman" w:eastAsia="宋体" w:cs="Times New Roman"/>
                <w:i w:val="0"/>
                <w:iCs w:val="0"/>
                <w:color w:val="000000"/>
                <w:kern w:val="2"/>
                <w:sz w:val="20"/>
                <w:szCs w:val="20"/>
                <w:highlight w:val="none"/>
                <w:u w:val="none"/>
                <w:lang w:val="en-US" w:eastAsia="zh-CN" w:bidi="ar-SA"/>
              </w:rPr>
              <w:t>5773.99</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2059.63</w:t>
            </w:r>
          </w:p>
        </w:tc>
        <w:tc>
          <w:tcPr>
            <w:tcW w:w="101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b/>
                <w:color w:val="000000"/>
                <w:sz w:val="22"/>
              </w:rPr>
            </w:pPr>
          </w:p>
        </w:tc>
      </w:tr>
      <w:tr>
        <w:tblPrEx>
          <w:tblCellMar>
            <w:top w:w="15" w:type="dxa"/>
            <w:left w:w="15" w:type="dxa"/>
            <w:bottom w:w="15" w:type="dxa"/>
            <w:right w:w="15" w:type="dxa"/>
          </w:tblCellMar>
        </w:tblPrEx>
        <w:trPr>
          <w:trHeight w:val="843" w:hRule="atLeast"/>
          <w:jc w:val="center"/>
        </w:trPr>
        <w:tc>
          <w:tcPr>
            <w:tcW w:w="10653" w:type="dxa"/>
            <w:gridSpan w:val="10"/>
            <w:shd w:val="clear" w:color="auto" w:fill="auto"/>
            <w:vAlign w:val="center"/>
          </w:tcPr>
          <w:p>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w:t>
            </w:r>
            <w:r>
              <w:rPr>
                <w:rFonts w:hint="eastAsia" w:ascii="Times New Roman" w:hAnsi="Times New Roman" w:eastAsia="仿宋_GB2312" w:cs="Times New Roman"/>
                <w:color w:val="000000"/>
                <w:kern w:val="0"/>
                <w:sz w:val="24"/>
                <w:szCs w:val="24"/>
                <w:lang w:eastAsia="zh-CN" w:bidi="ar"/>
              </w:rPr>
              <w:t>单位</w:t>
            </w:r>
            <w:r>
              <w:rPr>
                <w:rFonts w:ascii="Times New Roman" w:hAnsi="Times New Roman" w:eastAsia="仿宋_GB2312" w:cs="Times New Roman"/>
                <w:color w:val="000000"/>
                <w:kern w:val="0"/>
                <w:sz w:val="24"/>
                <w:szCs w:val="24"/>
                <w:lang w:bidi="ar"/>
              </w:rPr>
              <w:t>本年度一般公共预算财政拨款、政府性基金预算财政拨款和国有资本经营预算财政拨款的总收支和年末结转结余情况。</w:t>
            </w:r>
          </w:p>
        </w:tc>
      </w:tr>
    </w:tbl>
    <w:p>
      <w:pPr>
        <w:widowControl/>
        <w:jc w:val="center"/>
        <w:textAlignment w:val="center"/>
        <w:rPr>
          <w:rFonts w:ascii="Times New Roman" w:hAnsi="Times New Roman" w:eastAsia="仿宋_GB2312" w:cs="Times New Roman"/>
          <w:color w:val="000000"/>
          <w:kern w:val="0"/>
          <w:sz w:val="32"/>
          <w:szCs w:val="32"/>
          <w:lang w:bidi="ar"/>
        </w:rPr>
      </w:pPr>
      <w:r>
        <w:rPr>
          <w:rFonts w:ascii="Times New Roman" w:hAnsi="Times New Roman" w:eastAsia="仿宋_GB2312" w:cs="Times New Roman"/>
          <w:color w:val="000000"/>
          <w:kern w:val="0"/>
          <w:sz w:val="32"/>
          <w:szCs w:val="32"/>
          <w:lang w:bidi="ar"/>
        </w:rPr>
        <w:br w:type="page"/>
      </w:r>
    </w:p>
    <w:tbl>
      <w:tblPr>
        <w:tblStyle w:val="8"/>
        <w:tblW w:w="9959" w:type="dxa"/>
        <w:jc w:val="center"/>
        <w:tblLayout w:type="fixed"/>
        <w:tblCellMar>
          <w:top w:w="15" w:type="dxa"/>
          <w:left w:w="15" w:type="dxa"/>
          <w:bottom w:w="15" w:type="dxa"/>
          <w:right w:w="15" w:type="dxa"/>
        </w:tblCellMar>
      </w:tblPr>
      <w:tblGrid>
        <w:gridCol w:w="602"/>
        <w:gridCol w:w="1085"/>
        <w:gridCol w:w="2337"/>
        <w:gridCol w:w="1925"/>
        <w:gridCol w:w="1980"/>
        <w:gridCol w:w="2030"/>
      </w:tblGrid>
      <w:tr>
        <w:tblPrEx>
          <w:tblCellMar>
            <w:top w:w="15" w:type="dxa"/>
            <w:left w:w="15" w:type="dxa"/>
            <w:bottom w:w="15" w:type="dxa"/>
            <w:right w:w="15" w:type="dxa"/>
          </w:tblCellMar>
        </w:tblPrEx>
        <w:trPr>
          <w:trHeight w:val="628" w:hRule="atLeast"/>
          <w:jc w:val="center"/>
        </w:trPr>
        <w:tc>
          <w:tcPr>
            <w:tcW w:w="9959" w:type="dxa"/>
            <w:gridSpan w:val="6"/>
            <w:shd w:val="clear" w:color="auto" w:fill="FFFFFF"/>
            <w:vAlign w:val="center"/>
          </w:tcPr>
          <w:p>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一般公共预算财政拨款支出决算表</w:t>
            </w:r>
          </w:p>
        </w:tc>
      </w:tr>
      <w:tr>
        <w:tblPrEx>
          <w:tblCellMar>
            <w:top w:w="15" w:type="dxa"/>
            <w:left w:w="15" w:type="dxa"/>
            <w:bottom w:w="15" w:type="dxa"/>
            <w:right w:w="15" w:type="dxa"/>
          </w:tblCellMar>
        </w:tblPrEx>
        <w:trPr>
          <w:trHeight w:val="286" w:hRule="atLeast"/>
          <w:jc w:val="center"/>
        </w:trPr>
        <w:tc>
          <w:tcPr>
            <w:tcW w:w="602" w:type="dxa"/>
            <w:shd w:val="clear" w:color="auto" w:fill="FFFFFF"/>
            <w:vAlign w:val="center"/>
          </w:tcPr>
          <w:p>
            <w:pPr>
              <w:jc w:val="center"/>
              <w:rPr>
                <w:rFonts w:ascii="Times New Roman" w:hAnsi="Times New Roman" w:eastAsia="仿宋_GB2312" w:cs="Times New Roman"/>
                <w:color w:val="000000"/>
                <w:sz w:val="20"/>
                <w:szCs w:val="20"/>
              </w:rPr>
            </w:pPr>
          </w:p>
        </w:tc>
        <w:tc>
          <w:tcPr>
            <w:tcW w:w="1085" w:type="dxa"/>
            <w:shd w:val="clear" w:color="auto" w:fill="FFFFFF"/>
            <w:vAlign w:val="center"/>
          </w:tcPr>
          <w:p>
            <w:pPr>
              <w:jc w:val="center"/>
              <w:rPr>
                <w:rFonts w:ascii="Times New Roman" w:hAnsi="Times New Roman" w:eastAsia="仿宋_GB2312" w:cs="Times New Roman"/>
                <w:color w:val="000000"/>
                <w:sz w:val="20"/>
                <w:szCs w:val="20"/>
              </w:rPr>
            </w:pPr>
          </w:p>
        </w:tc>
        <w:tc>
          <w:tcPr>
            <w:tcW w:w="2337" w:type="dxa"/>
            <w:shd w:val="clear" w:color="auto" w:fill="FFFFFF"/>
            <w:vAlign w:val="center"/>
          </w:tcPr>
          <w:p>
            <w:pPr>
              <w:jc w:val="center"/>
              <w:rPr>
                <w:rFonts w:ascii="Times New Roman" w:hAnsi="Times New Roman" w:eastAsia="仿宋_GB2312" w:cs="Times New Roman"/>
                <w:color w:val="000000"/>
                <w:sz w:val="20"/>
                <w:szCs w:val="20"/>
              </w:rPr>
            </w:pPr>
          </w:p>
        </w:tc>
        <w:tc>
          <w:tcPr>
            <w:tcW w:w="1925" w:type="dxa"/>
            <w:shd w:val="clear" w:color="auto" w:fill="FFFFFF"/>
            <w:vAlign w:val="center"/>
          </w:tcPr>
          <w:p>
            <w:pPr>
              <w:rPr>
                <w:rFonts w:ascii="Times New Roman" w:hAnsi="Times New Roman" w:eastAsia="仿宋_GB2312" w:cs="Times New Roman"/>
                <w:color w:val="000000"/>
                <w:sz w:val="20"/>
                <w:szCs w:val="20"/>
              </w:rPr>
            </w:pPr>
          </w:p>
        </w:tc>
        <w:tc>
          <w:tcPr>
            <w:tcW w:w="1980" w:type="dxa"/>
            <w:shd w:val="clear" w:color="auto" w:fill="FFFFFF"/>
            <w:vAlign w:val="center"/>
          </w:tcPr>
          <w:p>
            <w:pPr>
              <w:rPr>
                <w:rFonts w:ascii="Times New Roman" w:hAnsi="Times New Roman" w:eastAsia="仿宋_GB2312" w:cs="Times New Roman"/>
                <w:color w:val="000000"/>
                <w:sz w:val="20"/>
                <w:szCs w:val="20"/>
              </w:rPr>
            </w:pPr>
          </w:p>
        </w:tc>
        <w:tc>
          <w:tcPr>
            <w:tcW w:w="2030"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w:t>
            </w:r>
            <w:r>
              <w:rPr>
                <w:rStyle w:val="16"/>
                <w:rFonts w:hint="default" w:ascii="Times New Roman" w:hAnsi="Times New Roman" w:eastAsia="仿宋_GB2312" w:cs="Times New Roman"/>
                <w:lang w:bidi="ar"/>
              </w:rPr>
              <w:t>5表</w:t>
            </w:r>
          </w:p>
        </w:tc>
      </w:tr>
      <w:tr>
        <w:tblPrEx>
          <w:tblCellMar>
            <w:top w:w="15" w:type="dxa"/>
            <w:left w:w="15" w:type="dxa"/>
            <w:bottom w:w="15" w:type="dxa"/>
            <w:right w:w="15" w:type="dxa"/>
          </w:tblCellMar>
        </w:tblPrEx>
        <w:trPr>
          <w:trHeight w:val="327" w:hRule="atLeast"/>
          <w:jc w:val="center"/>
        </w:trPr>
        <w:tc>
          <w:tcPr>
            <w:tcW w:w="602" w:type="dxa"/>
            <w:shd w:val="clear" w:color="auto" w:fill="FFFFFF"/>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p>
        </w:tc>
        <w:tc>
          <w:tcPr>
            <w:tcW w:w="3422" w:type="dxa"/>
            <w:gridSpan w:val="2"/>
            <w:shd w:val="clear" w:color="auto" w:fill="FFFFFF"/>
            <w:vAlign w:val="center"/>
          </w:tcPr>
          <w:p>
            <w:pPr>
              <w:jc w:val="left"/>
              <w:rPr>
                <w:rFonts w:ascii="Times New Roman" w:hAnsi="Times New Roman" w:eastAsia="仿宋_GB2312" w:cs="Times New Roman"/>
                <w:color w:val="000000"/>
                <w:sz w:val="20"/>
                <w:szCs w:val="20"/>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石家庄市桥西区民政局（本级）</w:t>
            </w:r>
            <w:r>
              <w:rPr>
                <w:rFonts w:ascii="Times New Roman" w:hAnsi="Times New Roman" w:eastAsia="仿宋_GB2312" w:cs="Times New Roman"/>
                <w:color w:val="000000"/>
                <w:sz w:val="20"/>
                <w:szCs w:val="20"/>
              </w:rPr>
              <w:t xml:space="preserve">           </w:t>
            </w:r>
          </w:p>
        </w:tc>
        <w:tc>
          <w:tcPr>
            <w:tcW w:w="1925" w:type="dxa"/>
            <w:shd w:val="clear" w:color="auto" w:fill="FFFFFF"/>
            <w:vAlign w:val="center"/>
          </w:tcPr>
          <w:p>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980" w:type="dxa"/>
            <w:shd w:val="clear" w:color="auto" w:fill="FFFFFF"/>
            <w:vAlign w:val="center"/>
          </w:tcPr>
          <w:p>
            <w:pPr>
              <w:rPr>
                <w:rFonts w:ascii="Times New Roman" w:hAnsi="Times New Roman" w:eastAsia="仿宋_GB2312" w:cs="Times New Roman"/>
                <w:color w:val="000000"/>
                <w:sz w:val="20"/>
                <w:szCs w:val="20"/>
              </w:rPr>
            </w:pPr>
          </w:p>
        </w:tc>
        <w:tc>
          <w:tcPr>
            <w:tcW w:w="2030"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38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 xml:space="preserve">项 </w:t>
            </w:r>
            <w:r>
              <w:rPr>
                <w:rStyle w:val="17"/>
                <w:rFonts w:hint="default" w:ascii="Times New Roman" w:hAnsi="Times New Roman" w:eastAsia="仿宋_GB2312" w:cs="Times New Roman"/>
                <w:b/>
                <w:lang w:bidi="ar"/>
              </w:rPr>
              <w:t xml:space="preserve">   </w:t>
            </w:r>
            <w:r>
              <w:rPr>
                <w:rStyle w:val="18"/>
                <w:rFonts w:hint="default" w:ascii="Times New Roman" w:hAnsi="Times New Roman" w:eastAsia="仿宋_GB2312" w:cs="Times New Roman"/>
                <w:b/>
                <w:sz w:val="22"/>
                <w:szCs w:val="22"/>
                <w:lang w:bidi="ar"/>
              </w:rPr>
              <w:t>目</w:t>
            </w:r>
          </w:p>
        </w:tc>
        <w:tc>
          <w:tcPr>
            <w:tcW w:w="59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本年支出</w:t>
            </w:r>
          </w:p>
        </w:tc>
      </w:tr>
      <w:tr>
        <w:tblPrEx>
          <w:tblCellMar>
            <w:top w:w="15" w:type="dxa"/>
            <w:left w:w="15" w:type="dxa"/>
            <w:bottom w:w="15" w:type="dxa"/>
            <w:right w:w="15" w:type="dxa"/>
          </w:tblCellMar>
        </w:tblPrEx>
        <w:trPr>
          <w:trHeight w:val="360" w:hRule="atLeast"/>
          <w:jc w:val="center"/>
        </w:trPr>
        <w:tc>
          <w:tcPr>
            <w:tcW w:w="168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3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19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小计</w:t>
            </w:r>
          </w:p>
        </w:tc>
        <w:tc>
          <w:tcPr>
            <w:tcW w:w="19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 xml:space="preserve">基本支出  </w:t>
            </w:r>
          </w:p>
        </w:tc>
        <w:tc>
          <w:tcPr>
            <w:tcW w:w="20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项目支出</w:t>
            </w:r>
          </w:p>
        </w:tc>
      </w:tr>
      <w:tr>
        <w:tblPrEx>
          <w:tblCellMar>
            <w:top w:w="15" w:type="dxa"/>
            <w:left w:w="15" w:type="dxa"/>
            <w:bottom w:w="15" w:type="dxa"/>
            <w:right w:w="15" w:type="dxa"/>
          </w:tblCellMar>
        </w:tblPrEx>
        <w:trPr>
          <w:trHeight w:val="360" w:hRule="atLeast"/>
          <w:jc w:val="center"/>
        </w:trPr>
        <w:tc>
          <w:tcPr>
            <w:tcW w:w="16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9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9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0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312" w:hRule="atLeast"/>
          <w:jc w:val="center"/>
        </w:trPr>
        <w:tc>
          <w:tcPr>
            <w:tcW w:w="168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3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9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9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0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36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r>
      <w:tr>
        <w:tblPrEx>
          <w:tblCellMar>
            <w:top w:w="15" w:type="dxa"/>
            <w:left w:w="15" w:type="dxa"/>
            <w:bottom w:w="15" w:type="dxa"/>
            <w:right w:w="15" w:type="dxa"/>
          </w:tblCellMar>
        </w:tblPrEx>
        <w:trPr>
          <w:trHeight w:val="360" w:hRule="atLeast"/>
          <w:jc w:val="center"/>
        </w:trPr>
        <w:tc>
          <w:tcPr>
            <w:tcW w:w="40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5720.02</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542.49</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cs="Times New Roman"/>
                <w:sz w:val="20"/>
                <w:szCs w:val="20"/>
                <w:highlight w:val="none"/>
              </w:rPr>
              <w:t>5177.53</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5668.48</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490.94</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5177.53</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民政管理事务</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435.90</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334.32</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101.59</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334.32</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334.32</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85.86</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85.86</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2080208</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基层政权建设和社区治理</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10.99</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10.99</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2080299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其他民政管理事务支出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4.73</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4.73</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156.63</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156.63</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105.72</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105.72</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35.43</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35.43</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15.48</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15.48</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社会福利</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2879.71</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2879.71</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儿童福利</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85.96</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85.96</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老年福利</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2793.75</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2793.75</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残疾人事业</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540.27</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540.27</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2081107</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残疾人生活和护理补贴</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531.32</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531.32</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2081199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其他残疾人事业支出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8.95</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8.95</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最低生活保障</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1311.19</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1311.19</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城市最低生活保障金支出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1311.19</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1311.19</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临时救助</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19.75</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19.75</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临时救助支出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19.75</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19.75</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特困人员救助供养</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174.16</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174.16</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城市特困人员救助供养支出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174.16</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174.16</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其他生活救助</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150.87</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150.87</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其他城市生活救助</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150.87</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150.87</w:t>
            </w: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22.34</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360" w:hRule="atLeast"/>
          <w:jc w:val="center"/>
        </w:trPr>
        <w:tc>
          <w:tcPr>
            <w:tcW w:w="16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23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9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lang w:val="en-US" w:eastAsia="zh-CN"/>
              </w:rPr>
              <w:t>29.21</w:t>
            </w:r>
          </w:p>
        </w:tc>
        <w:tc>
          <w:tcPr>
            <w:tcW w:w="20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803" w:hRule="atLeast"/>
          <w:jc w:val="center"/>
        </w:trPr>
        <w:tc>
          <w:tcPr>
            <w:tcW w:w="9959" w:type="dxa"/>
            <w:gridSpan w:val="6"/>
            <w:shd w:val="clear" w:color="auto" w:fill="auto"/>
            <w:vAlign w:val="center"/>
          </w:tcPr>
          <w:p>
            <w:pPr>
              <w:widowControl/>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w:t>
            </w:r>
            <w:r>
              <w:rPr>
                <w:rFonts w:hint="eastAsia" w:ascii="Times New Roman" w:hAnsi="Times New Roman" w:eastAsia="仿宋_GB2312" w:cs="Times New Roman"/>
                <w:color w:val="000000"/>
                <w:kern w:val="0"/>
                <w:sz w:val="24"/>
                <w:szCs w:val="24"/>
                <w:lang w:eastAsia="zh-CN" w:bidi="ar"/>
              </w:rPr>
              <w:t>单位</w:t>
            </w:r>
            <w:r>
              <w:rPr>
                <w:rFonts w:ascii="Times New Roman" w:hAnsi="Times New Roman" w:eastAsia="仿宋_GB2312" w:cs="Times New Roman"/>
                <w:color w:val="000000"/>
                <w:kern w:val="0"/>
                <w:sz w:val="24"/>
                <w:szCs w:val="24"/>
                <w:lang w:bidi="ar"/>
              </w:rPr>
              <w:t>本年度一般公共预算财政拨款支出情况。</w:t>
            </w: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760" w:type="dxa"/>
        <w:jc w:val="center"/>
        <w:tblLayout w:type="fixed"/>
        <w:tblCellMar>
          <w:top w:w="15" w:type="dxa"/>
          <w:left w:w="15" w:type="dxa"/>
          <w:bottom w:w="15" w:type="dxa"/>
          <w:right w:w="15" w:type="dxa"/>
        </w:tblCellMar>
      </w:tblPr>
      <w:tblGrid>
        <w:gridCol w:w="663"/>
        <w:gridCol w:w="2202"/>
        <w:gridCol w:w="782"/>
        <w:gridCol w:w="634"/>
        <w:gridCol w:w="1871"/>
        <w:gridCol w:w="721"/>
        <w:gridCol w:w="615"/>
        <w:gridCol w:w="2543"/>
        <w:gridCol w:w="729"/>
      </w:tblGrid>
      <w:tr>
        <w:tblPrEx>
          <w:tblCellMar>
            <w:top w:w="15" w:type="dxa"/>
            <w:left w:w="15" w:type="dxa"/>
            <w:bottom w:w="15" w:type="dxa"/>
            <w:right w:w="15" w:type="dxa"/>
          </w:tblCellMar>
        </w:tblPrEx>
        <w:trPr>
          <w:trHeight w:val="619" w:hRule="atLeast"/>
          <w:jc w:val="center"/>
        </w:trPr>
        <w:tc>
          <w:tcPr>
            <w:tcW w:w="10760" w:type="dxa"/>
            <w:gridSpan w:val="9"/>
            <w:shd w:val="clear" w:color="auto" w:fill="FFFFFF"/>
            <w:vAlign w:val="center"/>
          </w:tcPr>
          <w:p>
            <w:pPr>
              <w:widowControl/>
              <w:tabs>
                <w:tab w:val="left" w:pos="3809"/>
              </w:tabs>
              <w:jc w:val="center"/>
              <w:textAlignment w:val="center"/>
              <w:rPr>
                <w:rFonts w:ascii="Times New Roman" w:hAnsi="Times New Roman" w:eastAsia="仿宋_GB2312" w:cs="Times New Roman"/>
                <w:color w:val="000000"/>
                <w:kern w:val="0"/>
                <w:sz w:val="20"/>
                <w:szCs w:val="20"/>
                <w:lang w:bidi="ar"/>
              </w:rPr>
            </w:pPr>
            <w:r>
              <w:rPr>
                <w:rFonts w:ascii="Times New Roman" w:hAnsi="Times New Roman" w:eastAsia="仿宋_GB2312" w:cs="Times New Roman"/>
                <w:b/>
                <w:bCs/>
                <w:color w:val="000000"/>
                <w:kern w:val="0"/>
                <w:sz w:val="32"/>
                <w:szCs w:val="32"/>
                <w:lang w:bidi="ar"/>
              </w:rPr>
              <w:t>一般公共预算财政拨款基本支出决算</w:t>
            </w:r>
            <w:r>
              <w:rPr>
                <w:rStyle w:val="19"/>
                <w:rFonts w:hint="default" w:ascii="Times New Roman" w:hAnsi="Times New Roman" w:eastAsia="仿宋_GB2312" w:cs="Times New Roman"/>
                <w:b/>
                <w:bCs/>
                <w:lang w:bidi="ar"/>
              </w:rPr>
              <w:t>明细</w:t>
            </w:r>
            <w:r>
              <w:rPr>
                <w:rStyle w:val="20"/>
                <w:rFonts w:hint="default" w:ascii="Times New Roman" w:hAnsi="Times New Roman" w:eastAsia="仿宋_GB2312" w:cs="Times New Roman"/>
                <w:b/>
                <w:bCs/>
                <w:lang w:bidi="ar"/>
              </w:rPr>
              <w:t>表</w:t>
            </w:r>
          </w:p>
        </w:tc>
      </w:tr>
      <w:tr>
        <w:tblPrEx>
          <w:tblCellMar>
            <w:top w:w="15" w:type="dxa"/>
            <w:left w:w="15" w:type="dxa"/>
            <w:bottom w:w="15" w:type="dxa"/>
            <w:right w:w="15" w:type="dxa"/>
          </w:tblCellMar>
        </w:tblPrEx>
        <w:trPr>
          <w:trHeight w:val="211" w:hRule="atLeast"/>
          <w:jc w:val="center"/>
        </w:trPr>
        <w:tc>
          <w:tcPr>
            <w:tcW w:w="663" w:type="dxa"/>
            <w:shd w:val="clear" w:color="auto" w:fill="FFFFFF"/>
            <w:vAlign w:val="center"/>
          </w:tcPr>
          <w:p>
            <w:pPr>
              <w:jc w:val="center"/>
              <w:rPr>
                <w:rFonts w:ascii="Times New Roman" w:hAnsi="Times New Roman" w:eastAsia="仿宋_GB2312" w:cs="Times New Roman"/>
                <w:color w:val="000000"/>
                <w:sz w:val="20"/>
                <w:szCs w:val="20"/>
              </w:rPr>
            </w:pPr>
          </w:p>
        </w:tc>
        <w:tc>
          <w:tcPr>
            <w:tcW w:w="2202" w:type="dxa"/>
            <w:shd w:val="clear" w:color="auto" w:fill="FFFFFF"/>
            <w:vAlign w:val="center"/>
          </w:tcPr>
          <w:p>
            <w:pPr>
              <w:jc w:val="center"/>
              <w:rPr>
                <w:rFonts w:ascii="Times New Roman" w:hAnsi="Times New Roman" w:eastAsia="仿宋_GB2312" w:cs="Times New Roman"/>
                <w:color w:val="000000"/>
                <w:sz w:val="20"/>
                <w:szCs w:val="20"/>
              </w:rPr>
            </w:pPr>
          </w:p>
        </w:tc>
        <w:tc>
          <w:tcPr>
            <w:tcW w:w="782" w:type="dxa"/>
            <w:shd w:val="clear" w:color="auto" w:fill="FFFFFF"/>
            <w:vAlign w:val="center"/>
          </w:tcPr>
          <w:p>
            <w:pPr>
              <w:jc w:val="center"/>
              <w:rPr>
                <w:rFonts w:ascii="Times New Roman" w:hAnsi="Times New Roman" w:eastAsia="仿宋_GB2312" w:cs="Times New Roman"/>
                <w:color w:val="000000"/>
                <w:sz w:val="20"/>
                <w:szCs w:val="20"/>
              </w:rPr>
            </w:pPr>
          </w:p>
        </w:tc>
        <w:tc>
          <w:tcPr>
            <w:tcW w:w="634" w:type="dxa"/>
            <w:shd w:val="clear" w:color="auto" w:fill="FFFFFF"/>
            <w:vAlign w:val="center"/>
          </w:tcPr>
          <w:p>
            <w:pPr>
              <w:rPr>
                <w:rFonts w:ascii="Times New Roman" w:hAnsi="Times New Roman" w:eastAsia="仿宋_GB2312" w:cs="Times New Roman"/>
                <w:color w:val="000000"/>
                <w:sz w:val="20"/>
                <w:szCs w:val="20"/>
              </w:rPr>
            </w:pPr>
          </w:p>
        </w:tc>
        <w:tc>
          <w:tcPr>
            <w:tcW w:w="1871" w:type="dxa"/>
            <w:shd w:val="clear" w:color="auto" w:fill="FFFFFF"/>
            <w:vAlign w:val="center"/>
          </w:tcPr>
          <w:p>
            <w:pPr>
              <w:rPr>
                <w:rFonts w:ascii="Times New Roman" w:hAnsi="Times New Roman" w:eastAsia="仿宋_GB2312" w:cs="Times New Roman"/>
                <w:color w:val="000000"/>
                <w:sz w:val="20"/>
                <w:szCs w:val="20"/>
              </w:rPr>
            </w:pPr>
          </w:p>
        </w:tc>
        <w:tc>
          <w:tcPr>
            <w:tcW w:w="721" w:type="dxa"/>
            <w:shd w:val="clear" w:color="auto" w:fill="FFFFFF"/>
            <w:vAlign w:val="center"/>
          </w:tcPr>
          <w:p>
            <w:pPr>
              <w:rPr>
                <w:rFonts w:ascii="Times New Roman" w:hAnsi="Times New Roman" w:eastAsia="仿宋_GB2312" w:cs="Times New Roman"/>
                <w:color w:val="000000"/>
                <w:sz w:val="20"/>
                <w:szCs w:val="20"/>
              </w:rPr>
            </w:pPr>
          </w:p>
        </w:tc>
        <w:tc>
          <w:tcPr>
            <w:tcW w:w="615" w:type="dxa"/>
            <w:shd w:val="clear" w:color="auto" w:fill="FFFFFF"/>
            <w:vAlign w:val="center"/>
          </w:tcPr>
          <w:p>
            <w:pPr>
              <w:rPr>
                <w:rFonts w:ascii="Times New Roman" w:hAnsi="Times New Roman" w:eastAsia="仿宋_GB2312" w:cs="Times New Roman"/>
                <w:color w:val="000000"/>
                <w:sz w:val="20"/>
                <w:szCs w:val="20"/>
              </w:rPr>
            </w:pPr>
          </w:p>
        </w:tc>
        <w:tc>
          <w:tcPr>
            <w:tcW w:w="3272" w:type="dxa"/>
            <w:gridSpan w:val="2"/>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公开06表</w:t>
            </w:r>
          </w:p>
        </w:tc>
      </w:tr>
      <w:tr>
        <w:tblPrEx>
          <w:tblCellMar>
            <w:top w:w="15" w:type="dxa"/>
            <w:left w:w="15" w:type="dxa"/>
            <w:bottom w:w="15" w:type="dxa"/>
            <w:right w:w="15" w:type="dxa"/>
          </w:tblCellMar>
        </w:tblPrEx>
        <w:trPr>
          <w:trHeight w:val="266" w:hRule="atLeast"/>
          <w:jc w:val="center"/>
        </w:trPr>
        <w:tc>
          <w:tcPr>
            <w:tcW w:w="663" w:type="dxa"/>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p>
        </w:tc>
        <w:tc>
          <w:tcPr>
            <w:tcW w:w="3618" w:type="dxa"/>
            <w:gridSpan w:val="3"/>
            <w:shd w:val="clear" w:color="auto" w:fill="auto"/>
            <w:vAlign w:val="center"/>
          </w:tcPr>
          <w:p>
            <w:pPr>
              <w:rPr>
                <w:rFonts w:ascii="Times New Roman" w:hAnsi="Times New Roman" w:eastAsia="仿宋_GB2312" w:cs="Times New Roman"/>
                <w:color w:val="000000"/>
                <w:sz w:val="20"/>
                <w:szCs w:val="20"/>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石家庄市桥西区民政局（本级）</w:t>
            </w:r>
          </w:p>
        </w:tc>
        <w:tc>
          <w:tcPr>
            <w:tcW w:w="1871" w:type="dxa"/>
            <w:shd w:val="clear" w:color="auto" w:fill="auto"/>
            <w:vAlign w:val="center"/>
          </w:tcPr>
          <w:p>
            <w:pPr>
              <w:ind w:firstLine="600" w:firstLineChars="300"/>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721" w:type="dxa"/>
            <w:shd w:val="clear" w:color="auto" w:fill="auto"/>
            <w:vAlign w:val="center"/>
          </w:tcPr>
          <w:p>
            <w:pPr>
              <w:rPr>
                <w:rFonts w:ascii="Times New Roman" w:hAnsi="Times New Roman" w:eastAsia="仿宋_GB2312" w:cs="Times New Roman"/>
                <w:color w:val="000000"/>
                <w:sz w:val="20"/>
                <w:szCs w:val="20"/>
              </w:rPr>
            </w:pPr>
          </w:p>
        </w:tc>
        <w:tc>
          <w:tcPr>
            <w:tcW w:w="615" w:type="dxa"/>
            <w:shd w:val="clear" w:color="auto" w:fill="auto"/>
            <w:vAlign w:val="center"/>
          </w:tcPr>
          <w:p>
            <w:pPr>
              <w:rPr>
                <w:rFonts w:ascii="Times New Roman" w:hAnsi="Times New Roman" w:eastAsia="仿宋_GB2312" w:cs="Times New Roman"/>
                <w:color w:val="000000"/>
                <w:sz w:val="20"/>
                <w:szCs w:val="20"/>
              </w:rPr>
            </w:pPr>
          </w:p>
        </w:tc>
        <w:tc>
          <w:tcPr>
            <w:tcW w:w="3272" w:type="dxa"/>
            <w:gridSpan w:val="2"/>
            <w:shd w:val="clear" w:color="auto" w:fill="auto"/>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629"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科目代码</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科目名称</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工资福利支出</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kern w:val="2"/>
                <w:sz w:val="18"/>
                <w:szCs w:val="18"/>
                <w:highlight w:val="none"/>
                <w:u w:val="none"/>
                <w:lang w:val="en-US" w:eastAsia="zh-CN" w:bidi="ar-SA"/>
              </w:rPr>
            </w:pPr>
            <w:r>
              <w:rPr>
                <w:rFonts w:hint="eastAsia" w:ascii="Times New Roman" w:hAnsi="Times New Roman" w:cs="Times New Roman"/>
                <w:sz w:val="18"/>
                <w:szCs w:val="18"/>
                <w:highlight w:val="none"/>
                <w:lang w:eastAsia="zh-CN"/>
              </w:rPr>
              <w:t>404.68</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商品和服务支出</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kern w:val="2"/>
                <w:sz w:val="18"/>
                <w:szCs w:val="18"/>
                <w:highlight w:val="none"/>
                <w:u w:val="none"/>
                <w:lang w:val="en-US" w:eastAsia="zh-CN" w:bidi="ar-SA"/>
              </w:rPr>
            </w:pPr>
            <w:r>
              <w:rPr>
                <w:rFonts w:hint="eastAsia" w:ascii="Times New Roman" w:hAnsi="Times New Roman" w:cs="Times New Roman"/>
                <w:sz w:val="18"/>
                <w:szCs w:val="18"/>
                <w:highlight w:val="none"/>
                <w:lang w:eastAsia="zh-CN"/>
              </w:rPr>
              <w:t>35.81</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债务利息及费用支出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30101</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基本工资</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kern w:val="2"/>
                <w:sz w:val="18"/>
                <w:szCs w:val="18"/>
                <w:highlight w:val="none"/>
                <w:u w:val="none"/>
                <w:lang w:val="en-US" w:eastAsia="zh-CN" w:bidi="ar-SA"/>
              </w:rPr>
            </w:pPr>
            <w:r>
              <w:rPr>
                <w:rFonts w:hint="eastAsia" w:ascii="Times New Roman" w:hAnsi="Times New Roman" w:cs="Times New Roman"/>
                <w:sz w:val="18"/>
                <w:szCs w:val="18"/>
                <w:highlight w:val="none"/>
                <w:lang w:eastAsia="zh-CN"/>
              </w:rPr>
              <w:t>78.67</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办公费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r>
              <w:rPr>
                <w:rFonts w:hint="eastAsia" w:ascii="Times New Roman" w:hAnsi="Times New Roman" w:cs="Times New Roman"/>
                <w:sz w:val="18"/>
                <w:szCs w:val="18"/>
                <w:highlight w:val="none"/>
                <w:lang w:eastAsia="zh-CN"/>
              </w:rPr>
              <w:t>3.22</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30701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国内债务付息</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30102</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津贴补贴</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kern w:val="2"/>
                <w:sz w:val="18"/>
                <w:szCs w:val="18"/>
                <w:highlight w:val="none"/>
                <w:u w:val="none"/>
                <w:lang w:val="en-US" w:eastAsia="zh-CN" w:bidi="ar-SA"/>
              </w:rPr>
            </w:pPr>
            <w:r>
              <w:rPr>
                <w:rFonts w:hint="eastAsia" w:ascii="Times New Roman" w:hAnsi="Times New Roman" w:cs="Times New Roman"/>
                <w:sz w:val="18"/>
                <w:szCs w:val="18"/>
                <w:highlight w:val="none"/>
                <w:lang w:eastAsia="zh-CN"/>
              </w:rPr>
              <w:t>100.77</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印刷费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30702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国外债务付息</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30103</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奖金</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kern w:val="2"/>
                <w:sz w:val="18"/>
                <w:szCs w:val="18"/>
                <w:highlight w:val="none"/>
                <w:u w:val="none"/>
                <w:lang w:val="en-US" w:eastAsia="zh-CN" w:bidi="ar-SA"/>
              </w:rPr>
            </w:pPr>
            <w:r>
              <w:rPr>
                <w:rFonts w:hint="eastAsia" w:ascii="Times New Roman" w:hAnsi="Times New Roman" w:cs="Times New Roman"/>
                <w:sz w:val="18"/>
                <w:szCs w:val="18"/>
                <w:highlight w:val="none"/>
                <w:lang w:eastAsia="zh-CN"/>
              </w:rPr>
              <w:t>31.73</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30203</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咨询费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资本性支出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30106</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伙食补助费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手续费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房屋建筑物购建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30107</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绩效工资</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kern w:val="2"/>
                <w:sz w:val="18"/>
                <w:szCs w:val="18"/>
                <w:highlight w:val="none"/>
                <w:u w:val="none"/>
                <w:lang w:val="en-US" w:eastAsia="zh-CN" w:bidi="ar-SA"/>
              </w:rPr>
            </w:pPr>
            <w:r>
              <w:rPr>
                <w:rFonts w:hint="eastAsia" w:ascii="Times New Roman" w:hAnsi="Times New Roman" w:cs="Times New Roman"/>
                <w:sz w:val="18"/>
                <w:szCs w:val="18"/>
                <w:highlight w:val="none"/>
                <w:lang w:eastAsia="zh-CN"/>
              </w:rPr>
              <w:t>68.21</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水费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r>
              <w:rPr>
                <w:rFonts w:hint="eastAsia" w:ascii="Times New Roman" w:hAnsi="Times New Roman" w:cs="Times New Roman"/>
                <w:sz w:val="18"/>
                <w:szCs w:val="18"/>
                <w:highlight w:val="none"/>
                <w:lang w:eastAsia="zh-CN"/>
              </w:rPr>
              <w:t>0.20</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办公设备购置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294"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30108</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5"/>
                <w:szCs w:val="15"/>
                <w:lang w:bidi="ar"/>
              </w:rPr>
              <w:t>机关事业单位基本养老保险缴费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r>
              <w:rPr>
                <w:rFonts w:hint="eastAsia" w:ascii="Times New Roman" w:hAnsi="Times New Roman" w:cs="Times New Roman"/>
                <w:sz w:val="18"/>
                <w:szCs w:val="18"/>
                <w:highlight w:val="none"/>
                <w:lang w:eastAsia="zh-CN"/>
              </w:rPr>
              <w:t>35.43</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电费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r>
              <w:rPr>
                <w:rFonts w:hint="eastAsia" w:ascii="Times New Roman" w:hAnsi="Times New Roman" w:cs="Times New Roman"/>
                <w:sz w:val="18"/>
                <w:szCs w:val="18"/>
                <w:highlight w:val="none"/>
                <w:lang w:eastAsia="zh-CN"/>
              </w:rPr>
              <w:t>0.80</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31003</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专用设备购置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30109</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职业年金缴费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r>
              <w:rPr>
                <w:rFonts w:hint="eastAsia" w:ascii="Times New Roman" w:hAnsi="Times New Roman" w:cs="Times New Roman"/>
                <w:sz w:val="18"/>
                <w:szCs w:val="18"/>
                <w:highlight w:val="none"/>
                <w:lang w:eastAsia="zh-CN"/>
              </w:rPr>
              <w:t>15.48</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邮电费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cs="Times New Roman" w:eastAsiaTheme="minorEastAsia"/>
                <w:kern w:val="2"/>
                <w:sz w:val="18"/>
                <w:szCs w:val="18"/>
                <w:highlight w:val="none"/>
                <w:lang w:val="en-US" w:eastAsia="zh-CN" w:bidi="ar-SA"/>
              </w:rPr>
            </w:pPr>
            <w:r>
              <w:rPr>
                <w:rFonts w:hint="eastAsia" w:ascii="Times New Roman" w:hAnsi="Times New Roman" w:cs="Times New Roman"/>
                <w:sz w:val="18"/>
                <w:szCs w:val="18"/>
                <w:highlight w:val="none"/>
                <w:lang w:eastAsia="zh-CN"/>
              </w:rPr>
              <w:t>9.51</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31005</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基础设施建设</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30110</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职工基本医疗保险缴费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22.34</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取暖费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31006</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大型修缮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30111</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公务员医疗补助缴费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30209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物业管理费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信息网络及软件购置更新</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30112</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其他社会保障缴费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6.21</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差旅费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0.54</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31008</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物资储备</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30113</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住房公积金</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29.21</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30212</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lang w:bidi="ar"/>
              </w:rPr>
              <w:t>因公出国（境）费用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31009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土地补偿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30114</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医疗费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30213</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维修（护）费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1.83</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安置补助</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30199</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其他工资福利支出</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16.63</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租赁费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地上附着物和青苗补偿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对个人和家庭的补助</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102.00</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会议费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拆迁补偿</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30301</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离休费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培训费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0.24</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31013</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公务用车购置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30302</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退休费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101.08</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公务接待费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31019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其他交通工具购置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30303</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退职（役）费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30218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专用材料费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31021</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文物和陈列品购置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30304</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抚恤金</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30224</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被装购置费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31022</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无形资产购置</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30305</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生活补助</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30225</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专用燃料费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31099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其他资本性支出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30306</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救济费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30226</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劳务费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30307</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医疗费补助</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30227</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委托业务费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39907</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国家赔偿费用支出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462"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30308</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助学金</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30228</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工会经费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2.63</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39908</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对民间非营利组织和群众性自治组织补贴</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30309</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奖励金</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0.92</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30229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福利费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1.70</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39909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经常性赠与</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30310</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个人农业生产补贴</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30231</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lang w:bidi="ar"/>
              </w:rPr>
              <w:t>公务用车运行维护费</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2.20</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39910</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资本性赠与</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3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30311</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代缴社会保险费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30239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其他交通费用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7.67</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39999</w:t>
            </w: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其他支出</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293"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30399</w:t>
            </w: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其他对个人和家庭的补助</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30240</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税金及附加费用</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8"/>
                <w:szCs w:val="18"/>
              </w:rPr>
            </w:pP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8"/>
                <w:szCs w:val="18"/>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230" w:hRule="atLeast"/>
          <w:jc w:val="center"/>
        </w:trPr>
        <w:tc>
          <w:tcPr>
            <w:tcW w:w="6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c>
          <w:tcPr>
            <w:tcW w:w="22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20"/>
                <w:szCs w:val="20"/>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30299</w:t>
            </w:r>
          </w:p>
        </w:tc>
        <w:tc>
          <w:tcPr>
            <w:tcW w:w="18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16"/>
                <w:szCs w:val="16"/>
                <w:lang w:bidi="ar"/>
              </w:rPr>
              <w:t>其他商品和服务支出</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cs="Times New Roman" w:eastAsiaTheme="minorEastAsia"/>
                <w:i w:val="0"/>
                <w:iCs w:val="0"/>
                <w:color w:val="000000"/>
                <w:kern w:val="2"/>
                <w:sz w:val="18"/>
                <w:szCs w:val="18"/>
                <w:highlight w:val="none"/>
                <w:u w:val="none"/>
                <w:lang w:val="en-US" w:eastAsia="zh-CN" w:bidi="ar-SA"/>
              </w:rPr>
            </w:pPr>
            <w:r>
              <w:rPr>
                <w:rFonts w:hint="default" w:ascii="Times New Roman" w:hAnsi="Times New Roman" w:cs="Times New Roman" w:eastAsiaTheme="minorEastAsia"/>
                <w:sz w:val="18"/>
                <w:szCs w:val="18"/>
                <w:highlight w:val="none"/>
              </w:rPr>
              <w:t>5.27</w:t>
            </w:r>
          </w:p>
        </w:tc>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8"/>
                <w:szCs w:val="18"/>
              </w:rPr>
            </w:pPr>
          </w:p>
        </w:tc>
        <w:tc>
          <w:tcPr>
            <w:tcW w:w="25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Times New Roman" w:hAnsi="Times New Roman" w:eastAsia="仿宋_GB2312" w:cs="Times New Roman"/>
                <w:color w:val="000000"/>
                <w:sz w:val="18"/>
                <w:szCs w:val="18"/>
              </w:rPr>
            </w:pP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trHeight w:val="343" w:hRule="atLeast"/>
          <w:jc w:val="center"/>
        </w:trPr>
        <w:tc>
          <w:tcPr>
            <w:tcW w:w="28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人员经费合计</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仿宋_GB2312" w:cs="Times New Roman"/>
                <w:color w:val="000000"/>
                <w:sz w:val="20"/>
                <w:szCs w:val="20"/>
                <w:lang w:val="en-US" w:eastAsia="zh-CN"/>
              </w:rPr>
            </w:pPr>
            <w:r>
              <w:rPr>
                <w:rFonts w:hint="eastAsia" w:ascii="Times New Roman" w:hAnsi="Times New Roman" w:eastAsia="仿宋_GB2312" w:cs="Times New Roman"/>
                <w:color w:val="000000"/>
                <w:sz w:val="20"/>
                <w:szCs w:val="20"/>
                <w:lang w:val="en-US" w:eastAsia="zh-CN"/>
              </w:rPr>
              <w:t>506.68</w:t>
            </w:r>
          </w:p>
        </w:tc>
        <w:tc>
          <w:tcPr>
            <w:tcW w:w="638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公用经费合计</w:t>
            </w:r>
          </w:p>
        </w:tc>
        <w:tc>
          <w:tcPr>
            <w:tcW w:w="72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仿宋_GB2312" w:cs="Times New Roman"/>
                <w:color w:val="000000"/>
                <w:sz w:val="18"/>
                <w:szCs w:val="18"/>
                <w:lang w:val="en-US" w:eastAsia="zh-CN"/>
              </w:rPr>
            </w:pPr>
            <w:r>
              <w:rPr>
                <w:rFonts w:hint="eastAsia" w:ascii="Times New Roman" w:hAnsi="Times New Roman" w:eastAsia="仿宋_GB2312" w:cs="Times New Roman"/>
                <w:color w:val="000000"/>
                <w:sz w:val="18"/>
                <w:szCs w:val="18"/>
                <w:lang w:val="en-US" w:eastAsia="zh-CN"/>
              </w:rPr>
              <w:t>35.81</w:t>
            </w: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r>
        <w:rPr>
          <w:rFonts w:ascii="Times New Roman" w:hAnsi="Times New Roman" w:eastAsia="仿宋_GB2312" w:cs="Times New Roman"/>
          <w:color w:val="000000"/>
          <w:kern w:val="0"/>
          <w:sz w:val="24"/>
          <w:szCs w:val="24"/>
          <w:lang w:bidi="ar"/>
        </w:rPr>
        <w:t>注：本表反映</w:t>
      </w:r>
      <w:r>
        <w:rPr>
          <w:rFonts w:hint="eastAsia" w:ascii="Times New Roman" w:hAnsi="Times New Roman" w:eastAsia="仿宋_GB2312" w:cs="Times New Roman"/>
          <w:color w:val="000000"/>
          <w:kern w:val="0"/>
          <w:sz w:val="24"/>
          <w:szCs w:val="24"/>
          <w:lang w:eastAsia="zh-CN" w:bidi="ar"/>
        </w:rPr>
        <w:t>单位</w:t>
      </w:r>
      <w:r>
        <w:rPr>
          <w:rFonts w:ascii="Times New Roman" w:hAnsi="Times New Roman" w:eastAsia="仿宋_GB2312" w:cs="Times New Roman"/>
          <w:color w:val="000000"/>
          <w:kern w:val="0"/>
          <w:sz w:val="24"/>
          <w:szCs w:val="24"/>
          <w:lang w:bidi="ar"/>
        </w:rPr>
        <w:t>本年度一般公共预算财政拨款基本支出明细情况。</w:t>
      </w:r>
    </w:p>
    <w:tbl>
      <w:tblPr>
        <w:tblStyle w:val="8"/>
        <w:tblW w:w="10350" w:type="dxa"/>
        <w:jc w:val="center"/>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tblPrEx>
          <w:tblCellMar>
            <w:top w:w="15" w:type="dxa"/>
            <w:left w:w="15" w:type="dxa"/>
            <w:bottom w:w="15" w:type="dxa"/>
            <w:right w:w="15" w:type="dxa"/>
          </w:tblCellMar>
        </w:tblPrEx>
        <w:trPr>
          <w:trHeight w:val="600" w:hRule="atLeast"/>
          <w:jc w:val="center"/>
        </w:trPr>
        <w:tc>
          <w:tcPr>
            <w:tcW w:w="10350" w:type="dxa"/>
            <w:gridSpan w:val="9"/>
            <w:shd w:val="clear" w:color="auto" w:fill="FFFFFF"/>
            <w:vAlign w:val="center"/>
          </w:tcPr>
          <w:p>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政府性基金预算财政拨款收入支出决算表</w:t>
            </w:r>
          </w:p>
        </w:tc>
      </w:tr>
      <w:tr>
        <w:tblPrEx>
          <w:tblCellMar>
            <w:top w:w="15" w:type="dxa"/>
            <w:left w:w="15" w:type="dxa"/>
            <w:bottom w:w="15" w:type="dxa"/>
            <w:right w:w="15" w:type="dxa"/>
          </w:tblCellMar>
        </w:tblPrEx>
        <w:trPr>
          <w:trHeight w:val="211" w:hRule="atLeast"/>
          <w:jc w:val="center"/>
        </w:trPr>
        <w:tc>
          <w:tcPr>
            <w:tcW w:w="555" w:type="dxa"/>
            <w:shd w:val="clear" w:color="auto" w:fill="FFFFFF"/>
            <w:vAlign w:val="center"/>
          </w:tcPr>
          <w:p>
            <w:pPr>
              <w:jc w:val="center"/>
              <w:rPr>
                <w:rFonts w:ascii="Times New Roman" w:hAnsi="Times New Roman" w:eastAsia="仿宋_GB2312" w:cs="Times New Roman"/>
                <w:color w:val="000000"/>
                <w:sz w:val="20"/>
                <w:szCs w:val="20"/>
              </w:rPr>
            </w:pPr>
          </w:p>
        </w:tc>
        <w:tc>
          <w:tcPr>
            <w:tcW w:w="1080" w:type="dxa"/>
            <w:shd w:val="clear" w:color="auto" w:fill="FFFFFF"/>
            <w:vAlign w:val="center"/>
          </w:tcPr>
          <w:p>
            <w:pPr>
              <w:jc w:val="center"/>
              <w:rPr>
                <w:rFonts w:ascii="Times New Roman" w:hAnsi="Times New Roman" w:eastAsia="仿宋_GB2312" w:cs="Times New Roman"/>
                <w:color w:val="000000"/>
                <w:sz w:val="20"/>
                <w:szCs w:val="20"/>
              </w:rPr>
            </w:pPr>
          </w:p>
        </w:tc>
        <w:tc>
          <w:tcPr>
            <w:tcW w:w="1321" w:type="dxa"/>
            <w:shd w:val="clear" w:color="auto" w:fill="FFFFFF"/>
            <w:vAlign w:val="center"/>
          </w:tcPr>
          <w:p>
            <w:pPr>
              <w:jc w:val="center"/>
              <w:rPr>
                <w:rFonts w:ascii="Times New Roman" w:hAnsi="Times New Roman" w:eastAsia="仿宋_GB2312" w:cs="Times New Roman"/>
                <w:color w:val="000000"/>
                <w:sz w:val="20"/>
                <w:szCs w:val="20"/>
              </w:rPr>
            </w:pPr>
          </w:p>
        </w:tc>
        <w:tc>
          <w:tcPr>
            <w:tcW w:w="1996" w:type="dxa"/>
            <w:shd w:val="clear" w:color="auto" w:fill="auto"/>
            <w:vAlign w:val="bottom"/>
          </w:tcPr>
          <w:p>
            <w:pPr>
              <w:rPr>
                <w:rFonts w:ascii="Times New Roman" w:hAnsi="Times New Roman" w:eastAsia="仿宋_GB2312" w:cs="Times New Roman"/>
                <w:color w:val="000000"/>
                <w:sz w:val="24"/>
              </w:rPr>
            </w:pPr>
          </w:p>
        </w:tc>
        <w:tc>
          <w:tcPr>
            <w:tcW w:w="1080" w:type="dxa"/>
            <w:shd w:val="clear" w:color="auto" w:fill="auto"/>
            <w:vAlign w:val="bottom"/>
          </w:tcPr>
          <w:p>
            <w:pPr>
              <w:rPr>
                <w:rFonts w:ascii="Times New Roman" w:hAnsi="Times New Roman" w:eastAsia="仿宋_GB2312" w:cs="Times New Roman"/>
                <w:color w:val="000000"/>
                <w:sz w:val="24"/>
              </w:rPr>
            </w:pPr>
          </w:p>
        </w:tc>
        <w:tc>
          <w:tcPr>
            <w:tcW w:w="1080" w:type="dxa"/>
            <w:shd w:val="clear" w:color="auto" w:fill="auto"/>
            <w:vAlign w:val="bottom"/>
          </w:tcPr>
          <w:p>
            <w:pPr>
              <w:rPr>
                <w:rFonts w:ascii="Times New Roman" w:hAnsi="Times New Roman" w:eastAsia="仿宋_GB2312" w:cs="Times New Roman"/>
                <w:color w:val="000000"/>
                <w:sz w:val="24"/>
              </w:rPr>
            </w:pPr>
          </w:p>
        </w:tc>
        <w:tc>
          <w:tcPr>
            <w:tcW w:w="1080" w:type="dxa"/>
            <w:shd w:val="clear" w:color="auto" w:fill="auto"/>
            <w:vAlign w:val="bottom"/>
          </w:tcPr>
          <w:p>
            <w:pPr>
              <w:rPr>
                <w:rFonts w:ascii="Times New Roman" w:hAnsi="Times New Roman" w:eastAsia="仿宋_GB2312" w:cs="Times New Roman"/>
                <w:color w:val="000000"/>
                <w:sz w:val="24"/>
              </w:rPr>
            </w:pPr>
          </w:p>
        </w:tc>
        <w:tc>
          <w:tcPr>
            <w:tcW w:w="1081" w:type="dxa"/>
            <w:shd w:val="clear" w:color="auto" w:fill="auto"/>
            <w:vAlign w:val="bottom"/>
          </w:tcPr>
          <w:p>
            <w:pPr>
              <w:rPr>
                <w:rFonts w:ascii="Times New Roman" w:hAnsi="Times New Roman" w:eastAsia="仿宋_GB2312" w:cs="Times New Roman"/>
                <w:color w:val="000000"/>
                <w:sz w:val="24"/>
              </w:rPr>
            </w:pPr>
          </w:p>
        </w:tc>
        <w:tc>
          <w:tcPr>
            <w:tcW w:w="1077"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公开07表</w:t>
            </w:r>
          </w:p>
        </w:tc>
      </w:tr>
      <w:tr>
        <w:tblPrEx>
          <w:tblCellMar>
            <w:top w:w="15" w:type="dxa"/>
            <w:left w:w="15" w:type="dxa"/>
            <w:bottom w:w="15" w:type="dxa"/>
            <w:right w:w="15" w:type="dxa"/>
          </w:tblCellMar>
        </w:tblPrEx>
        <w:trPr>
          <w:trHeight w:val="192" w:hRule="atLeast"/>
          <w:jc w:val="center"/>
        </w:trPr>
        <w:tc>
          <w:tcPr>
            <w:tcW w:w="555" w:type="dxa"/>
            <w:shd w:val="clear" w:color="auto" w:fill="FFFFFF"/>
            <w:vAlign w:val="center"/>
          </w:tcPr>
          <w:p>
            <w:pPr>
              <w:widowControl/>
              <w:jc w:val="lef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p>
        </w:tc>
        <w:tc>
          <w:tcPr>
            <w:tcW w:w="4397" w:type="dxa"/>
            <w:gridSpan w:val="3"/>
            <w:shd w:val="clear" w:color="auto" w:fill="FFFFFF"/>
            <w:vAlign w:val="center"/>
          </w:tcPr>
          <w:p>
            <w:pPr>
              <w:rPr>
                <w:rFonts w:hint="eastAsia" w:ascii="Times New Roman" w:hAnsi="Times New Roman" w:eastAsia="仿宋_GB2312" w:cs="Times New Roman"/>
                <w:color w:val="000000"/>
                <w:sz w:val="20"/>
                <w:szCs w:val="20"/>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石家庄市桥西区民政局（本级）</w:t>
            </w:r>
          </w:p>
        </w:tc>
        <w:tc>
          <w:tcPr>
            <w:tcW w:w="1080" w:type="dxa"/>
            <w:shd w:val="clear" w:color="auto" w:fill="FFFFFF"/>
            <w:vAlign w:val="center"/>
          </w:tcPr>
          <w:p>
            <w:pP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1080" w:type="dxa"/>
            <w:shd w:val="clear" w:color="auto" w:fill="FFFFFF"/>
            <w:vAlign w:val="center"/>
          </w:tcPr>
          <w:p>
            <w:pPr>
              <w:rPr>
                <w:rFonts w:ascii="Times New Roman" w:hAnsi="Times New Roman" w:eastAsia="仿宋_GB2312" w:cs="Times New Roman"/>
                <w:color w:val="000000"/>
                <w:sz w:val="20"/>
                <w:szCs w:val="20"/>
              </w:rPr>
            </w:pPr>
          </w:p>
        </w:tc>
        <w:tc>
          <w:tcPr>
            <w:tcW w:w="1080" w:type="dxa"/>
            <w:shd w:val="clear" w:color="auto" w:fill="FFFFFF"/>
            <w:vAlign w:val="center"/>
          </w:tcPr>
          <w:p>
            <w:pPr>
              <w:rPr>
                <w:rFonts w:ascii="Times New Roman" w:hAnsi="Times New Roman" w:eastAsia="仿宋_GB2312" w:cs="Times New Roman"/>
                <w:color w:val="000000"/>
                <w:sz w:val="20"/>
                <w:szCs w:val="20"/>
              </w:rPr>
            </w:pPr>
          </w:p>
        </w:tc>
        <w:tc>
          <w:tcPr>
            <w:tcW w:w="1081" w:type="dxa"/>
            <w:shd w:val="clear" w:color="auto" w:fill="FFFFFF"/>
            <w:vAlign w:val="center"/>
          </w:tcPr>
          <w:p>
            <w:pPr>
              <w:rPr>
                <w:rFonts w:ascii="Times New Roman" w:hAnsi="Times New Roman" w:eastAsia="仿宋_GB2312" w:cs="Times New Roman"/>
                <w:color w:val="000000"/>
                <w:sz w:val="20"/>
                <w:szCs w:val="20"/>
              </w:rPr>
            </w:pPr>
          </w:p>
        </w:tc>
        <w:tc>
          <w:tcPr>
            <w:tcW w:w="1077"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405"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项    </w:t>
            </w:r>
            <w:r>
              <w:rPr>
                <w:rStyle w:val="21"/>
                <w:rFonts w:hint="default" w:ascii="Times New Roman" w:hAnsi="Times New Roman" w:eastAsia="仿宋_GB2312" w:cs="Times New Roman"/>
                <w:b/>
                <w:bCs/>
                <w:sz w:val="22"/>
                <w:szCs w:val="22"/>
                <w:lang w:bidi="ar"/>
              </w:rPr>
              <w:t>目</w:t>
            </w:r>
          </w:p>
        </w:tc>
        <w:tc>
          <w:tcPr>
            <w:tcW w:w="1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本年收入</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年末结转和结余</w:t>
            </w:r>
          </w:p>
        </w:tc>
      </w:tr>
      <w:tr>
        <w:tblPrEx>
          <w:tblCellMar>
            <w:top w:w="15" w:type="dxa"/>
            <w:left w:w="15" w:type="dxa"/>
            <w:bottom w:w="15" w:type="dxa"/>
            <w:right w:w="15" w:type="dxa"/>
          </w:tblCellMar>
        </w:tblPrEx>
        <w:trPr>
          <w:trHeight w:val="540" w:hRule="atLeast"/>
          <w:jc w:val="center"/>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基本支出  </w:t>
            </w:r>
          </w:p>
        </w:tc>
        <w:tc>
          <w:tcPr>
            <w:tcW w:w="10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r>
      <w:tr>
        <w:tblPrEx>
          <w:tblCellMar>
            <w:top w:w="15" w:type="dxa"/>
            <w:left w:w="15" w:type="dxa"/>
            <w:bottom w:w="15" w:type="dxa"/>
            <w:right w:w="15" w:type="dxa"/>
          </w:tblCellMar>
        </w:tblPrEx>
        <w:trPr>
          <w:trHeight w:val="36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50" w:hRule="atLeast"/>
          <w:jc w:val="center"/>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6</w:t>
            </w:r>
          </w:p>
        </w:tc>
      </w:tr>
      <w:tr>
        <w:tblPrEx>
          <w:tblCellMar>
            <w:top w:w="15" w:type="dxa"/>
            <w:left w:w="15" w:type="dxa"/>
            <w:bottom w:w="15" w:type="dxa"/>
            <w:right w:w="15" w:type="dxa"/>
          </w:tblCellMar>
        </w:tblPrEx>
        <w:trPr>
          <w:trHeight w:val="450" w:hRule="atLeast"/>
          <w:jc w:val="center"/>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rPr>
              <w:t>2059.63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rPr>
              <w:t>2059.63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i w:val="0"/>
                <w:iCs w:val="0"/>
                <w:color w:val="000000"/>
                <w:sz w:val="20"/>
                <w:szCs w:val="20"/>
                <w:highlight w:val="none"/>
                <w:u w:val="none"/>
              </w:rPr>
              <w:t>2059.63</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彩票公益金安排的支出</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450" w:hRule="atLeast"/>
          <w:jc w:val="center"/>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2296002</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方正仿宋_GB2312" w:hAnsi="方正仿宋_GB2312" w:eastAsia="方正仿宋_GB2312" w:cs="方正仿宋_GB2312"/>
                <w:i w:val="0"/>
                <w:iCs w:val="0"/>
                <w:color w:val="000000"/>
                <w:kern w:val="2"/>
                <w:sz w:val="20"/>
                <w:szCs w:val="20"/>
                <w:highlight w:val="none"/>
                <w:u w:val="none"/>
                <w:lang w:val="en-US" w:eastAsia="zh-CN" w:bidi="ar-SA"/>
              </w:rPr>
            </w:pPr>
            <w:r>
              <w:rPr>
                <w:rFonts w:hint="eastAsia" w:ascii="方正仿宋_GB2312" w:hAnsi="方正仿宋_GB2312" w:eastAsia="方正仿宋_GB2312" w:cs="方正仿宋_GB2312"/>
                <w:i w:val="0"/>
                <w:iCs w:val="0"/>
                <w:color w:val="000000"/>
                <w:sz w:val="20"/>
                <w:szCs w:val="20"/>
                <w:highlight w:val="none"/>
                <w:u w:val="none"/>
                <w:lang w:val="en-US" w:eastAsia="zh-CN"/>
              </w:rPr>
              <w:t>用于社会福利的彩票公益金支出</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r>
              <w:rPr>
                <w:rFonts w:hint="default" w:ascii="Times New Roman" w:hAnsi="Times New Roman" w:eastAsia="宋体" w:cs="Times New Roman"/>
                <w:spacing w:val="-2"/>
                <w:sz w:val="20"/>
                <w:szCs w:val="20"/>
                <w:highlight w:val="none"/>
                <w:lang w:val="en-US" w:eastAsia="zh-CN"/>
              </w:rPr>
              <w:t>2059.63</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iCs w:val="0"/>
                <w:color w:val="000000"/>
                <w:kern w:val="2"/>
                <w:sz w:val="20"/>
                <w:szCs w:val="20"/>
                <w:highlight w:val="none"/>
                <w:u w:val="none"/>
                <w:lang w:val="en-US" w:eastAsia="zh-CN" w:bidi="ar-SA"/>
              </w:rPr>
            </w:pPr>
          </w:p>
        </w:tc>
      </w:tr>
      <w:tr>
        <w:tblPrEx>
          <w:tblCellMar>
            <w:top w:w="15" w:type="dxa"/>
            <w:left w:w="15" w:type="dxa"/>
            <w:bottom w:w="15" w:type="dxa"/>
            <w:right w:w="15" w:type="dxa"/>
          </w:tblCellMar>
        </w:tblPrEx>
        <w:trPr>
          <w:trHeight w:val="645" w:hRule="atLeast"/>
          <w:jc w:val="center"/>
        </w:trPr>
        <w:tc>
          <w:tcPr>
            <w:tcW w:w="10350" w:type="dxa"/>
            <w:gridSpan w:val="9"/>
            <w:shd w:val="clear" w:color="auto" w:fill="auto"/>
            <w:vAlign w:val="center"/>
          </w:tcPr>
          <w:p>
            <w:pPr>
              <w:rPr>
                <w:rFonts w:ascii="Times New Roman" w:hAnsi="Times New Roman" w:eastAsia="仿宋_GB2312" w:cs="Times New Roman"/>
                <w:b/>
              </w:rPr>
            </w:pPr>
            <w:r>
              <w:rPr>
                <w:rFonts w:ascii="Times New Roman" w:hAnsi="Times New Roman" w:eastAsia="仿宋_GB2312" w:cs="Times New Roman"/>
                <w:color w:val="000000"/>
                <w:kern w:val="0"/>
                <w:sz w:val="24"/>
                <w:szCs w:val="24"/>
                <w:lang w:bidi="ar"/>
              </w:rPr>
              <w:t>注：本表反映</w:t>
            </w:r>
            <w:r>
              <w:rPr>
                <w:rFonts w:hint="eastAsia" w:ascii="Times New Roman" w:hAnsi="Times New Roman" w:eastAsia="仿宋_GB2312" w:cs="Times New Roman"/>
                <w:color w:val="000000"/>
                <w:kern w:val="0"/>
                <w:sz w:val="24"/>
                <w:szCs w:val="24"/>
                <w:lang w:eastAsia="zh-CN" w:bidi="ar"/>
              </w:rPr>
              <w:t>单位</w:t>
            </w:r>
            <w:r>
              <w:rPr>
                <w:rFonts w:ascii="Times New Roman" w:hAnsi="Times New Roman" w:eastAsia="仿宋_GB2312" w:cs="Times New Roman"/>
                <w:color w:val="000000"/>
                <w:kern w:val="0"/>
                <w:sz w:val="24"/>
                <w:szCs w:val="24"/>
                <w:lang w:bidi="ar"/>
              </w:rPr>
              <w:t>本年度政府性基金预算财政拨款收入、支出及结转和结余情况。</w:t>
            </w:r>
          </w:p>
          <w:p>
            <w:pPr>
              <w:widowControl/>
              <w:jc w:val="left"/>
              <w:textAlignment w:val="center"/>
              <w:rPr>
                <w:rFonts w:ascii="Times New Roman" w:hAnsi="Times New Roman" w:eastAsia="仿宋_GB2312" w:cs="Times New Roman"/>
                <w:color w:val="000000"/>
                <w:sz w:val="24"/>
              </w:rPr>
            </w:pP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0422" w:type="dxa"/>
        <w:jc w:val="center"/>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blPrEx>
          <w:tblCellMar>
            <w:top w:w="15" w:type="dxa"/>
            <w:left w:w="15" w:type="dxa"/>
            <w:bottom w:w="15" w:type="dxa"/>
            <w:right w:w="15" w:type="dxa"/>
          </w:tblCellMar>
        </w:tblPrEx>
        <w:trPr>
          <w:trHeight w:val="720" w:hRule="atLeast"/>
          <w:jc w:val="center"/>
        </w:trPr>
        <w:tc>
          <w:tcPr>
            <w:tcW w:w="10422" w:type="dxa"/>
            <w:gridSpan w:val="9"/>
            <w:shd w:val="clear" w:color="auto" w:fill="FFFFFF"/>
            <w:vAlign w:val="center"/>
          </w:tcPr>
          <w:p>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国有资本经营预算财政拨款支出决算表</w:t>
            </w:r>
          </w:p>
        </w:tc>
      </w:tr>
      <w:tr>
        <w:tblPrEx>
          <w:tblCellMar>
            <w:top w:w="15" w:type="dxa"/>
            <w:left w:w="15" w:type="dxa"/>
            <w:bottom w:w="15" w:type="dxa"/>
            <w:right w:w="15" w:type="dxa"/>
          </w:tblCellMar>
        </w:tblPrEx>
        <w:trPr>
          <w:trHeight w:val="286" w:hRule="atLeast"/>
          <w:jc w:val="center"/>
        </w:trPr>
        <w:tc>
          <w:tcPr>
            <w:tcW w:w="1016" w:type="dxa"/>
            <w:shd w:val="clear" w:color="auto" w:fill="FFFFFF"/>
            <w:vAlign w:val="center"/>
          </w:tcPr>
          <w:p>
            <w:pPr>
              <w:jc w:val="center"/>
              <w:rPr>
                <w:rFonts w:ascii="Times New Roman" w:hAnsi="Times New Roman" w:eastAsia="仿宋_GB2312" w:cs="Times New Roman"/>
                <w:color w:val="000000"/>
                <w:sz w:val="20"/>
                <w:szCs w:val="20"/>
              </w:rPr>
            </w:pPr>
          </w:p>
        </w:tc>
        <w:tc>
          <w:tcPr>
            <w:tcW w:w="995" w:type="dxa"/>
            <w:gridSpan w:val="2"/>
            <w:shd w:val="clear" w:color="auto" w:fill="FFFFFF"/>
            <w:vAlign w:val="center"/>
          </w:tcPr>
          <w:p>
            <w:pPr>
              <w:jc w:val="center"/>
              <w:rPr>
                <w:rFonts w:ascii="Times New Roman" w:hAnsi="Times New Roman" w:eastAsia="仿宋_GB2312" w:cs="Times New Roman"/>
                <w:color w:val="000000"/>
                <w:sz w:val="20"/>
                <w:szCs w:val="20"/>
              </w:rPr>
            </w:pPr>
          </w:p>
        </w:tc>
        <w:tc>
          <w:tcPr>
            <w:tcW w:w="1056" w:type="dxa"/>
            <w:shd w:val="clear" w:color="auto" w:fill="FFFFFF"/>
            <w:vAlign w:val="center"/>
          </w:tcPr>
          <w:p>
            <w:pPr>
              <w:jc w:val="center"/>
              <w:rPr>
                <w:rFonts w:ascii="Times New Roman" w:hAnsi="Times New Roman" w:eastAsia="仿宋_GB2312" w:cs="Times New Roman"/>
                <w:color w:val="000000"/>
                <w:sz w:val="20"/>
                <w:szCs w:val="20"/>
              </w:rPr>
            </w:pPr>
          </w:p>
        </w:tc>
        <w:tc>
          <w:tcPr>
            <w:tcW w:w="3181" w:type="dxa"/>
            <w:gridSpan w:val="2"/>
            <w:shd w:val="clear" w:color="auto" w:fill="FFFFFF"/>
            <w:vAlign w:val="center"/>
          </w:tcPr>
          <w:p>
            <w:pPr>
              <w:rPr>
                <w:rFonts w:ascii="Times New Roman" w:hAnsi="Times New Roman" w:eastAsia="仿宋_GB2312" w:cs="Times New Roman"/>
                <w:color w:val="000000"/>
                <w:sz w:val="20"/>
                <w:szCs w:val="20"/>
              </w:rPr>
            </w:pPr>
          </w:p>
        </w:tc>
        <w:tc>
          <w:tcPr>
            <w:tcW w:w="1036" w:type="dxa"/>
            <w:shd w:val="clear" w:color="auto" w:fill="FFFFFF"/>
            <w:vAlign w:val="center"/>
          </w:tcPr>
          <w:p>
            <w:pPr>
              <w:rPr>
                <w:rFonts w:ascii="Times New Roman" w:hAnsi="Times New Roman" w:eastAsia="仿宋_GB2312" w:cs="Times New Roman"/>
                <w:color w:val="000000"/>
                <w:sz w:val="20"/>
                <w:szCs w:val="20"/>
              </w:rPr>
            </w:pPr>
          </w:p>
        </w:tc>
        <w:tc>
          <w:tcPr>
            <w:tcW w:w="3138" w:type="dxa"/>
            <w:gridSpan w:val="2"/>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公开08表</w:t>
            </w:r>
          </w:p>
        </w:tc>
      </w:tr>
      <w:tr>
        <w:tblPrEx>
          <w:tblCellMar>
            <w:top w:w="15" w:type="dxa"/>
            <w:left w:w="15" w:type="dxa"/>
            <w:bottom w:w="15" w:type="dxa"/>
            <w:right w:w="15" w:type="dxa"/>
          </w:tblCellMar>
        </w:tblPrEx>
        <w:trPr>
          <w:trHeight w:val="286" w:hRule="atLeast"/>
          <w:jc w:val="center"/>
        </w:trPr>
        <w:tc>
          <w:tcPr>
            <w:tcW w:w="6248" w:type="dxa"/>
            <w:gridSpan w:val="6"/>
            <w:shd w:val="clear" w:color="auto" w:fill="FFFFFF"/>
            <w:vAlign w:val="center"/>
          </w:tcPr>
          <w:p>
            <w:pPr>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石家庄市桥西区民政局（本级）                  </w:t>
            </w:r>
            <w:r>
              <w:rPr>
                <w:rFonts w:ascii="Times New Roman" w:hAnsi="Times New Roman" w:eastAsia="仿宋_GB2312" w:cs="Times New Roman"/>
                <w:color w:val="000000"/>
                <w:sz w:val="20"/>
                <w:szCs w:val="20"/>
              </w:rPr>
              <w:t>2024年度</w:t>
            </w:r>
          </w:p>
        </w:tc>
        <w:tc>
          <w:tcPr>
            <w:tcW w:w="1036" w:type="dxa"/>
            <w:shd w:val="clear" w:color="auto" w:fill="FFFFFF"/>
            <w:vAlign w:val="center"/>
          </w:tcPr>
          <w:p>
            <w:pPr>
              <w:rPr>
                <w:rFonts w:ascii="Times New Roman" w:hAnsi="Times New Roman" w:eastAsia="仿宋_GB2312" w:cs="Times New Roman"/>
                <w:color w:val="000000"/>
                <w:sz w:val="20"/>
                <w:szCs w:val="20"/>
              </w:rPr>
            </w:pPr>
          </w:p>
        </w:tc>
        <w:tc>
          <w:tcPr>
            <w:tcW w:w="3138" w:type="dxa"/>
            <w:gridSpan w:val="2"/>
            <w:shd w:val="clear" w:color="auto" w:fill="FFFFFF"/>
            <w:vAlign w:val="center"/>
          </w:tcPr>
          <w:p>
            <w:pPr>
              <w:widowControl/>
              <w:jc w:val="right"/>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r>
      <w:tr>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    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本年支出</w:t>
            </w:r>
          </w:p>
        </w:tc>
      </w:tr>
      <w:tr>
        <w:tblPrEx>
          <w:tblCellMar>
            <w:top w:w="15" w:type="dxa"/>
            <w:left w:w="15" w:type="dxa"/>
            <w:bottom w:w="15" w:type="dxa"/>
            <w:right w:w="15" w:type="dxa"/>
          </w:tblCellMar>
        </w:tblPrEx>
        <w:trPr>
          <w:trHeight w:val="390" w:hRule="atLeast"/>
          <w:jc w:val="center"/>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项目支出</w:t>
            </w:r>
          </w:p>
        </w:tc>
      </w:tr>
      <w:tr>
        <w:tblPrEx>
          <w:tblCellMar>
            <w:top w:w="15" w:type="dxa"/>
            <w:left w:w="15" w:type="dxa"/>
            <w:bottom w:w="15" w:type="dxa"/>
            <w:right w:w="15" w:type="dxa"/>
          </w:tblCellMar>
        </w:tblPrEx>
        <w:trPr>
          <w:trHeight w:val="390"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312" w:hRule="atLeast"/>
          <w:jc w:val="center"/>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4"/>
              </w:rPr>
            </w:pPr>
          </w:p>
        </w:tc>
      </w:tr>
      <w:tr>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r>
      <w:tr>
        <w:tblPrEx>
          <w:tblCellMar>
            <w:top w:w="15" w:type="dxa"/>
            <w:left w:w="15" w:type="dxa"/>
            <w:bottom w:w="15" w:type="dxa"/>
            <w:right w:w="15" w:type="dxa"/>
          </w:tblCellMar>
        </w:tblPrEx>
        <w:trPr>
          <w:trHeight w:val="390" w:hRule="atLeast"/>
          <w:jc w:val="center"/>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color w:val="000000"/>
                <w:sz w:val="22"/>
              </w:rPr>
            </w:pPr>
          </w:p>
        </w:tc>
      </w:tr>
      <w:tr>
        <w:tblPrEx>
          <w:tblCellMar>
            <w:top w:w="15" w:type="dxa"/>
            <w:left w:w="15" w:type="dxa"/>
            <w:bottom w:w="15" w:type="dxa"/>
            <w:right w:w="15" w:type="dxa"/>
          </w:tblCellMar>
        </w:tblPrEx>
        <w:trPr>
          <w:trHeight w:val="720" w:hRule="atLeast"/>
          <w:jc w:val="center"/>
        </w:trPr>
        <w:tc>
          <w:tcPr>
            <w:tcW w:w="10422" w:type="dxa"/>
            <w:gridSpan w:val="9"/>
            <w:shd w:val="clear" w:color="auto" w:fill="auto"/>
            <w:vAlign w:val="center"/>
          </w:tcPr>
          <w:p>
            <w:pPr>
              <w:rPr>
                <w:rFonts w:hint="default" w:ascii="Times New Roman" w:hAnsi="Times New Roman" w:eastAsia="仿宋_GB2312" w:cs="Times New Roman"/>
                <w:color w:val="000000"/>
                <w:kern w:val="0"/>
                <w:sz w:val="24"/>
                <w:szCs w:val="24"/>
                <w:lang w:val="en-US" w:eastAsia="zh-CN" w:bidi="ar"/>
              </w:rPr>
            </w:pPr>
            <w:r>
              <w:rPr>
                <w:rFonts w:ascii="Times New Roman" w:hAnsi="Times New Roman" w:eastAsia="仿宋_GB2312" w:cs="Times New Roman"/>
                <w:color w:val="000000"/>
                <w:kern w:val="0"/>
                <w:sz w:val="24"/>
                <w:szCs w:val="24"/>
                <w:lang w:bidi="ar"/>
              </w:rPr>
              <w:t>注：本表反映</w:t>
            </w:r>
            <w:r>
              <w:rPr>
                <w:rFonts w:hint="eastAsia" w:ascii="Times New Roman" w:hAnsi="Times New Roman" w:eastAsia="仿宋_GB2312" w:cs="Times New Roman"/>
                <w:color w:val="000000"/>
                <w:kern w:val="0"/>
                <w:sz w:val="24"/>
                <w:szCs w:val="24"/>
                <w:lang w:eastAsia="zh-CN" w:bidi="ar"/>
              </w:rPr>
              <w:t>单位</w:t>
            </w:r>
            <w:r>
              <w:rPr>
                <w:rFonts w:ascii="Times New Roman" w:hAnsi="Times New Roman" w:eastAsia="仿宋_GB2312" w:cs="Times New Roman"/>
                <w:color w:val="000000"/>
                <w:kern w:val="0"/>
                <w:sz w:val="24"/>
                <w:szCs w:val="24"/>
                <w:lang w:bidi="ar"/>
              </w:rPr>
              <w:t>本年度国有资本经营预算财政拨款支出情况。</w:t>
            </w:r>
            <w:r>
              <w:rPr>
                <w:rFonts w:hint="eastAsia" w:ascii="Times New Roman" w:hAnsi="Times New Roman" w:eastAsia="仿宋_GB2312" w:cs="Times New Roman"/>
                <w:color w:val="000000"/>
                <w:kern w:val="0"/>
                <w:sz w:val="24"/>
                <w:szCs w:val="24"/>
                <w:lang w:val="en-US" w:eastAsia="zh-CN" w:bidi="ar"/>
              </w:rPr>
              <w:t>本部门</w:t>
            </w:r>
            <w:r>
              <w:rPr>
                <w:rFonts w:ascii="Times New Roman" w:hAnsi="Times New Roman" w:eastAsia="仿宋_GB2312" w:cs="Times New Roman"/>
                <w:color w:val="000000"/>
                <w:kern w:val="0"/>
                <w:sz w:val="24"/>
                <w:szCs w:val="24"/>
                <w:lang w:bidi="ar"/>
              </w:rPr>
              <w:t>本年度</w:t>
            </w:r>
            <w:r>
              <w:rPr>
                <w:rFonts w:hint="eastAsia" w:ascii="Times New Roman" w:hAnsi="Times New Roman" w:eastAsia="仿宋_GB2312" w:cs="Times New Roman"/>
                <w:color w:val="000000"/>
                <w:kern w:val="0"/>
                <w:sz w:val="24"/>
                <w:szCs w:val="24"/>
                <w:lang w:val="en-US" w:eastAsia="zh-CN" w:bidi="ar"/>
              </w:rPr>
              <w:t>无相关收入支出及结转结余情况，按要求以空表列示。</w:t>
            </w:r>
          </w:p>
          <w:p>
            <w:pPr>
              <w:widowControl/>
              <w:jc w:val="left"/>
              <w:textAlignment w:val="center"/>
              <w:rPr>
                <w:rFonts w:ascii="Times New Roman" w:hAnsi="Times New Roman" w:eastAsia="仿宋_GB2312" w:cs="Times New Roman"/>
                <w:color w:val="000000"/>
                <w:sz w:val="24"/>
              </w:rPr>
            </w:pPr>
          </w:p>
        </w:tc>
      </w:tr>
    </w:tbl>
    <w:p>
      <w:pPr>
        <w:rPr>
          <w:rFonts w:ascii="Times New Roman" w:hAnsi="Times New Roman" w:eastAsia="仿宋_GB2312" w:cs="Times New Roman"/>
        </w:rPr>
        <w:sectPr>
          <w:pgSz w:w="11906" w:h="16838"/>
          <w:pgMar w:top="1474" w:right="1474" w:bottom="1474" w:left="1474" w:header="851" w:footer="992" w:gutter="0"/>
          <w:cols w:space="0" w:num="1"/>
          <w:docGrid w:type="lines" w:linePitch="312" w:charSpace="0"/>
        </w:sectPr>
      </w:pPr>
    </w:p>
    <w:tbl>
      <w:tblPr>
        <w:tblStyle w:val="8"/>
        <w:tblW w:w="13090" w:type="dxa"/>
        <w:tblInd w:w="-552" w:type="dxa"/>
        <w:tblLayout w:type="fixed"/>
        <w:tblCellMar>
          <w:top w:w="15" w:type="dxa"/>
          <w:left w:w="15" w:type="dxa"/>
          <w:bottom w:w="15" w:type="dxa"/>
          <w:right w:w="15" w:type="dxa"/>
        </w:tblCellMar>
      </w:tblPr>
      <w:tblGrid>
        <w:gridCol w:w="723"/>
        <w:gridCol w:w="468"/>
        <w:gridCol w:w="357"/>
        <w:gridCol w:w="711"/>
        <w:gridCol w:w="77"/>
        <w:gridCol w:w="881"/>
        <w:gridCol w:w="97"/>
        <w:gridCol w:w="939"/>
        <w:gridCol w:w="116"/>
        <w:gridCol w:w="1056"/>
        <w:gridCol w:w="240"/>
        <w:gridCol w:w="740"/>
        <w:gridCol w:w="768"/>
        <w:gridCol w:w="492"/>
        <w:gridCol w:w="165"/>
        <w:gridCol w:w="731"/>
        <w:gridCol w:w="172"/>
        <w:gridCol w:w="803"/>
        <w:gridCol w:w="252"/>
        <w:gridCol w:w="939"/>
        <w:gridCol w:w="116"/>
        <w:gridCol w:w="240"/>
        <w:gridCol w:w="240"/>
        <w:gridCol w:w="1767"/>
      </w:tblGrid>
      <w:tr>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pPr>
              <w:widowControl/>
              <w:jc w:val="center"/>
              <w:textAlignment w:val="center"/>
              <w:rPr>
                <w:rFonts w:ascii="Times New Roman" w:hAnsi="Times New Roman" w:eastAsia="仿宋_GB2312" w:cs="Times New Roman"/>
                <w:b/>
                <w:bCs/>
                <w:color w:val="000000"/>
                <w:sz w:val="32"/>
                <w:szCs w:val="32"/>
              </w:rPr>
            </w:pPr>
            <w:r>
              <w:rPr>
                <w:rFonts w:ascii="Times New Roman" w:hAnsi="Times New Roman" w:eastAsia="仿宋_GB2312" w:cs="Times New Roman"/>
                <w:b/>
                <w:bCs/>
                <w:color w:val="000000"/>
                <w:kern w:val="0"/>
                <w:sz w:val="32"/>
                <w:szCs w:val="32"/>
                <w:lang w:bidi="ar"/>
              </w:rPr>
              <w:t>财政拨款“三公”经费支出决算表</w:t>
            </w:r>
          </w:p>
        </w:tc>
      </w:tr>
      <w:tr>
        <w:tblPrEx>
          <w:tblCellMar>
            <w:top w:w="15" w:type="dxa"/>
            <w:left w:w="15" w:type="dxa"/>
            <w:bottom w:w="15" w:type="dxa"/>
            <w:right w:w="15" w:type="dxa"/>
          </w:tblCellMar>
        </w:tblPrEx>
        <w:trPr>
          <w:gridAfter w:val="1"/>
          <w:wAfter w:w="1767" w:type="dxa"/>
          <w:trHeight w:val="211" w:hRule="atLeast"/>
        </w:trPr>
        <w:tc>
          <w:tcPr>
            <w:tcW w:w="1191" w:type="dxa"/>
            <w:gridSpan w:val="2"/>
            <w:shd w:val="clear" w:color="auto" w:fill="auto"/>
            <w:vAlign w:val="center"/>
          </w:tcPr>
          <w:p>
            <w:pPr>
              <w:jc w:val="center"/>
              <w:rPr>
                <w:rFonts w:ascii="Times New Roman" w:hAnsi="Times New Roman" w:eastAsia="仿宋_GB2312" w:cs="Times New Roman"/>
                <w:color w:val="000000"/>
                <w:sz w:val="24"/>
              </w:rPr>
            </w:pPr>
          </w:p>
        </w:tc>
        <w:tc>
          <w:tcPr>
            <w:tcW w:w="1068" w:type="dxa"/>
            <w:gridSpan w:val="2"/>
            <w:shd w:val="clear" w:color="auto" w:fill="auto"/>
            <w:vAlign w:val="center"/>
          </w:tcPr>
          <w:p>
            <w:pPr>
              <w:jc w:val="center"/>
              <w:rPr>
                <w:rFonts w:ascii="Times New Roman" w:hAnsi="Times New Roman" w:eastAsia="仿宋_GB2312" w:cs="Times New Roman"/>
                <w:color w:val="000000"/>
                <w:sz w:val="24"/>
              </w:rPr>
            </w:pPr>
          </w:p>
        </w:tc>
        <w:tc>
          <w:tcPr>
            <w:tcW w:w="1055" w:type="dxa"/>
            <w:gridSpan w:val="3"/>
            <w:shd w:val="clear" w:color="auto" w:fill="auto"/>
            <w:vAlign w:val="center"/>
          </w:tcPr>
          <w:p>
            <w:pPr>
              <w:jc w:val="center"/>
              <w:rPr>
                <w:rFonts w:ascii="Times New Roman" w:hAnsi="Times New Roman" w:eastAsia="仿宋_GB2312" w:cs="Times New Roman"/>
                <w:color w:val="000000"/>
                <w:sz w:val="24"/>
              </w:rPr>
            </w:pPr>
          </w:p>
        </w:tc>
        <w:tc>
          <w:tcPr>
            <w:tcW w:w="1055" w:type="dxa"/>
            <w:gridSpan w:val="2"/>
            <w:shd w:val="clear" w:color="auto" w:fill="auto"/>
            <w:vAlign w:val="center"/>
          </w:tcPr>
          <w:p>
            <w:pPr>
              <w:rPr>
                <w:rFonts w:ascii="Times New Roman" w:hAnsi="Times New Roman" w:eastAsia="仿宋_GB2312" w:cs="Times New Roman"/>
                <w:color w:val="000000"/>
                <w:sz w:val="24"/>
              </w:rPr>
            </w:pPr>
          </w:p>
        </w:tc>
        <w:tc>
          <w:tcPr>
            <w:tcW w:w="1056" w:type="dxa"/>
            <w:shd w:val="clear" w:color="auto" w:fill="auto"/>
            <w:vAlign w:val="center"/>
          </w:tcPr>
          <w:p>
            <w:pPr>
              <w:rPr>
                <w:rFonts w:ascii="Times New Roman" w:hAnsi="Times New Roman" w:eastAsia="仿宋_GB2312" w:cs="Times New Roman"/>
                <w:color w:val="000000"/>
                <w:sz w:val="24"/>
              </w:rPr>
            </w:pPr>
          </w:p>
        </w:tc>
        <w:tc>
          <w:tcPr>
            <w:tcW w:w="240" w:type="dxa"/>
            <w:shd w:val="clear" w:color="auto" w:fill="auto"/>
            <w:vAlign w:val="center"/>
          </w:tcPr>
          <w:p>
            <w:pPr>
              <w:widowControl/>
              <w:jc w:val="right"/>
              <w:textAlignment w:val="center"/>
              <w:rPr>
                <w:rFonts w:ascii="Times New Roman" w:hAnsi="Times New Roman" w:eastAsia="仿宋_GB2312" w:cs="Times New Roman"/>
                <w:color w:val="000000"/>
                <w:sz w:val="24"/>
              </w:rPr>
            </w:pPr>
          </w:p>
        </w:tc>
        <w:tc>
          <w:tcPr>
            <w:tcW w:w="2000" w:type="dxa"/>
            <w:gridSpan w:val="3"/>
            <w:shd w:val="clear" w:color="auto" w:fill="auto"/>
            <w:vAlign w:val="bottom"/>
          </w:tcPr>
          <w:p>
            <w:pPr>
              <w:jc w:val="right"/>
              <w:rPr>
                <w:rFonts w:ascii="Times New Roman" w:hAnsi="Times New Roman" w:eastAsia="仿宋_GB2312" w:cs="Times New Roman"/>
                <w:color w:val="000000"/>
                <w:sz w:val="24"/>
              </w:rPr>
            </w:pPr>
          </w:p>
        </w:tc>
        <w:tc>
          <w:tcPr>
            <w:tcW w:w="1068" w:type="dxa"/>
            <w:gridSpan w:val="3"/>
            <w:shd w:val="clear" w:color="auto" w:fill="auto"/>
            <w:vAlign w:val="bottom"/>
          </w:tcPr>
          <w:p>
            <w:pPr>
              <w:wordWrap w:val="0"/>
              <w:jc w:val="right"/>
              <w:rPr>
                <w:rFonts w:ascii="Times New Roman" w:hAnsi="Times New Roman" w:eastAsia="仿宋_GB2312" w:cs="Times New Roman"/>
                <w:color w:val="000000"/>
                <w:sz w:val="24"/>
              </w:rPr>
            </w:pPr>
            <w:r>
              <w:rPr>
                <w:rFonts w:ascii="Times New Roman" w:hAnsi="Times New Roman" w:eastAsia="仿宋_GB2312" w:cs="Times New Roman"/>
                <w:color w:val="000000"/>
                <w:sz w:val="24"/>
                <w:szCs w:val="24"/>
              </w:rPr>
              <w:t xml:space="preserve">    </w:t>
            </w:r>
          </w:p>
        </w:tc>
        <w:tc>
          <w:tcPr>
            <w:tcW w:w="1055" w:type="dxa"/>
            <w:gridSpan w:val="2"/>
            <w:shd w:val="clear" w:color="auto" w:fill="auto"/>
            <w:vAlign w:val="bottom"/>
          </w:tcPr>
          <w:p>
            <w:pPr>
              <w:jc w:val="right"/>
              <w:rPr>
                <w:rFonts w:ascii="Times New Roman" w:hAnsi="Times New Roman" w:eastAsia="仿宋_GB2312" w:cs="Times New Roman"/>
                <w:color w:val="000000"/>
                <w:sz w:val="24"/>
              </w:rPr>
            </w:pPr>
          </w:p>
        </w:tc>
        <w:tc>
          <w:tcPr>
            <w:tcW w:w="1055" w:type="dxa"/>
            <w:gridSpan w:val="2"/>
            <w:shd w:val="clear" w:color="auto" w:fill="auto"/>
            <w:vAlign w:val="bottom"/>
          </w:tcPr>
          <w:p>
            <w:pPr>
              <w:jc w:val="left"/>
              <w:rPr>
                <w:rFonts w:ascii="Times New Roman" w:hAnsi="Times New Roman" w:eastAsia="仿宋_GB2312" w:cs="Times New Roman"/>
                <w:color w:val="000000"/>
                <w:sz w:val="24"/>
              </w:rPr>
            </w:pPr>
            <w:r>
              <w:rPr>
                <w:rFonts w:ascii="Times New Roman" w:hAnsi="Times New Roman" w:eastAsia="仿宋_GB2312" w:cs="Times New Roman"/>
                <w:color w:val="000000"/>
                <w:szCs w:val="21"/>
              </w:rPr>
              <w:t>公开</w:t>
            </w:r>
            <w:r>
              <w:rPr>
                <w:rFonts w:ascii="Times New Roman" w:hAnsi="Times New Roman" w:eastAsia="仿宋_GB2312" w:cs="Times New Roman"/>
                <w:color w:val="000000"/>
                <w:sz w:val="20"/>
                <w:szCs w:val="20"/>
              </w:rPr>
              <w:t>09</w:t>
            </w:r>
            <w:r>
              <w:rPr>
                <w:rFonts w:ascii="Times New Roman" w:hAnsi="Times New Roman" w:eastAsia="仿宋_GB2312" w:cs="Times New Roman"/>
                <w:color w:val="000000"/>
                <w:szCs w:val="21"/>
              </w:rPr>
              <w:t>表</w:t>
            </w:r>
          </w:p>
        </w:tc>
        <w:tc>
          <w:tcPr>
            <w:tcW w:w="240" w:type="dxa"/>
            <w:shd w:val="clear" w:color="auto" w:fill="auto"/>
            <w:vAlign w:val="bottom"/>
          </w:tcPr>
          <w:p>
            <w:pPr>
              <w:rPr>
                <w:rFonts w:ascii="Times New Roman" w:hAnsi="Times New Roman" w:eastAsia="仿宋_GB2312" w:cs="Times New Roman"/>
                <w:color w:val="000000"/>
                <w:sz w:val="24"/>
              </w:rPr>
            </w:pPr>
          </w:p>
        </w:tc>
        <w:tc>
          <w:tcPr>
            <w:tcW w:w="240"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gridAfter w:val="1"/>
          <w:wAfter w:w="1767" w:type="dxa"/>
          <w:trHeight w:val="301" w:hRule="atLeast"/>
        </w:trPr>
        <w:tc>
          <w:tcPr>
            <w:tcW w:w="4369" w:type="dxa"/>
            <w:gridSpan w:val="9"/>
            <w:shd w:val="clear" w:color="auto" w:fill="FFFFFF"/>
            <w:vAlign w:val="center"/>
          </w:tcPr>
          <w:p>
            <w:pPr>
              <w:jc w:val="left"/>
              <w:rPr>
                <w:rFonts w:hint="eastAsia" w:ascii="Times New Roman" w:hAnsi="Times New Roman" w:eastAsia="仿宋_GB2312" w:cs="Times New Roman"/>
                <w:color w:val="000000"/>
                <w:sz w:val="20"/>
                <w:szCs w:val="20"/>
                <w:lang w:val="en-US" w:eastAsia="zh-CN"/>
              </w:rPr>
            </w:pPr>
            <w:r>
              <w:rPr>
                <w:rFonts w:ascii="Times New Roman" w:hAnsi="Times New Roman" w:eastAsia="仿宋_GB2312" w:cs="Times New Roman"/>
                <w:color w:val="000000"/>
                <w:kern w:val="0"/>
                <w:sz w:val="20"/>
                <w:szCs w:val="20"/>
                <w:lang w:bidi="ar"/>
              </w:rPr>
              <w:t>部门：</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石家庄市桥西区民政局（本级）</w:t>
            </w:r>
          </w:p>
        </w:tc>
        <w:tc>
          <w:tcPr>
            <w:tcW w:w="1056" w:type="dxa"/>
            <w:shd w:val="clear" w:color="auto" w:fill="FFFFFF"/>
            <w:vAlign w:val="center"/>
          </w:tcPr>
          <w:p>
            <w:pPr>
              <w:jc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2024年度</w:t>
            </w:r>
          </w:p>
        </w:tc>
        <w:tc>
          <w:tcPr>
            <w:tcW w:w="240" w:type="dxa"/>
            <w:shd w:val="clear" w:color="auto" w:fill="FFFFFF"/>
            <w:vAlign w:val="center"/>
          </w:tcPr>
          <w:p>
            <w:pPr>
              <w:widowControl/>
              <w:ind w:right="-5048" w:rightChars="-2404"/>
              <w:jc w:val="center"/>
              <w:textAlignment w:val="center"/>
              <w:rPr>
                <w:rFonts w:ascii="Times New Roman" w:hAnsi="Times New Roman" w:eastAsia="仿宋_GB2312" w:cs="Times New Roman"/>
                <w:color w:val="000000"/>
                <w:sz w:val="20"/>
                <w:szCs w:val="20"/>
              </w:rPr>
            </w:pPr>
            <w:r>
              <w:rPr>
                <w:rFonts w:ascii="Times New Roman" w:hAnsi="Times New Roman" w:eastAsia="仿宋_GB2312" w:cs="Times New Roman"/>
                <w:color w:val="000000"/>
                <w:kern w:val="0"/>
                <w:sz w:val="20"/>
                <w:szCs w:val="20"/>
                <w:lang w:bidi="ar"/>
              </w:rPr>
              <w:t>单位：万元</w:t>
            </w:r>
          </w:p>
        </w:tc>
        <w:tc>
          <w:tcPr>
            <w:tcW w:w="5418" w:type="dxa"/>
            <w:gridSpan w:val="11"/>
            <w:shd w:val="clear" w:color="auto" w:fill="FFFFFF"/>
            <w:vAlign w:val="center"/>
          </w:tcPr>
          <w:p>
            <w:pPr>
              <w:widowControl/>
              <w:tabs>
                <w:tab w:val="left" w:pos="630"/>
                <w:tab w:val="left" w:pos="5250"/>
              </w:tabs>
              <w:ind w:right="346" w:rightChars="165"/>
              <w:jc w:val="left"/>
              <w:rPr>
                <w:rFonts w:ascii="Times New Roman" w:hAnsi="Times New Roman" w:eastAsia="仿宋_GB2312" w:cs="Times New Roman"/>
                <w:color w:val="000000"/>
                <w:sz w:val="20"/>
                <w:szCs w:val="20"/>
              </w:rPr>
            </w:pPr>
            <w:r>
              <w:rPr>
                <w:rFonts w:ascii="Times New Roman" w:hAnsi="Times New Roman" w:eastAsia="仿宋_GB2312" w:cs="Times New Roman"/>
                <w:color w:val="000000"/>
                <w:sz w:val="20"/>
                <w:szCs w:val="20"/>
              </w:rPr>
              <w:t xml:space="preserve">                                        </w:t>
            </w:r>
            <w:r>
              <w:rPr>
                <w:rFonts w:ascii="Times New Roman" w:hAnsi="Times New Roman" w:eastAsia="仿宋_GB2312" w:cs="Times New Roman"/>
                <w:color w:val="000000"/>
                <w:kern w:val="0"/>
                <w:sz w:val="20"/>
                <w:szCs w:val="20"/>
                <w:lang w:bidi="ar"/>
              </w:rPr>
              <w:t>单位：万元</w:t>
            </w:r>
          </w:p>
        </w:tc>
        <w:tc>
          <w:tcPr>
            <w:tcW w:w="240" w:type="dxa"/>
            <w:shd w:val="clear" w:color="auto" w:fill="FFFFFF"/>
            <w:vAlign w:val="center"/>
          </w:tcPr>
          <w:p>
            <w:pPr>
              <w:widowControl/>
              <w:jc w:val="right"/>
              <w:textAlignment w:val="center"/>
              <w:rPr>
                <w:rFonts w:ascii="Times New Roman" w:hAnsi="Times New Roman" w:eastAsia="仿宋_GB2312" w:cs="Times New Roman"/>
                <w:color w:val="000000"/>
                <w:sz w:val="20"/>
                <w:szCs w:val="20"/>
              </w:rPr>
            </w:pPr>
          </w:p>
        </w:tc>
      </w:tr>
      <w:tr>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预算数</w:t>
            </w:r>
          </w:p>
        </w:tc>
        <w:tc>
          <w:tcPr>
            <w:tcW w:w="506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color w:val="000000"/>
                <w:sz w:val="22"/>
              </w:rPr>
            </w:pPr>
            <w:r>
              <w:rPr>
                <w:rFonts w:ascii="Times New Roman" w:hAnsi="Times New Roman" w:eastAsia="仿宋_GB2312" w:cs="Times New Roman"/>
                <w:b/>
                <w:color w:val="000000"/>
                <w:kern w:val="0"/>
                <w:sz w:val="22"/>
                <w:lang w:bidi="ar"/>
              </w:rPr>
              <w:t>决算数</w:t>
            </w:r>
          </w:p>
        </w:tc>
      </w:tr>
      <w:tr>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因公出国（境）费</w:t>
            </w:r>
          </w:p>
        </w:tc>
        <w:tc>
          <w:tcPr>
            <w:tcW w:w="270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公务用车购置及运行维护费</w:t>
            </w:r>
          </w:p>
        </w:tc>
        <w:tc>
          <w:tcPr>
            <w:tcW w:w="14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公务接待费</w:t>
            </w:r>
          </w:p>
        </w:tc>
      </w:tr>
      <w:tr>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公务用车购置费</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公务用车运行维护费</w:t>
            </w:r>
          </w:p>
        </w:tc>
        <w:tc>
          <w:tcPr>
            <w:tcW w:w="14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b/>
                <w:bCs/>
                <w:color w:val="000000"/>
                <w:kern w:val="0"/>
                <w:sz w:val="22"/>
                <w:lang w:bidi="ar"/>
              </w:rPr>
            </w:pPr>
            <w:r>
              <w:rPr>
                <w:rFonts w:ascii="Times New Roman" w:hAnsi="Times New Roman" w:eastAsia="仿宋_GB2312" w:cs="Times New Roman"/>
                <w:b/>
                <w:bCs/>
                <w:color w:val="000000"/>
                <w:kern w:val="0"/>
                <w:sz w:val="22"/>
                <w:lang w:bidi="ar"/>
              </w:rPr>
              <w:t>公务用车</w:t>
            </w:r>
          </w:p>
          <w:p>
            <w:pPr>
              <w:widowControl/>
              <w:jc w:val="center"/>
              <w:textAlignment w:val="center"/>
              <w:rPr>
                <w:rFonts w:ascii="Times New Roman" w:hAnsi="Times New Roman" w:eastAsia="仿宋_GB2312" w:cs="Times New Roman"/>
                <w:b/>
                <w:bCs/>
                <w:color w:val="000000"/>
                <w:sz w:val="22"/>
              </w:rPr>
            </w:pPr>
            <w:r>
              <w:rPr>
                <w:rFonts w:ascii="Times New Roman" w:hAnsi="Times New Roman" w:eastAsia="仿宋_GB2312" w:cs="Times New Roman"/>
                <w:b/>
                <w:bCs/>
                <w:color w:val="000000"/>
                <w:kern w:val="0"/>
                <w:sz w:val="22"/>
                <w:lang w:bidi="ar"/>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Times New Roman" w:hAnsi="Times New Roman" w:eastAsia="仿宋_GB2312" w:cs="Times New Roman"/>
                <w:b/>
                <w:bCs/>
                <w:color w:val="000000"/>
                <w:sz w:val="22"/>
              </w:rPr>
            </w:pPr>
          </w:p>
        </w:tc>
      </w:tr>
      <w:tr>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4</w:t>
            </w: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5</w:t>
            </w: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11</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Times New Roman" w:hAnsi="Times New Roman" w:eastAsia="仿宋_GB2312" w:cs="Times New Roman"/>
                <w:color w:val="000000"/>
                <w:sz w:val="22"/>
              </w:rPr>
            </w:pPr>
            <w:r>
              <w:rPr>
                <w:rFonts w:ascii="Times New Roman" w:hAnsi="Times New Roman" w:eastAsia="仿宋_GB2312" w:cs="Times New Roman"/>
                <w:color w:val="000000"/>
                <w:kern w:val="0"/>
                <w:sz w:val="22"/>
                <w:lang w:bidi="ar"/>
              </w:rPr>
              <w:t>12</w:t>
            </w:r>
          </w:p>
        </w:tc>
      </w:tr>
      <w:tr>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r>
              <w:rPr>
                <w:rFonts w:hint="default" w:ascii="Times New Roman" w:hAnsi="Times New Roman" w:eastAsia="方正仿宋_GB2312" w:cs="Times New Roman"/>
                <w:i w:val="0"/>
                <w:iCs w:val="0"/>
                <w:color w:val="000000"/>
                <w:sz w:val="18"/>
                <w:szCs w:val="18"/>
                <w:highlight w:val="none"/>
                <w:u w:val="none"/>
              </w:rPr>
              <w:t>2.20</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r>
              <w:rPr>
                <w:rFonts w:hint="default" w:ascii="Times New Roman" w:hAnsi="Times New Roman" w:eastAsia="方正仿宋_GB2312" w:cs="Times New Roman"/>
                <w:i w:val="0"/>
                <w:iCs w:val="0"/>
                <w:color w:val="000000"/>
                <w:sz w:val="18"/>
                <w:szCs w:val="18"/>
                <w:highlight w:val="none"/>
                <w:u w:val="none"/>
              </w:rPr>
              <w:t>2.20</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p>
        </w:tc>
        <w:tc>
          <w:tcPr>
            <w:tcW w:w="1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r>
              <w:rPr>
                <w:rFonts w:hint="default" w:ascii="Times New Roman" w:hAnsi="Times New Roman" w:eastAsia="方正仿宋_GB2312" w:cs="Times New Roman"/>
                <w:i w:val="0"/>
                <w:iCs w:val="0"/>
                <w:color w:val="000000"/>
                <w:sz w:val="18"/>
                <w:szCs w:val="18"/>
                <w:highlight w:val="none"/>
                <w:u w:val="none"/>
              </w:rPr>
              <w:t>2.20</w:t>
            </w:r>
          </w:p>
        </w:tc>
        <w:tc>
          <w:tcPr>
            <w:tcW w:w="141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r>
              <w:rPr>
                <w:rFonts w:hint="default" w:ascii="Times New Roman" w:hAnsi="Times New Roman" w:eastAsia="方正仿宋_GB2312" w:cs="Times New Roman"/>
                <w:i w:val="0"/>
                <w:iCs w:val="0"/>
                <w:color w:val="000000"/>
                <w:sz w:val="18"/>
                <w:szCs w:val="18"/>
                <w:highlight w:val="none"/>
                <w:u w:val="none"/>
              </w:rPr>
              <w:t>2.20</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r>
              <w:rPr>
                <w:rFonts w:hint="default" w:ascii="Times New Roman" w:hAnsi="Times New Roman" w:eastAsia="方正仿宋_GB2312" w:cs="Times New Roman"/>
                <w:i w:val="0"/>
                <w:iCs w:val="0"/>
                <w:color w:val="000000"/>
                <w:sz w:val="18"/>
                <w:szCs w:val="18"/>
                <w:highlight w:val="none"/>
                <w:u w:val="none"/>
              </w:rPr>
              <w:t>2.20</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r>
              <w:rPr>
                <w:rFonts w:hint="default" w:ascii="Times New Roman" w:hAnsi="Times New Roman" w:eastAsia="方正仿宋_GB2312" w:cs="Times New Roman"/>
                <w:i w:val="0"/>
                <w:iCs w:val="0"/>
                <w:color w:val="000000"/>
                <w:sz w:val="18"/>
                <w:szCs w:val="18"/>
                <w:highlight w:val="none"/>
                <w:u w:val="none"/>
              </w:rPr>
              <w:t>2.20</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方正仿宋_GB2312" w:cs="Times New Roman"/>
                <w:i w:val="0"/>
                <w:iCs w:val="0"/>
                <w:color w:val="000000"/>
                <w:kern w:val="2"/>
                <w:sz w:val="18"/>
                <w:szCs w:val="18"/>
                <w:highlight w:val="none"/>
                <w:u w:val="none"/>
                <w:lang w:val="en-US" w:eastAsia="zh-CN" w:bidi="ar-SA"/>
              </w:rPr>
            </w:pPr>
          </w:p>
        </w:tc>
      </w:tr>
      <w:tr>
        <w:tblPrEx>
          <w:tblCellMar>
            <w:top w:w="15" w:type="dxa"/>
            <w:left w:w="15" w:type="dxa"/>
            <w:bottom w:w="15" w:type="dxa"/>
            <w:right w:w="15" w:type="dxa"/>
          </w:tblCellMar>
        </w:tblPrEx>
        <w:trPr>
          <w:trHeight w:val="900" w:hRule="atLeast"/>
        </w:trPr>
        <w:tc>
          <w:tcPr>
            <w:tcW w:w="13090" w:type="dxa"/>
            <w:gridSpan w:val="24"/>
            <w:shd w:val="clear" w:color="auto" w:fill="auto"/>
            <w:vAlign w:val="center"/>
          </w:tcPr>
          <w:p>
            <w:pPr>
              <w:widowControl/>
              <w:ind w:right="2339" w:rightChars="1114"/>
              <w:jc w:val="left"/>
              <w:textAlignment w:val="center"/>
              <w:rPr>
                <w:rFonts w:ascii="Times New Roman" w:hAnsi="Times New Roman" w:eastAsia="仿宋_GB2312" w:cs="Times New Roman"/>
                <w:color w:val="000000"/>
                <w:sz w:val="24"/>
              </w:rPr>
            </w:pPr>
            <w:r>
              <w:rPr>
                <w:rFonts w:ascii="Times New Roman" w:hAnsi="Times New Roman" w:eastAsia="仿宋_GB2312" w:cs="Times New Roman"/>
                <w:color w:val="000000"/>
                <w:kern w:val="0"/>
                <w:sz w:val="24"/>
                <w:szCs w:val="24"/>
                <w:lang w:bidi="ar"/>
              </w:rPr>
              <w:t>注：本表反映</w:t>
            </w:r>
            <w:r>
              <w:rPr>
                <w:rFonts w:hint="eastAsia" w:ascii="Times New Roman" w:hAnsi="Times New Roman" w:eastAsia="仿宋_GB2312" w:cs="Times New Roman"/>
                <w:color w:val="000000"/>
                <w:kern w:val="0"/>
                <w:sz w:val="24"/>
                <w:szCs w:val="24"/>
                <w:lang w:eastAsia="zh-CN" w:bidi="ar"/>
              </w:rPr>
              <w:t>单位</w:t>
            </w:r>
            <w:r>
              <w:rPr>
                <w:rFonts w:ascii="Times New Roman" w:hAnsi="Times New Roman" w:eastAsia="仿宋_GB2312" w:cs="Times New Roman"/>
                <w:color w:val="000000"/>
                <w:kern w:val="0"/>
                <w:sz w:val="24"/>
                <w:szCs w:val="24"/>
                <w:lang w:bidi="ar"/>
              </w:rPr>
              <w:t>本年度财政拨款“三公”经费支出预决算情况。其中，预算数为“三公”经费全年预算数，反映按规定程序调整后的预算数；决算数是包括当年财政拨款和以前年度结转资金安排的实际支出。</w:t>
            </w:r>
          </w:p>
        </w:tc>
      </w:tr>
    </w:tbl>
    <w:p>
      <w:pPr>
        <w:widowControl/>
        <w:spacing w:after="312" w:afterLines="100" w:line="580" w:lineRule="exact"/>
        <w:ind w:left="1757"/>
        <w:jc w:val="left"/>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2024年度部门决算情况说明</w:t>
      </w:r>
    </w:p>
    <w:p>
      <w:pPr>
        <w:rPr>
          <w:rFonts w:ascii="Times New Roman" w:hAnsi="Times New Roman" w:eastAsia="黑体" w:cs="Times New Roman"/>
          <w:sz w:val="32"/>
          <w:szCs w:val="32"/>
        </w:rPr>
      </w:pPr>
    </w:p>
    <w:p>
      <w:pPr>
        <w:spacing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一、收入</w:t>
      </w:r>
      <w:r>
        <w:rPr>
          <w:rFonts w:ascii="Times New Roman" w:hAnsi="Times New Roman" w:eastAsia="黑体" w:cs="Times New Roman"/>
          <w:kern w:val="0"/>
          <w:sz w:val="32"/>
          <w:szCs w:val="32"/>
        </w:rPr>
        <w:t>支出</w:t>
      </w:r>
      <w:r>
        <w:rPr>
          <w:rFonts w:ascii="Times New Roman" w:hAnsi="Times New Roman" w:eastAsia="黑体" w:cs="Times New Roman"/>
          <w:sz w:val="32"/>
          <w:szCs w:val="32"/>
        </w:rPr>
        <w:t>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2024年度收、支总计（含结转和结余）均为7,833.62万元。与2023年度决算相比，收支各增加344.88万元，增长4.6%，主要原因是上级用于老年福利支出的拨款增加，支出相应增长。</w:t>
      </w:r>
    </w:p>
    <w:p>
      <w:pPr>
        <w:adjustRightInd w:val="0"/>
        <w:snapToGrid w:val="0"/>
        <w:spacing w:line="580" w:lineRule="exact"/>
        <w:ind w:firstLine="630" w:firstLineChars="300"/>
        <w:rPr>
          <w:rFonts w:ascii="Times New Roman" w:hAnsi="Times New Roman" w:eastAsia="仿宋_GB2312" w:cs="Times New Roman"/>
          <w:sz w:val="32"/>
          <w:szCs w:val="32"/>
          <w:highlight w:val="yellow"/>
        </w:rPr>
      </w:pPr>
      <w:r>
        <w:rPr>
          <w:rFonts w:hint="eastAsia" w:ascii="Times New Roman" w:hAnsi="Times New Roman" w:eastAsia="宋体"/>
        </w:rPr>
        <w:drawing>
          <wp:anchor distT="0" distB="0" distL="114300" distR="114300" simplePos="0" relativeHeight="251663360" behindDoc="0" locked="0" layoutInCell="1" allowOverlap="1">
            <wp:simplePos x="0" y="0"/>
            <wp:positionH relativeFrom="column">
              <wp:posOffset>272415</wp:posOffset>
            </wp:positionH>
            <wp:positionV relativeFrom="paragraph">
              <wp:posOffset>38735</wp:posOffset>
            </wp:positionV>
            <wp:extent cx="5426710" cy="3171825"/>
            <wp:effectExtent l="4445" t="4445" r="17145" b="11430"/>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rFonts w:ascii="Times New Roman" w:hAnsi="Times New Roman" w:eastAsia="黑体" w:cs="Times New Roman"/>
          <w:sz w:val="32"/>
          <w:szCs w:val="32"/>
        </w:rPr>
        <w:t>二、收入决算情况说明</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2024年度本年收入合计7,749.31万元，其中：财政拨款收入7,749.31万元，占100%；上级补助收入0万元，占0%；事业收入0万元，占0%；经营收入0万元，占0%；附属单位上缴收入0万元，占0%；其他收入0万元，占0%。</w:t>
      </w:r>
    </w:p>
    <w:p>
      <w:pPr>
        <w:adjustRightInd w:val="0"/>
        <w:snapToGrid w:val="0"/>
        <w:spacing w:line="580" w:lineRule="exact"/>
        <w:ind w:firstLine="640" w:firstLineChars="200"/>
        <w:rPr>
          <w:rFonts w:ascii="Times New Roman" w:hAnsi="Times New Roman" w:eastAsia="黑体" w:cs="Times New Roman"/>
          <w:sz w:val="32"/>
          <w:szCs w:val="32"/>
        </w:rPr>
      </w:pPr>
    </w:p>
    <w:p>
      <w:pPr>
        <w:adjustRightInd w:val="0"/>
        <w:snapToGrid w:val="0"/>
        <w:spacing w:line="580" w:lineRule="exact"/>
        <w:rPr>
          <w:rFonts w:ascii="Times New Roman" w:hAnsi="Times New Roman" w:eastAsia="仿宋_GB2312"/>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4384" behindDoc="0" locked="0" layoutInCell="1" allowOverlap="1">
            <wp:simplePos x="0" y="0"/>
            <wp:positionH relativeFrom="column">
              <wp:posOffset>128905</wp:posOffset>
            </wp:positionH>
            <wp:positionV relativeFrom="paragraph">
              <wp:posOffset>177165</wp:posOffset>
            </wp:positionV>
            <wp:extent cx="5617845" cy="3037840"/>
            <wp:effectExtent l="4445" t="4445" r="16510" b="571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hAnsi="Times New Roman" w:eastAsia="仿宋_GB2312" w:cs="Times New Roman"/>
          <w:sz w:val="32"/>
          <w:szCs w:val="32"/>
          <w:highlight w:val="none"/>
        </w:rPr>
        <w:drawing>
          <wp:anchor distT="0" distB="0" distL="114300" distR="114300" simplePos="0" relativeHeight="251665408" behindDoc="0" locked="0" layoutInCell="1" allowOverlap="1">
            <wp:simplePos x="0" y="0"/>
            <wp:positionH relativeFrom="column">
              <wp:posOffset>144780</wp:posOffset>
            </wp:positionH>
            <wp:positionV relativeFrom="paragraph">
              <wp:posOffset>1623060</wp:posOffset>
            </wp:positionV>
            <wp:extent cx="5485130" cy="2671445"/>
            <wp:effectExtent l="4445" t="4445" r="9525" b="16510"/>
            <wp:wrapTopAndBottom/>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2024年度本年支出合计7,779.65万元，其中：基本支出542.49万元，占7%；项目支出7,237.16万元，占93%；上缴上级支出0万元，占0%；经营支出0万元，占0%；对附属单位补助支出0万元，占0%。</w:t>
      </w:r>
    </w:p>
    <w:p>
      <w:pPr>
        <w:widowControl/>
        <w:spacing w:before="0" w:beforeLines="0" w:beforeAutospacing="0" w:after="0" w:afterLines="0" w:afterAutospacing="0" w:line="360" w:lineRule="auto"/>
        <w:ind w:firstLine="640" w:firstLineChars="200"/>
        <w:jc w:val="left"/>
        <w:rPr>
          <w:rFonts w:ascii="Times New Roman" w:hAnsi="Times New Roman" w:eastAsia="黑体" w:cs="Times New Roman"/>
          <w:sz w:val="32"/>
          <w:szCs w:val="32"/>
        </w:rPr>
      </w:pPr>
      <w:r>
        <w:rPr>
          <w:rFonts w:ascii="Times New Roman" w:hAnsi="Times New Roman" w:eastAsia="黑体" w:cs="Times New Roman"/>
          <w:sz w:val="32"/>
          <w:szCs w:val="32"/>
        </w:rPr>
        <w:t>四、</w:t>
      </w:r>
      <w:r>
        <w:rPr>
          <w:rFonts w:ascii="Times New Roman" w:hAnsi="Times New Roman" w:eastAsia="黑体" w:cs="Times New Roman"/>
          <w:kern w:val="0"/>
          <w:sz w:val="32"/>
          <w:szCs w:val="32"/>
        </w:rPr>
        <w:t>财政</w:t>
      </w:r>
      <w:r>
        <w:rPr>
          <w:rFonts w:ascii="Times New Roman" w:hAnsi="Times New Roman" w:eastAsia="黑体" w:cs="Times New Roman"/>
          <w:sz w:val="32"/>
          <w:szCs w:val="32"/>
        </w:rPr>
        <w:t>拨款收入支出决算总体情况说明</w:t>
      </w:r>
    </w:p>
    <w:p>
      <w:pPr>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（一）财政拨款收支与2023年度决算对比情况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2024年度财政拨款收、支总计（含结转和结余）均为7,833.62万元。与2023年度相比，财政拨款收支各增加344.88万元，增长4.6%，主要原因是上级用于老年福利支出的拨款增加，支出相应增长。</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7,749.31万元,比上年增加635.55万元，增长8.9%，主要原因是上级用于老年福利支出的拨款增加；本年支出7,779.65万元，比上年增加442.04万元，增长6%，主要原因是上级用于老年福利支出的拨款增加，支出相应增长。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5,689.68万元,比上年减少343.97万元，降低5.7%，主要原因是上级用于老年福利支出部分的拨款减少；本年支出5,720.02万元，比上年减少537.53万元，降低8.6%，主要原因是部分困难老年人社区居家养老服务补贴尚未结算。</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2,059.63万元，比上年增加979.52万元，增长90.7%，主要原因是上级用于老年福利支出的福彩公益金拨款增加；本年支出2,059.63万元，比上年增加979.57万元，增长90.7%，主要原因是上级用于老年福利支出的福彩公益金拨款增加，支出相应增加。</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3.国有资本经营预算财政拨款本年收入0万元，比上年</w:t>
      </w:r>
      <w:r>
        <w:rPr>
          <w:rFonts w:hint="eastAsia" w:ascii="Times New Roman" w:eastAsia="仿宋_GB2312"/>
          <w:b w:val="0"/>
          <w:sz w:val="32"/>
          <w:szCs w:val="32"/>
          <w:lang w:eastAsia="zh-CN"/>
        </w:rPr>
        <w:t>持平，</w:t>
      </w:r>
      <w:r>
        <w:rPr>
          <w:rFonts w:ascii="Times New Roman" w:eastAsia="仿宋_GB2312"/>
          <w:b w:val="0"/>
          <w:sz w:val="32"/>
          <w:szCs w:val="32"/>
        </w:rPr>
        <w:t>主要原因是</w:t>
      </w:r>
      <w:r>
        <w:rPr>
          <w:rFonts w:hint="eastAsia" w:ascii="Times New Roman" w:eastAsia="仿宋_GB2312"/>
          <w:b w:val="0"/>
          <w:sz w:val="32"/>
          <w:szCs w:val="32"/>
          <w:lang w:eastAsia="zh-CN"/>
        </w:rPr>
        <w:t>没有</w:t>
      </w:r>
      <w:r>
        <w:rPr>
          <w:rFonts w:ascii="Times New Roman" w:eastAsia="仿宋_GB2312"/>
          <w:b w:val="0"/>
          <w:sz w:val="32"/>
          <w:szCs w:val="32"/>
        </w:rPr>
        <w:t>国有资本经营预算财政拨款本年收入；本年支出0万元，比上年</w:t>
      </w:r>
      <w:r>
        <w:rPr>
          <w:rFonts w:hint="eastAsia" w:ascii="Times New Roman" w:eastAsia="仿宋_GB2312"/>
          <w:b w:val="0"/>
          <w:sz w:val="32"/>
          <w:szCs w:val="32"/>
          <w:lang w:eastAsia="zh-CN"/>
        </w:rPr>
        <w:t>持平，</w:t>
      </w:r>
      <w:r>
        <w:rPr>
          <w:rFonts w:ascii="Times New Roman" w:eastAsia="仿宋_GB2312"/>
          <w:b w:val="0"/>
          <w:sz w:val="32"/>
          <w:szCs w:val="32"/>
        </w:rPr>
        <w:t>主要原因是</w:t>
      </w:r>
      <w:r>
        <w:rPr>
          <w:rFonts w:hint="eastAsia" w:ascii="Times New Roman" w:eastAsia="仿宋_GB2312"/>
          <w:b w:val="0"/>
          <w:sz w:val="32"/>
          <w:szCs w:val="32"/>
          <w:lang w:eastAsia="zh-CN"/>
        </w:rPr>
        <w:t>没有发生</w:t>
      </w:r>
      <w:r>
        <w:rPr>
          <w:rFonts w:ascii="Times New Roman" w:eastAsia="仿宋_GB2312"/>
          <w:b w:val="0"/>
          <w:sz w:val="32"/>
          <w:szCs w:val="32"/>
        </w:rPr>
        <w:t>国有资本经营</w:t>
      </w:r>
      <w:r>
        <w:rPr>
          <w:rFonts w:hint="eastAsia" w:ascii="Times New Roman" w:eastAsia="仿宋_GB2312"/>
          <w:b w:val="0"/>
          <w:sz w:val="32"/>
          <w:szCs w:val="32"/>
          <w:lang w:eastAsia="zh-CN"/>
        </w:rPr>
        <w:t>支出</w:t>
      </w:r>
      <w:r>
        <w:rPr>
          <w:rFonts w:ascii="Times New Roman" w:eastAsia="仿宋_GB2312"/>
          <w:b w:val="0"/>
          <w:sz w:val="32"/>
          <w:szCs w:val="32"/>
        </w:rPr>
        <w:t>。</w:t>
      </w:r>
    </w:p>
    <w:p>
      <w:pPr>
        <w:adjustRightInd w:val="0"/>
        <w:snapToGrid w:val="0"/>
        <w:spacing w:line="580" w:lineRule="exact"/>
        <w:ind w:firstLine="640" w:firstLineChars="200"/>
        <w:rPr>
          <w:rFonts w:ascii="Times New Roman" w:hAnsi="Times New Roman" w:eastAsia="仿宋_GB2312" w:cs="Times New Roman"/>
          <w:b/>
          <w:bCs/>
          <w:sz w:val="32"/>
          <w:szCs w:val="32"/>
        </w:rPr>
      </w:pPr>
      <w:r>
        <w:rPr>
          <w:rFonts w:ascii="Times New Roman" w:hAnsi="Times New Roman" w:eastAsia="仿宋_GB2312"/>
          <w:sz w:val="32"/>
          <w:szCs w:val="32"/>
        </w:rPr>
        <w:drawing>
          <wp:anchor distT="0" distB="0" distL="114300" distR="114300" simplePos="0" relativeHeight="251666432" behindDoc="0" locked="0" layoutInCell="1" allowOverlap="1">
            <wp:simplePos x="0" y="0"/>
            <wp:positionH relativeFrom="column">
              <wp:posOffset>-13335</wp:posOffset>
            </wp:positionH>
            <wp:positionV relativeFrom="paragraph">
              <wp:posOffset>19050</wp:posOffset>
            </wp:positionV>
            <wp:extent cx="5832475" cy="3159125"/>
            <wp:effectExtent l="4445" t="4445" r="5080" b="11430"/>
            <wp:wrapTopAndBottom/>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Pr>
          <w:rFonts w:ascii="Times New Roman" w:hAnsi="Times New Roman" w:eastAsia="楷体_GB2312" w:cs="Times New Roman"/>
          <w:b/>
          <w:bCs/>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7,749.31万元，完成年初预算的162.9%，比年初预算增加2,993.5万元，决算数大于预算数主要原因是上级用于老年福利支出的拨款增加；本年支出7,779.65万元，完成年初预算的147.8%，比年初预算增加2,516.62万元，决算数大于预算数主要原因是上级用于老年福利支出的拨款增加，支出相应增加。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124.4%，比年初预算增加1,114.87万元，主要原因是上级用于老年福利支出的拨款增加；支出完成年初预算的112.6%，比年初预算增加637.99万元，主要原因是上级用于老年福利支出的拨款增加，支出相应增加。</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w:t>
      </w:r>
      <w:r>
        <w:rPr>
          <w:rFonts w:hint="eastAsia" w:ascii="Times New Roman" w:eastAsia="仿宋_GB2312"/>
          <w:b w:val="0"/>
          <w:sz w:val="32"/>
          <w:szCs w:val="32"/>
          <w:lang w:eastAsia="zh-CN"/>
        </w:rPr>
        <w:t>的</w:t>
      </w:r>
      <w:r>
        <w:rPr>
          <w:rFonts w:ascii="Times New Roman" w:eastAsia="仿宋_GB2312"/>
          <w:b w:val="0"/>
          <w:sz w:val="32"/>
          <w:szCs w:val="32"/>
        </w:rPr>
        <w:t>1,137.9%，比年初预算增加1,878.63万元，主要原因是上级用于老年福利支出的福彩公益金拨款增加；支出完成年初预算的1,137.9%，比年初预算增加1,878.63万元，主要原因是上级用于老年福利支出的福彩公益金拨款增加，支出相应增加。</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3.国有资本经营预算财政拨款本年收入0万元</w:t>
      </w:r>
      <w:r>
        <w:rPr>
          <w:rFonts w:hint="eastAsia" w:ascii="Times New Roman" w:eastAsia="仿宋_GB2312"/>
          <w:b w:val="0"/>
          <w:sz w:val="32"/>
          <w:szCs w:val="32"/>
          <w:lang w:eastAsia="zh-CN"/>
        </w:rPr>
        <w:t>，</w:t>
      </w:r>
      <w:r>
        <w:rPr>
          <w:rFonts w:ascii="Times New Roman" w:eastAsia="仿宋_GB2312"/>
          <w:b w:val="0"/>
          <w:sz w:val="32"/>
          <w:szCs w:val="32"/>
        </w:rPr>
        <w:t>完成年初预算的0%，比年初预算</w:t>
      </w:r>
      <w:r>
        <w:rPr>
          <w:rFonts w:hint="eastAsia" w:ascii="Times New Roman" w:eastAsia="仿宋_GB2312"/>
          <w:b w:val="0"/>
          <w:sz w:val="32"/>
          <w:szCs w:val="32"/>
          <w:lang w:eastAsia="zh-CN"/>
        </w:rPr>
        <w:t>持平</w:t>
      </w:r>
      <w:r>
        <w:rPr>
          <w:rFonts w:ascii="Times New Roman" w:eastAsia="仿宋_GB2312"/>
          <w:b w:val="0"/>
          <w:sz w:val="32"/>
          <w:szCs w:val="32"/>
        </w:rPr>
        <w:t>，主要原因是</w:t>
      </w:r>
      <w:r>
        <w:rPr>
          <w:rFonts w:hint="eastAsia" w:ascii="Times New Roman" w:eastAsia="仿宋_GB2312"/>
          <w:b w:val="0"/>
          <w:sz w:val="32"/>
          <w:szCs w:val="32"/>
          <w:lang w:eastAsia="zh-CN"/>
        </w:rPr>
        <w:t>没有</w:t>
      </w:r>
      <w:r>
        <w:rPr>
          <w:rFonts w:ascii="Times New Roman" w:eastAsia="仿宋_GB2312"/>
          <w:b w:val="0"/>
          <w:sz w:val="32"/>
          <w:szCs w:val="32"/>
        </w:rPr>
        <w:t>国有资本经营预算财政拨款本年收入；本年支出0万元</w:t>
      </w:r>
      <w:r>
        <w:rPr>
          <w:rFonts w:hint="eastAsia" w:ascii="Times New Roman" w:eastAsia="仿宋_GB2312"/>
          <w:b w:val="0"/>
          <w:sz w:val="32"/>
          <w:szCs w:val="32"/>
          <w:lang w:eastAsia="zh-CN"/>
        </w:rPr>
        <w:t>，</w:t>
      </w:r>
      <w:r>
        <w:rPr>
          <w:rFonts w:ascii="Times New Roman" w:eastAsia="仿宋_GB2312"/>
          <w:b w:val="0"/>
          <w:sz w:val="32"/>
          <w:szCs w:val="32"/>
        </w:rPr>
        <w:t>支出完成年初预算的0%，比年初预算</w:t>
      </w:r>
      <w:r>
        <w:rPr>
          <w:rFonts w:hint="eastAsia" w:ascii="Times New Roman" w:eastAsia="仿宋_GB2312"/>
          <w:b w:val="0"/>
          <w:sz w:val="32"/>
          <w:szCs w:val="32"/>
          <w:lang w:eastAsia="zh-CN"/>
        </w:rPr>
        <w:t>持平</w:t>
      </w:r>
      <w:r>
        <w:rPr>
          <w:rFonts w:ascii="Times New Roman" w:eastAsia="仿宋_GB2312"/>
          <w:b w:val="0"/>
          <w:sz w:val="32"/>
          <w:szCs w:val="32"/>
        </w:rPr>
        <w:t>，主要原因是</w:t>
      </w:r>
      <w:r>
        <w:rPr>
          <w:rFonts w:hint="eastAsia" w:ascii="Times New Roman" w:eastAsia="仿宋_GB2312"/>
          <w:b w:val="0"/>
          <w:sz w:val="32"/>
          <w:szCs w:val="32"/>
          <w:lang w:eastAsia="zh-CN"/>
        </w:rPr>
        <w:t>没有发生</w:t>
      </w:r>
      <w:r>
        <w:rPr>
          <w:rFonts w:ascii="Times New Roman" w:eastAsia="仿宋_GB2312"/>
          <w:b w:val="0"/>
          <w:sz w:val="32"/>
          <w:szCs w:val="32"/>
        </w:rPr>
        <w:t>国有资本经营</w:t>
      </w:r>
      <w:r>
        <w:rPr>
          <w:rFonts w:hint="eastAsia" w:ascii="Times New Roman" w:eastAsia="仿宋_GB2312"/>
          <w:b w:val="0"/>
          <w:sz w:val="32"/>
          <w:szCs w:val="32"/>
          <w:lang w:eastAsia="zh-CN"/>
        </w:rPr>
        <w:t>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hAnsi="Times New Roman" w:eastAsia="仿宋_GB2312"/>
          <w:sz w:val="32"/>
          <w:szCs w:val="32"/>
          <w:highlight w:val="none"/>
        </w:rPr>
        <w:drawing>
          <wp:anchor distT="0" distB="0" distL="114300" distR="114300" simplePos="0" relativeHeight="251667456" behindDoc="0" locked="0" layoutInCell="1" allowOverlap="1">
            <wp:simplePos x="0" y="0"/>
            <wp:positionH relativeFrom="column">
              <wp:posOffset>140335</wp:posOffset>
            </wp:positionH>
            <wp:positionV relativeFrom="paragraph">
              <wp:posOffset>218440</wp:posOffset>
            </wp:positionV>
            <wp:extent cx="5421630" cy="2055495"/>
            <wp:effectExtent l="4445" t="4445" r="22225" b="16510"/>
            <wp:wrapTopAndBottom/>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pPr>
        <w:adjustRightInd w:val="0"/>
        <w:snapToGrid w:val="0"/>
        <w:spacing w:line="580" w:lineRule="exact"/>
        <w:ind w:left="420"/>
        <w:rPr>
          <w:rFonts w:ascii="Times New Roman" w:hAnsi="Times New Roman" w:eastAsia="楷体_GB2312" w:cs="Times New Roman"/>
          <w:b/>
          <w:bCs/>
          <w:sz w:val="32"/>
          <w:szCs w:val="32"/>
        </w:rPr>
      </w:pPr>
      <w:r>
        <w:rPr>
          <w:rFonts w:hint="eastAsia" w:ascii="Times New Roman" w:hAnsi="Times New Roman" w:eastAsia="楷体_GB2312" w:cs="Times New Roman"/>
          <w:b/>
          <w:bCs/>
          <w:sz w:val="32"/>
          <w:szCs w:val="32"/>
        </w:rPr>
        <w:t>（三）</w:t>
      </w:r>
      <w:r>
        <w:rPr>
          <w:rFonts w:ascii="Times New Roman" w:hAnsi="Times New Roman" w:eastAsia="楷体_GB2312" w:cs="Times New Roman"/>
          <w:b/>
          <w:bCs/>
          <w:sz w:val="32"/>
          <w:szCs w:val="32"/>
        </w:rPr>
        <w:t>财政拨款支出决算结构情况</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eastAsia="仿宋_GB2312"/>
          <w:b w:val="0"/>
          <w:sz w:val="32"/>
          <w:szCs w:val="32"/>
        </w:rPr>
        <w:t>2024年度财政拨款支出7,779.65万元，主要用于以下方面：</w:t>
      </w:r>
    </w:p>
    <w:p>
      <w:pPr>
        <w:adjustRightInd w:val="0"/>
        <w:snapToGrid w:val="0"/>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一般公共预算财政拨款支出</w:t>
      </w:r>
      <w:r>
        <w:rPr>
          <w:rFonts w:hint="eastAsia" w:ascii="Times New Roman" w:hAnsi="Times New Roman" w:eastAsia="仿宋_GB2312" w:cs="Times New Roman"/>
          <w:b/>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万元，占0%；外交（类）支出0万元，占0%；国防（类）支出0万元，占0%；公共安全类（类）支出0万元，占0%；教育（类）支出0万元，占0%；科学技术（类）支出0万元，占0%；文化旅游体育与传媒（类）支出0万元，占0%；社会保障和就业（类）支出5,668.48万元，占72.9%，主要用于最低生活保障、特困人员救助供养、养老服务体系建设、 残疾人生活补贴和护理补贴、孤儿生活补助、高龄补贴等支出；卫生健康（类）支出22.34万元，占0.3%，主要用于职工基本医疗保险缴费等支出；节能环保（类）支出0万元，占0%；城乡社区（类）支出0万元，占0%；农林水（类）支出0万元，占0%；交通运输（类）支出0万元，占0%；资源勘探信息等（类）支出0万元，占0%；商业服务业等（类）支出0万元，占0%；金融（类）支出0万元，占0%；援助其他地区（类）支出0万元，占0%；自然资源海洋气象等（类）支出0万元，占0%；住房保障（类）支出29.21万元，占0.4%，主要用于职工住房公积金等支出；粮油物资储备（类）支出0万元，占0%；国有资本经营预算支出0万元，占0%；害防治及应急管理（类）支出0万元，占0%；其他（类）支出0万元，占0%；债务还本（类）支出0万元，占0%；债务付息（类）支出0万元，占0%；抗疫特别国债安排的支出0万元，占0%。</w:t>
      </w:r>
    </w:p>
    <w:p>
      <w:pPr>
        <w:widowControl/>
        <w:spacing w:before="0" w:beforeLines="0" w:beforeAutospacing="0" w:after="0" w:afterLines="0" w:afterAutospacing="0" w:line="360" w:lineRule="auto"/>
        <w:ind w:firstLine="643" w:firstLineChars="200"/>
        <w:jc w:val="left"/>
        <w:rPr>
          <w:rFonts w:hint="eastAsia" w:ascii="Times New Roman" w:hAnsi="Times New Roman" w:eastAsia="仿宋_GB2312" w:cs="Times New Roman"/>
          <w:b/>
          <w:sz w:val="32"/>
          <w:szCs w:val="32"/>
        </w:rPr>
      </w:pPr>
      <w:r>
        <w:rPr>
          <w:rFonts w:hint="eastAsia" w:ascii="Times New Roman" w:hAnsi="Times New Roman" w:eastAsia="仿宋_GB2312" w:cs="Times New Roman"/>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其他（类）支出2,059.63万元，占26.5%，主要用于社会福利方面的福利彩票公益金等支出</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3" w:firstLineChars="200"/>
        <w:jc w:val="left"/>
        <w:rPr>
          <w:rFonts w:hint="eastAsia" w:ascii="Times New Roman" w:hAnsi="Times New Roman" w:eastAsia="仿宋_GB2312" w:cs="Times New Roman"/>
          <w:b/>
          <w:sz w:val="32"/>
          <w:szCs w:val="32"/>
        </w:rPr>
      </w:pPr>
      <w:r>
        <w:rPr>
          <w:rFonts w:hint="eastAsia" w:ascii="Times New Roman" w:hAnsi="Times New Roman" w:eastAsia="仿宋_GB2312" w:cs="Times New Roman"/>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社会保障和就业（类）支出0万元，占0%，主要</w:t>
      </w:r>
      <w:r>
        <w:rPr>
          <w:rFonts w:hint="eastAsia" w:ascii="Times New Roman" w:eastAsia="仿宋_GB2312"/>
          <w:b w:val="0"/>
          <w:sz w:val="32"/>
          <w:szCs w:val="32"/>
          <w:lang w:val="en-US" w:eastAsia="zh-CN"/>
        </w:rPr>
        <w:t>没有</w:t>
      </w:r>
      <w:r>
        <w:rPr>
          <w:rFonts w:ascii="Times New Roman" w:eastAsia="仿宋_GB2312"/>
          <w:b w:val="0"/>
          <w:sz w:val="32"/>
          <w:szCs w:val="32"/>
        </w:rPr>
        <w:t>社会保障和就业（类）支出；卫生健康（类）支出0万元，占0%，主要</w:t>
      </w:r>
      <w:r>
        <w:rPr>
          <w:rFonts w:hint="eastAsia" w:ascii="Times New Roman" w:eastAsia="仿宋_GB2312"/>
          <w:b w:val="0"/>
          <w:sz w:val="32"/>
          <w:szCs w:val="32"/>
          <w:lang w:val="en-US" w:eastAsia="zh-CN"/>
        </w:rPr>
        <w:t>没有</w:t>
      </w:r>
      <w:r>
        <w:rPr>
          <w:rFonts w:ascii="Times New Roman" w:eastAsia="仿宋_GB2312"/>
          <w:b w:val="0"/>
          <w:sz w:val="32"/>
          <w:szCs w:val="32"/>
        </w:rPr>
        <w:t>卫生健康（类）支出；住房保障（类）支出0万元，占0%，主要</w:t>
      </w:r>
      <w:r>
        <w:rPr>
          <w:rFonts w:hint="eastAsia" w:ascii="Times New Roman" w:eastAsia="仿宋_GB2312"/>
          <w:b w:val="0"/>
          <w:sz w:val="32"/>
          <w:szCs w:val="32"/>
          <w:lang w:eastAsia="zh-CN"/>
        </w:rPr>
        <w:t>是</w:t>
      </w:r>
      <w:r>
        <w:rPr>
          <w:rFonts w:hint="eastAsia" w:ascii="Times New Roman" w:eastAsia="仿宋_GB2312"/>
          <w:b w:val="0"/>
          <w:sz w:val="32"/>
          <w:szCs w:val="32"/>
          <w:lang w:val="en-US" w:eastAsia="zh-CN"/>
        </w:rPr>
        <w:t>没有</w:t>
      </w:r>
      <w:r>
        <w:rPr>
          <w:rFonts w:ascii="Times New Roman" w:eastAsia="仿宋_GB2312"/>
          <w:b w:val="0"/>
          <w:sz w:val="32"/>
          <w:szCs w:val="32"/>
        </w:rPr>
        <w:t>住房保障</w:t>
      </w:r>
      <w:r>
        <w:rPr>
          <w:rFonts w:hint="eastAsia" w:ascii="Times New Roman" w:eastAsia="仿宋_GB2312"/>
          <w:b w:val="0"/>
          <w:sz w:val="32"/>
          <w:szCs w:val="32"/>
          <w:lang w:val="en-US" w:eastAsia="zh-CN"/>
        </w:rPr>
        <w:t>方面资金</w:t>
      </w:r>
      <w:r>
        <w:rPr>
          <w:rFonts w:ascii="Times New Roman" w:eastAsia="仿宋_GB2312"/>
          <w:b w:val="0"/>
          <w:sz w:val="32"/>
          <w:szCs w:val="32"/>
        </w:rPr>
        <w:t>支出</w:t>
      </w:r>
      <w:r>
        <w:rPr>
          <w:rFonts w:hint="eastAsia" w:ascii="Times New Roman" w:eastAsia="仿宋_GB2312"/>
          <w:b w:val="0"/>
          <w:sz w:val="32"/>
          <w:szCs w:val="32"/>
          <w:lang w:eastAsia="zh-CN"/>
        </w:rPr>
        <w:t>。</w:t>
      </w:r>
    </w:p>
    <w:p>
      <w:pPr>
        <w:adjustRightInd w:val="0"/>
        <w:snapToGrid w:val="0"/>
        <w:spacing w:line="580" w:lineRule="exact"/>
        <w:rPr>
          <w:rFonts w:ascii="Times New Roman" w:hAnsi="Times New Roman" w:eastAsia="楷体_GB2312" w:cs="Times New Roman"/>
          <w:b/>
          <w:bCs/>
          <w:sz w:val="32"/>
          <w:szCs w:val="32"/>
        </w:rPr>
      </w:pPr>
    </w:p>
    <w:p>
      <w:pPr>
        <w:adjustRightInd w:val="0"/>
        <w:snapToGrid w:val="0"/>
        <w:spacing w:line="580" w:lineRule="exact"/>
        <w:rPr>
          <w:rFonts w:ascii="Times New Roman" w:hAnsi="Times New Roman" w:eastAsia="楷体_GB2312" w:cs="Times New Roman"/>
          <w:b/>
          <w:bCs/>
          <w:sz w:val="32"/>
          <w:szCs w:val="32"/>
        </w:rPr>
      </w:pPr>
    </w:p>
    <w:p>
      <w:pPr>
        <w:adjustRightInd w:val="0"/>
        <w:snapToGrid w:val="0"/>
        <w:spacing w:line="580" w:lineRule="exact"/>
        <w:rPr>
          <w:rFonts w:ascii="Times New Roman" w:hAnsi="Times New Roman" w:eastAsia="楷体_GB2312" w:cs="Times New Roman"/>
          <w:b/>
          <w:bCs/>
          <w:sz w:val="32"/>
          <w:szCs w:val="32"/>
        </w:rPr>
      </w:pPr>
      <w:r>
        <w:rPr>
          <w:rFonts w:ascii="Times New Roman" w:hAnsi="Times New Roman" w:eastAsia="仿宋_GB2312"/>
          <w:kern w:val="2"/>
          <w:sz w:val="32"/>
          <w:szCs w:val="32"/>
          <w:lang w:val="zh-CN"/>
        </w:rPr>
        <w:drawing>
          <wp:anchor distT="0" distB="0" distL="114300" distR="114300" simplePos="0" relativeHeight="251668480" behindDoc="0" locked="0" layoutInCell="1" allowOverlap="1">
            <wp:simplePos x="0" y="0"/>
            <wp:positionH relativeFrom="column">
              <wp:posOffset>182880</wp:posOffset>
            </wp:positionH>
            <wp:positionV relativeFrom="paragraph">
              <wp:posOffset>69215</wp:posOffset>
            </wp:positionV>
            <wp:extent cx="5573395" cy="2975610"/>
            <wp:effectExtent l="4445" t="4445" r="10160" b="17145"/>
            <wp:wrapTopAndBottom/>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adjustRightInd w:val="0"/>
        <w:snapToGrid w:val="0"/>
        <w:spacing w:line="580" w:lineRule="exact"/>
        <w:ind w:left="420" w:left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2024年度财政拨款基本支出542.49万元，其中：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506.68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35.81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五、财政拨款“三公” 经费支出决算情况说明</w:t>
      </w:r>
    </w:p>
    <w:p>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三公”经费财政拨款支出预算为2.2万元，支出决算为2.2万元，完成预算的100%，较预算减少0万元，降低0%，主要原因是厉行节约，严控“三公”经费支出，与上年持平；较2023年度决算增加0.01万元，增长0.5%，主要原因是公务用车进行了维修保养，支出增加。</w:t>
      </w:r>
    </w:p>
    <w:p>
      <w:pPr>
        <w:adjustRightInd w:val="0"/>
        <w:snapToGrid w:val="0"/>
        <w:spacing w:line="580" w:lineRule="exact"/>
        <w:ind w:firstLine="643" w:firstLineChars="200"/>
        <w:rPr>
          <w:rFonts w:ascii="Times New Roman" w:hAnsi="Times New Roman" w:eastAsia="楷体_GB2312" w:cs="Times New Roman"/>
          <w:b/>
          <w:bCs/>
          <w:sz w:val="32"/>
          <w:szCs w:val="32"/>
        </w:rPr>
      </w:pPr>
      <w:r>
        <w:rPr>
          <w:rFonts w:ascii="Times New Roman" w:hAnsi="Times New Roman" w:eastAsia="楷体_GB2312" w:cs="Times New Roman"/>
          <w:b/>
          <w:bCs/>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hAnsi="Times New Roman" w:eastAsia="楷体_GB2312" w:cs="Times New Roman"/>
          <w:b/>
          <w:bCs/>
          <w:sz w:val="32"/>
          <w:szCs w:val="32"/>
        </w:rPr>
        <w:t>1.因公出国（境）费支出情况。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因公出国（境）费支出预算为0万元,支出决算0万元。完成预算的0%。因公出国（境）费支出较预算增加0万元，增长0%,主要原因是没有因公出国（境）支出，较上年持平；较上年增加0万元，增长0%,主要原因是没有因公出国（境）支出，较上年持平。因公出国（境）团组0个、共0人、参加其他单位组织的因公出国（境）团组0个、共0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hAnsi="Times New Roman" w:eastAsia="楷体_GB2312" w:cs="Times New Roman"/>
          <w:b/>
          <w:bCs/>
          <w:sz w:val="32"/>
          <w:szCs w:val="32"/>
        </w:rPr>
        <w:t>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及运行维护费预算为2.2万元，支出决算2.2万元，完成预算的100%,较预算减少0万元，降低0%,主要原因是厉行节约，严控“三公”经费支出，与上年持平；较上年增加0.01万元，增长0.5%,主要原因是公务用车进行了维修保养，支出增加。其中：</w:t>
      </w:r>
    </w:p>
    <w:p>
      <w:pPr>
        <w:adjustRightInd w:val="0"/>
        <w:snapToGrid w:val="0"/>
        <w:spacing w:line="580" w:lineRule="exact"/>
        <w:ind w:firstLine="643" w:firstLineChars="200"/>
        <w:rPr>
          <w:rFonts w:ascii="Times New Roman" w:hAnsi="Times New Roman" w:eastAsia="仿宋_GB2312" w:cs="Times New Roman"/>
          <w:color w:val="auto"/>
          <w:sz w:val="32"/>
          <w:szCs w:val="32"/>
          <w:highlight w:val="none"/>
        </w:rPr>
      </w:pPr>
      <w:r>
        <w:rPr>
          <w:rFonts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sz w:val="32"/>
          <w:szCs w:val="32"/>
        </w:rPr>
        <w:t>本</w:t>
      </w:r>
      <w:r>
        <w:rPr>
          <w:rFonts w:hint="eastAsia" w:ascii="Times New Roman" w:eastAsia="仿宋_GB2312"/>
          <w:b w:val="0"/>
          <w:sz w:val="32"/>
          <w:szCs w:val="32"/>
          <w:lang w:eastAsia="zh-CN"/>
        </w:rPr>
        <w:t>单位</w:t>
      </w:r>
      <w:r>
        <w:rPr>
          <w:rFonts w:ascii="Times New Roman" w:hAnsi="Times New Roman" w:eastAsia="仿宋_GB2312" w:cs="Times New Roman"/>
          <w:sz w:val="32"/>
          <w:szCs w:val="32"/>
        </w:rPr>
        <w:t>2024年度公务用车购置量</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辆，发生“公务用车购置”经费支出</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万元。公务用车购置费支出较预算增加（减少）</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万元，增长（降低）</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主要原因是</w:t>
      </w:r>
      <w:r>
        <w:rPr>
          <w:rFonts w:hint="eastAsia" w:ascii="Times New Roman" w:hAnsi="Times New Roman" w:eastAsia="仿宋_GB2312" w:cs="Times New Roman"/>
          <w:sz w:val="32"/>
          <w:szCs w:val="32"/>
          <w:lang w:val="en-US" w:eastAsia="zh-CN"/>
        </w:rPr>
        <w:t>没有发生</w:t>
      </w:r>
      <w:r>
        <w:rPr>
          <w:rFonts w:ascii="Times New Roman" w:hAnsi="Times New Roman" w:eastAsia="仿宋_GB2312" w:cs="Times New Roman"/>
          <w:sz w:val="32"/>
          <w:szCs w:val="32"/>
        </w:rPr>
        <w:t>“公务用车购置”</w:t>
      </w:r>
      <w:r>
        <w:rPr>
          <w:rFonts w:ascii="Times New Roman" w:hAnsi="Times New Roman" w:eastAsia="仿宋_GB2312" w:cs="Times New Roman"/>
          <w:color w:val="auto"/>
          <w:sz w:val="32"/>
          <w:szCs w:val="32"/>
          <w:highlight w:val="none"/>
        </w:rPr>
        <w:t>经费支出；较上年增加（减少）</w:t>
      </w:r>
      <w:r>
        <w:rPr>
          <w:rFonts w:hint="eastAsia" w:ascii="Times New Roman" w:hAnsi="Times New Roman" w:eastAsia="仿宋_GB2312" w:cs="Times New Roman"/>
          <w:color w:val="auto"/>
          <w:sz w:val="32"/>
          <w:szCs w:val="32"/>
          <w:highlight w:val="none"/>
          <w:lang w:val="en-US" w:eastAsia="zh-CN"/>
        </w:rPr>
        <w:t>0</w:t>
      </w:r>
      <w:r>
        <w:rPr>
          <w:rFonts w:ascii="Times New Roman" w:hAnsi="Times New Roman" w:eastAsia="仿宋_GB2312" w:cs="Times New Roman"/>
          <w:color w:val="auto"/>
          <w:sz w:val="32"/>
          <w:szCs w:val="32"/>
          <w:highlight w:val="none"/>
        </w:rPr>
        <w:t>万元，增长（降低）</w:t>
      </w:r>
      <w:r>
        <w:rPr>
          <w:rFonts w:hint="eastAsia" w:ascii="Times New Roman" w:hAnsi="Times New Roman" w:eastAsia="仿宋_GB2312" w:cs="Times New Roman"/>
          <w:color w:val="auto"/>
          <w:sz w:val="32"/>
          <w:szCs w:val="32"/>
          <w:highlight w:val="none"/>
          <w:lang w:val="en-US" w:eastAsia="zh-CN"/>
        </w:rPr>
        <w:t>0</w:t>
      </w:r>
      <w:r>
        <w:rPr>
          <w:rFonts w:ascii="Times New Roman" w:hAnsi="Times New Roman" w:eastAsia="仿宋_GB2312" w:cs="Times New Roman"/>
          <w:color w:val="auto"/>
          <w:sz w:val="32"/>
          <w:szCs w:val="32"/>
          <w:highlight w:val="none"/>
        </w:rPr>
        <w:t>%</w:t>
      </w:r>
      <w:r>
        <w:rPr>
          <w:rFonts w:hint="eastAsia" w:ascii="Times New Roman" w:hAnsi="Times New Roman" w:eastAsia="仿宋_GB2312" w:cs="Times New Roman"/>
          <w:color w:val="auto"/>
          <w:sz w:val="32"/>
          <w:szCs w:val="32"/>
          <w:highlight w:val="none"/>
        </w:rPr>
        <w:t>，</w:t>
      </w:r>
      <w:r>
        <w:rPr>
          <w:rFonts w:ascii="Times New Roman" w:hAnsi="Times New Roman" w:eastAsia="仿宋_GB2312" w:cs="Times New Roman"/>
          <w:color w:val="auto"/>
          <w:sz w:val="32"/>
          <w:szCs w:val="32"/>
          <w:highlight w:val="none"/>
        </w:rPr>
        <w:t>主要原因是</w:t>
      </w:r>
      <w:r>
        <w:rPr>
          <w:rFonts w:hint="eastAsia" w:ascii="Times New Roman" w:hAnsi="Times New Roman" w:eastAsia="仿宋_GB2312" w:cs="Times New Roman"/>
          <w:color w:val="auto"/>
          <w:sz w:val="32"/>
          <w:szCs w:val="32"/>
          <w:highlight w:val="none"/>
          <w:lang w:val="en-US" w:eastAsia="zh-CN"/>
        </w:rPr>
        <w:t>没有发生</w:t>
      </w:r>
      <w:r>
        <w:rPr>
          <w:rFonts w:ascii="Times New Roman" w:hAnsi="Times New Roman" w:eastAsia="仿宋_GB2312" w:cs="Times New Roman"/>
          <w:color w:val="auto"/>
          <w:sz w:val="32"/>
          <w:szCs w:val="32"/>
          <w:highlight w:val="none"/>
        </w:rPr>
        <w:t>“公务用车购置”经费支出。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2.2</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单位公务用车保有量1辆，发生运行维护费支出2.2万元。公车运行维护费支出较预算减少0万元，降低0%,主要原因是厉行节约，严控“三公”经费支出，与上年持平；较上年增加0.01万元，增长0.5%，主要原因是公务用车进行了维修保养，支出增加。</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hAnsi="Times New Roman" w:eastAsia="楷体_GB2312" w:cs="Times New Roman"/>
          <w:b/>
          <w:bCs/>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2024年度公务接待费支出预算为0万元，支出决算0万元，完成预算的0%。公务接待费支出较预算增加0万元，增长0%,主要原因是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公务接待费支出；较上年度增加0万元，增长0%,主要原因是</w:t>
      </w:r>
      <w:r>
        <w:rPr>
          <w:rFonts w:hint="eastAsia" w:ascii="Times New Roman" w:eastAsia="仿宋_GB2312"/>
          <w:b w:val="0"/>
          <w:sz w:val="32"/>
          <w:szCs w:val="32"/>
          <w:lang w:val="en-US" w:eastAsia="zh-CN"/>
        </w:rPr>
        <w:t>未发生</w:t>
      </w:r>
      <w:r>
        <w:rPr>
          <w:rFonts w:ascii="Times New Roman" w:eastAsia="仿宋_GB2312"/>
          <w:b w:val="0"/>
          <w:sz w:val="32"/>
          <w:szCs w:val="32"/>
        </w:rPr>
        <w:t>公务接待费支出。本年度共发生公务接待0批次、0人次。</w:t>
      </w:r>
    </w:p>
    <w:p>
      <w:pPr>
        <w:adjustRightInd w:val="0"/>
        <w:snapToGrid w:val="0"/>
        <w:spacing w:line="580" w:lineRule="exact"/>
        <w:ind w:left="420" w:leftChars="200" w:firstLine="320" w:firstLineChars="100"/>
        <w:rPr>
          <w:rFonts w:ascii="Times New Roman" w:hAnsi="Times New Roman" w:eastAsia="仿宋_GB2312" w:cs="Times New Roman"/>
          <w:sz w:val="32"/>
          <w:szCs w:val="32"/>
          <w:highlight w:val="green"/>
        </w:rPr>
      </w:pPr>
      <w:r>
        <w:rPr>
          <w:rFonts w:ascii="Times New Roman" w:hAnsi="Times New Roman" w:eastAsia="黑体" w:cs="Times New Roman"/>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2024年度机关运行经费支出35.81万元，较2023年度减少2.29万元，降低6%。主要原因是厉行节约，压缩行政运行经费支出。</w:t>
      </w:r>
    </w:p>
    <w:p>
      <w:pPr>
        <w:adjustRightInd w:val="0"/>
        <w:snapToGrid w:val="0"/>
        <w:spacing w:line="580" w:lineRule="exact"/>
        <w:ind w:firstLine="640" w:firstLineChars="200"/>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政府采购支出总额72.7万元，从采购类型来看，政府采购货物支出0万元、政府采购工程支出0万元、政府采购服务支出72.7万元。授予中小企业合同金额72.7万元，占政府采购支出总额的100%，其中授予小微企业合同金额72.7万元，占政府采购支出总额的100%。</w:t>
      </w:r>
    </w:p>
    <w:p>
      <w:pPr>
        <w:snapToGrid w:val="0"/>
        <w:spacing w:line="580" w:lineRule="exact"/>
        <w:ind w:firstLine="64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eastAsia="zh-CN"/>
        </w:rPr>
        <w:t>单位</w:t>
      </w:r>
      <w:r>
        <w:rPr>
          <w:rFonts w:ascii="Times New Roman" w:eastAsia="仿宋_GB2312"/>
          <w:b w:val="0"/>
          <w:sz w:val="32"/>
          <w:szCs w:val="32"/>
        </w:rPr>
        <w:t>共有车辆1辆，比上年增加0辆，主要是没有购置公务用车。其中，副部（省）级及以上领导用车0辆，主要负责人用车0辆，机要通信用车0辆，应急保障用车0辆，执法执勤用车0辆，特种专业技术用车0辆，离退休干部用车0辆，其他用车1辆，其他用车主要是机关日常公务用车。单位价值100万元（含）以上设备（不含车辆）0台（套）。</w:t>
      </w:r>
    </w:p>
    <w:p>
      <w:pPr>
        <w:widowControl/>
        <w:spacing w:after="160" w:line="580" w:lineRule="exact"/>
        <w:ind w:firstLine="640" w:firstLineChars="200"/>
        <w:rPr>
          <w:rFonts w:ascii="Times New Roman" w:hAnsi="Times New Roman" w:eastAsia="黑体" w:cs="Times New Roman"/>
          <w:sz w:val="32"/>
          <w:szCs w:val="40"/>
          <w:highlight w:val="none"/>
        </w:rPr>
      </w:pPr>
      <w:r>
        <w:rPr>
          <w:rFonts w:ascii="Times New Roman" w:hAnsi="Times New Roman" w:eastAsia="黑体" w:cs="Times New Roman"/>
          <w:sz w:val="32"/>
          <w:szCs w:val="40"/>
          <w:highlight w:val="none"/>
        </w:rPr>
        <w:t>九、关于2024年度绩效评价情况的说明</w:t>
      </w:r>
    </w:p>
    <w:p>
      <w:pPr>
        <w:adjustRightInd w:val="0"/>
        <w:snapToGrid w:val="0"/>
        <w:spacing w:line="580" w:lineRule="exact"/>
        <w:ind w:firstLine="643" w:firstLineChars="200"/>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w:t>
      </w:r>
      <w:r>
        <w:rPr>
          <w:rFonts w:hint="eastAsia" w:ascii="Times New Roman" w:eastAsia="仿宋_GB2312"/>
          <w:b w:val="0"/>
          <w:sz w:val="32"/>
          <w:szCs w:val="32"/>
          <w:lang w:eastAsia="zh-CN"/>
        </w:rPr>
        <w:t>单位</w:t>
      </w:r>
      <w:r>
        <w:rPr>
          <w:rFonts w:ascii="Times New Roman" w:eastAsia="仿宋_GB2312"/>
          <w:b w:val="0"/>
          <w:sz w:val="32"/>
          <w:szCs w:val="32"/>
        </w:rPr>
        <w:t>组织对2024年度本级预算项目支出全面开展绩效自评，共涉及资金</w:t>
      </w:r>
      <w:r>
        <w:rPr>
          <w:rFonts w:ascii="Times New Roman" w:eastAsia="仿宋_GB2312"/>
          <w:b w:val="0"/>
          <w:color w:val="auto"/>
          <w:sz w:val="32"/>
          <w:szCs w:val="32"/>
        </w:rPr>
        <w:t>7,018.02</w:t>
      </w:r>
      <w:r>
        <w:rPr>
          <w:rFonts w:ascii="Times New Roman" w:eastAsia="仿宋_GB2312"/>
          <w:b w:val="0"/>
          <w:sz w:val="32"/>
          <w:szCs w:val="32"/>
        </w:rPr>
        <w:t>万元（决算金额）。其中，一般公共预算项目28个，涉及资金7,018.02万元，占一般公共预算项目支出总额的100%；政府性基金预算项目0个，涉及资金0万元，占政府性基金预算项目支出总额的0%；国有资本经营预算项目0个，涉及资金0万元，占国有资本经营预算项目支出总额的0%。</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组织对“低保户、困难家庭春节慰问”等</w:t>
      </w:r>
      <w:r>
        <w:rPr>
          <w:rFonts w:hint="eastAsia" w:ascii="Times New Roman" w:eastAsia="仿宋_GB2312"/>
          <w:b w:val="0"/>
          <w:sz w:val="32"/>
          <w:szCs w:val="32"/>
          <w:lang w:val="en-US" w:eastAsia="zh-CN"/>
        </w:rPr>
        <w:t>1</w:t>
      </w:r>
      <w:r>
        <w:rPr>
          <w:rFonts w:ascii="Times New Roman" w:eastAsia="仿宋_GB2312"/>
          <w:b w:val="0"/>
          <w:sz w:val="32"/>
          <w:szCs w:val="32"/>
        </w:rPr>
        <w:t>个项目开展了部门重点评价，涉及一般公共预算支出19.9万元，政府性基金预算支出0万元，国有资本经营预算支出0万元，从评价情况来看，根据年初设定的绩效目 标,“低保户、困难家庭及孤儿春节慰问”项目绩效评价等级为优秀。</w:t>
      </w:r>
    </w:p>
    <w:p>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在今年部门决算公开中反映</w:t>
      </w:r>
      <w:r>
        <w:rPr>
          <w:rFonts w:hint="eastAsia" w:ascii="Times New Roman" w:eastAsia="仿宋_GB2312"/>
          <w:b w:val="0"/>
          <w:sz w:val="32"/>
          <w:szCs w:val="32"/>
          <w:lang w:val="en-US" w:eastAsia="zh-CN"/>
        </w:rPr>
        <w:t>民政业务经费等</w:t>
      </w:r>
      <w:r>
        <w:rPr>
          <w:rFonts w:ascii="Times New Roman" w:eastAsia="仿宋_GB2312"/>
          <w:b w:val="0"/>
          <w:sz w:val="32"/>
          <w:szCs w:val="32"/>
        </w:rPr>
        <w:t>1</w:t>
      </w:r>
      <w:r>
        <w:rPr>
          <w:rFonts w:hint="eastAsia" w:ascii="Times New Roman" w:eastAsia="仿宋_GB2312"/>
          <w:b w:val="0"/>
          <w:sz w:val="32"/>
          <w:szCs w:val="32"/>
          <w:lang w:val="en-US" w:eastAsia="zh-CN"/>
        </w:rPr>
        <w:t>0</w:t>
      </w:r>
      <w:r>
        <w:rPr>
          <w:rFonts w:ascii="Times New Roman" w:eastAsia="仿宋_GB2312"/>
          <w:b w:val="0"/>
          <w:sz w:val="32"/>
          <w:szCs w:val="32"/>
        </w:rPr>
        <w:t>个项目绩效自评结果。</w:t>
      </w:r>
    </w:p>
    <w:p>
      <w:pPr>
        <w:numPr>
          <w:ilvl w:val="0"/>
          <w:numId w:val="2"/>
        </w:numPr>
        <w:adjustRightInd w:val="0"/>
        <w:snapToGrid w:val="0"/>
        <w:spacing w:line="580" w:lineRule="exact"/>
        <w:ind w:firstLine="643" w:firstLineChars="200"/>
        <w:rPr>
          <w:rFonts w:ascii="Times New Roman" w:eastAsia="仿宋_GB2312"/>
          <w:b w:val="0"/>
          <w:sz w:val="32"/>
          <w:szCs w:val="32"/>
        </w:rPr>
      </w:pPr>
      <w:r>
        <w:rPr>
          <w:rFonts w:ascii="Times New Roman" w:eastAsia="仿宋_GB2312"/>
          <w:b/>
          <w:bCs/>
          <w:sz w:val="32"/>
          <w:szCs w:val="32"/>
        </w:rPr>
        <w:t>低保户、困难家庭及孤儿春节慰问项目绩效自评情况：</w:t>
      </w:r>
      <w:r>
        <w:rPr>
          <w:rFonts w:ascii="Times New Roman" w:eastAsia="仿宋_GB2312"/>
          <w:b w:val="0"/>
          <w:sz w:val="32"/>
          <w:szCs w:val="32"/>
        </w:rPr>
        <w:t>根据年初设定的绩效目标，“低保户、困难家庭及孤儿春节慰问”项目绩效自评得分为100分（绩效自评表附后）。全年预算数为19.9万元，执行数为19.9万元，完成预算的100%。项目绩效目标完成情况：一是为使辖区困难群众过上祥和快乐的 春节，春节前集中进行慰问，对辖区在册的低保家庭 1018 户， 每户发放慰问品一份（米、面、油）；二是对在册的特困人员 98 户， 按照每户 500 元标准发放慰问金；对低保、特困对象 13 户做为 市、区领导重点慰问对象，其中 17 户按照每户 1000 元标准发放 慰问金，每户慰问品一份（米、面、油）；孤儿及事实无人抚养 儿童 54人，每人 500 元慰问金。通过对辖区重点困难群众节日慰问,使辖区困难群众度过欢乐祥和的春节,充分体现了党和政府对困难群众的关心关爱。</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ascii="Times New Roman" w:eastAsia="仿宋_GB2312"/>
          <w:b w:val="0"/>
          <w:sz w:val="32"/>
          <w:szCs w:val="32"/>
        </w:rPr>
      </w:pPr>
      <w:r>
        <w:rPr>
          <w:rFonts w:hint="eastAsia" w:ascii="Times New Roman" w:eastAsia="仿宋_GB2312"/>
          <w:b/>
          <w:bCs/>
          <w:sz w:val="32"/>
          <w:szCs w:val="32"/>
        </w:rPr>
        <w:t>精简职工40%救济补助</w:t>
      </w:r>
      <w:r>
        <w:rPr>
          <w:rFonts w:ascii="Times New Roman" w:eastAsia="仿宋_GB2312"/>
          <w:b/>
          <w:bCs/>
          <w:sz w:val="32"/>
          <w:szCs w:val="32"/>
        </w:rPr>
        <w:t>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精简职工40%救济补助</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1.18</w:t>
      </w:r>
      <w:r>
        <w:rPr>
          <w:rFonts w:ascii="Times New Roman" w:eastAsia="仿宋_GB2312"/>
          <w:b w:val="0"/>
          <w:sz w:val="32"/>
          <w:szCs w:val="32"/>
        </w:rPr>
        <w:t>万元，执行数为</w:t>
      </w:r>
      <w:r>
        <w:rPr>
          <w:rFonts w:hint="eastAsia" w:ascii="Times New Roman" w:eastAsia="仿宋_GB2312"/>
          <w:b w:val="0"/>
          <w:sz w:val="32"/>
          <w:szCs w:val="32"/>
          <w:lang w:val="en-US" w:eastAsia="zh-CN"/>
        </w:rPr>
        <w:t>1.18</w:t>
      </w:r>
      <w:r>
        <w:rPr>
          <w:rFonts w:ascii="Times New Roman" w:eastAsia="仿宋_GB2312"/>
          <w:b w:val="0"/>
          <w:sz w:val="32"/>
          <w:szCs w:val="32"/>
        </w:rPr>
        <w:t>万元，完成预算的100%。项目绩效目标完成情况：</w:t>
      </w:r>
      <w:r>
        <w:rPr>
          <w:rFonts w:hint="eastAsia" w:ascii="Times New Roman" w:eastAsia="仿宋_GB2312"/>
          <w:b w:val="0"/>
          <w:sz w:val="32"/>
          <w:szCs w:val="32"/>
        </w:rPr>
        <w:t>按政策规定及时足额发放了精减职工40%生活救济，保障精减职工的基本生活；按规定标准报销精减职工医药费。</w:t>
      </w:r>
      <w:r>
        <w:rPr>
          <w:rFonts w:ascii="Times New Roman" w:eastAsia="仿宋_GB2312"/>
          <w:b w:val="0"/>
          <w:sz w:val="32"/>
          <w:szCs w:val="32"/>
        </w:rPr>
        <w:t>通过</w:t>
      </w:r>
      <w:r>
        <w:rPr>
          <w:rFonts w:hint="eastAsia" w:ascii="Times New Roman" w:eastAsia="仿宋_GB2312"/>
          <w:b w:val="0"/>
          <w:sz w:val="32"/>
          <w:szCs w:val="32"/>
        </w:rPr>
        <w:t>发放精减职工40%生活救济</w:t>
      </w:r>
      <w:r>
        <w:rPr>
          <w:rFonts w:hint="eastAsia" w:ascii="Times New Roman" w:eastAsia="仿宋_GB2312"/>
          <w:b w:val="0"/>
          <w:sz w:val="32"/>
          <w:szCs w:val="32"/>
          <w:lang w:eastAsia="zh-CN"/>
        </w:rPr>
        <w:t>，保障了精减职工的基本生活；</w:t>
      </w:r>
      <w:r>
        <w:rPr>
          <w:rFonts w:ascii="Times New Roman" w:eastAsia="仿宋_GB2312"/>
          <w:b w:val="0"/>
          <w:sz w:val="32"/>
          <w:szCs w:val="32"/>
        </w:rPr>
        <w:t>充分体现了党和政府对</w:t>
      </w:r>
      <w:r>
        <w:rPr>
          <w:rFonts w:hint="eastAsia" w:ascii="Times New Roman" w:eastAsia="仿宋_GB2312"/>
          <w:b w:val="0"/>
          <w:sz w:val="32"/>
          <w:szCs w:val="32"/>
        </w:rPr>
        <w:t>精减职工40%生活救济</w:t>
      </w:r>
      <w:r>
        <w:rPr>
          <w:rFonts w:ascii="Times New Roman" w:eastAsia="仿宋_GB2312"/>
          <w:b w:val="0"/>
          <w:sz w:val="32"/>
          <w:szCs w:val="32"/>
        </w:rPr>
        <w:t>的关心关爱。</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ascii="Times New Roman" w:eastAsia="仿宋_GB2312"/>
          <w:b w:val="0"/>
          <w:sz w:val="32"/>
          <w:szCs w:val="32"/>
        </w:rPr>
      </w:pPr>
      <w:r>
        <w:rPr>
          <w:rFonts w:hint="eastAsia" w:ascii="Times New Roman" w:eastAsia="仿宋_GB2312"/>
          <w:b/>
          <w:bCs/>
          <w:sz w:val="32"/>
          <w:szCs w:val="32"/>
        </w:rPr>
        <w:t>节地生态安葬项目绩效自评情况：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节地生态安葬</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5.1</w:t>
      </w:r>
      <w:r>
        <w:rPr>
          <w:rFonts w:ascii="Times New Roman" w:eastAsia="仿宋_GB2312"/>
          <w:b w:val="0"/>
          <w:sz w:val="32"/>
          <w:szCs w:val="32"/>
        </w:rPr>
        <w:t>万元，执行数为</w:t>
      </w:r>
      <w:r>
        <w:rPr>
          <w:rFonts w:hint="eastAsia" w:ascii="Times New Roman" w:eastAsia="仿宋_GB2312"/>
          <w:b w:val="0"/>
          <w:sz w:val="32"/>
          <w:szCs w:val="32"/>
          <w:lang w:val="en-US" w:eastAsia="zh-CN"/>
        </w:rPr>
        <w:t>5.1</w:t>
      </w:r>
      <w:r>
        <w:rPr>
          <w:rFonts w:ascii="Times New Roman" w:eastAsia="仿宋_GB2312"/>
          <w:b w:val="0"/>
          <w:sz w:val="32"/>
          <w:szCs w:val="32"/>
        </w:rPr>
        <w:t>万元，完成预算的100%。项目绩效目标完成情况：</w:t>
      </w:r>
      <w:r>
        <w:rPr>
          <w:rFonts w:hint="eastAsia" w:ascii="Times New Roman" w:eastAsia="仿宋_GB2312"/>
          <w:b w:val="0"/>
          <w:sz w:val="32"/>
          <w:szCs w:val="32"/>
        </w:rPr>
        <w:t>由各街道宣传殡葬改革，推行节地生态安葬，鼓励倡导骨灰海葬、骨灰自然葬</w:t>
      </w:r>
      <w:r>
        <w:rPr>
          <w:rFonts w:hint="eastAsia" w:ascii="Times New Roman" w:eastAsia="仿宋_GB2312"/>
          <w:b w:val="0"/>
          <w:sz w:val="32"/>
          <w:szCs w:val="32"/>
          <w:lang w:eastAsia="zh-CN"/>
        </w:rPr>
        <w:t>。</w:t>
      </w:r>
      <w:r>
        <w:rPr>
          <w:rFonts w:ascii="Times New Roman" w:eastAsia="仿宋_GB2312"/>
          <w:b w:val="0"/>
          <w:sz w:val="32"/>
          <w:szCs w:val="32"/>
        </w:rPr>
        <w:t>通过</w:t>
      </w:r>
      <w:r>
        <w:rPr>
          <w:rFonts w:hint="eastAsia" w:ascii="Times New Roman" w:eastAsia="仿宋_GB2312"/>
          <w:b w:val="0"/>
          <w:sz w:val="32"/>
          <w:szCs w:val="32"/>
        </w:rPr>
        <w:t>发放节地生态安葬</w:t>
      </w:r>
      <w:r>
        <w:rPr>
          <w:rFonts w:hint="eastAsia" w:ascii="Times New Roman" w:eastAsia="仿宋_GB2312"/>
          <w:b w:val="0"/>
          <w:sz w:val="32"/>
          <w:szCs w:val="32"/>
          <w:lang w:val="en-US" w:eastAsia="zh-CN"/>
        </w:rPr>
        <w:t>奖补资金</w:t>
      </w:r>
      <w:r>
        <w:rPr>
          <w:rFonts w:hint="eastAsia" w:ascii="Times New Roman" w:eastAsia="仿宋_GB2312"/>
          <w:b w:val="0"/>
          <w:sz w:val="32"/>
          <w:szCs w:val="32"/>
          <w:lang w:eastAsia="zh-CN"/>
        </w:rPr>
        <w:t>，保障了</w:t>
      </w:r>
      <w:r>
        <w:rPr>
          <w:rFonts w:hint="eastAsia" w:ascii="Times New Roman" w:eastAsia="仿宋_GB2312"/>
          <w:b w:val="0"/>
          <w:sz w:val="32"/>
          <w:szCs w:val="32"/>
        </w:rPr>
        <w:t>节地生态安葬</w:t>
      </w:r>
      <w:r>
        <w:rPr>
          <w:rFonts w:hint="eastAsia" w:ascii="Times New Roman" w:eastAsia="仿宋_GB2312"/>
          <w:b w:val="0"/>
          <w:sz w:val="32"/>
          <w:szCs w:val="32"/>
          <w:lang w:val="en-US" w:eastAsia="zh-CN"/>
        </w:rPr>
        <w:t>工作顺利开展</w:t>
      </w:r>
      <w:r>
        <w:rPr>
          <w:rFonts w:hint="eastAsia" w:ascii="Times New Roman" w:eastAsia="仿宋_GB2312"/>
          <w:b w:val="0"/>
          <w:sz w:val="32"/>
          <w:szCs w:val="32"/>
          <w:lang w:eastAsia="zh-CN"/>
        </w:rPr>
        <w:t>；</w:t>
      </w:r>
      <w:r>
        <w:rPr>
          <w:rFonts w:ascii="Times New Roman" w:eastAsia="仿宋_GB2312"/>
          <w:b w:val="0"/>
          <w:sz w:val="32"/>
          <w:szCs w:val="32"/>
        </w:rPr>
        <w:t>充分体现了党和政府对</w:t>
      </w:r>
      <w:r>
        <w:rPr>
          <w:rFonts w:hint="eastAsia" w:ascii="Times New Roman" w:eastAsia="仿宋_GB2312"/>
          <w:b w:val="0"/>
          <w:sz w:val="32"/>
          <w:szCs w:val="32"/>
        </w:rPr>
        <w:t>节地生态安葬</w:t>
      </w:r>
      <w:r>
        <w:rPr>
          <w:rFonts w:hint="eastAsia" w:ascii="Times New Roman" w:eastAsia="仿宋_GB2312"/>
          <w:b w:val="0"/>
          <w:sz w:val="32"/>
          <w:szCs w:val="32"/>
          <w:lang w:val="en-US" w:eastAsia="zh-CN"/>
        </w:rPr>
        <w:t>工作</w:t>
      </w:r>
      <w:r>
        <w:rPr>
          <w:rFonts w:ascii="Times New Roman" w:eastAsia="仿宋_GB2312"/>
          <w:b w:val="0"/>
          <w:sz w:val="32"/>
          <w:szCs w:val="32"/>
        </w:rPr>
        <w:t>的关心关爱。</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ascii="Times New Roman" w:eastAsia="仿宋_GB2312"/>
          <w:b w:val="0"/>
          <w:sz w:val="32"/>
          <w:szCs w:val="32"/>
        </w:rPr>
      </w:pPr>
      <w:r>
        <w:rPr>
          <w:rFonts w:hint="eastAsia" w:ascii="Times New Roman" w:eastAsia="仿宋_GB2312"/>
          <w:b/>
          <w:bCs/>
          <w:sz w:val="32"/>
          <w:szCs w:val="32"/>
        </w:rPr>
        <w:t>桥西区社区服务中心及东顺经费项目绩效自评情况：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桥西区社区服务中心及东顺经费</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36.14</w:t>
      </w:r>
      <w:r>
        <w:rPr>
          <w:rFonts w:ascii="Times New Roman" w:eastAsia="仿宋_GB2312"/>
          <w:b w:val="0"/>
          <w:sz w:val="32"/>
          <w:szCs w:val="32"/>
        </w:rPr>
        <w:t>万元，执行数为</w:t>
      </w:r>
      <w:r>
        <w:rPr>
          <w:rFonts w:hint="eastAsia" w:ascii="Times New Roman" w:eastAsia="仿宋_GB2312"/>
          <w:b w:val="0"/>
          <w:sz w:val="32"/>
          <w:szCs w:val="32"/>
          <w:lang w:val="en-US" w:eastAsia="zh-CN"/>
        </w:rPr>
        <w:t>36.14</w:t>
      </w:r>
      <w:r>
        <w:rPr>
          <w:rFonts w:ascii="Times New Roman" w:eastAsia="仿宋_GB2312"/>
          <w:b w:val="0"/>
          <w:sz w:val="32"/>
          <w:szCs w:val="32"/>
        </w:rPr>
        <w:t>万元，完成预算的100%。项目绩效目标完成情况：</w:t>
      </w:r>
      <w:r>
        <w:rPr>
          <w:rFonts w:hint="eastAsia" w:ascii="Times New Roman" w:eastAsia="仿宋_GB2312"/>
          <w:b w:val="0"/>
          <w:sz w:val="32"/>
          <w:szCs w:val="32"/>
        </w:rPr>
        <w:t>按时发放人员工资，缴纳各项保险；保障人员福利待遇及工作经费</w:t>
      </w:r>
      <w:r>
        <w:rPr>
          <w:rFonts w:hint="eastAsia" w:ascii="Times New Roman" w:eastAsia="仿宋_GB2312"/>
          <w:b w:val="0"/>
          <w:sz w:val="32"/>
          <w:szCs w:val="32"/>
          <w:lang w:val="en-US" w:eastAsia="zh-CN"/>
        </w:rPr>
        <w:t>以及</w:t>
      </w:r>
      <w:r>
        <w:rPr>
          <w:rFonts w:hint="eastAsia" w:ascii="Times New Roman" w:eastAsia="仿宋_GB2312"/>
          <w:b w:val="0"/>
          <w:sz w:val="32"/>
          <w:szCs w:val="32"/>
        </w:rPr>
        <w:t>工作的顺利进行。</w:t>
      </w:r>
      <w:r>
        <w:rPr>
          <w:rFonts w:hint="eastAsia" w:ascii="Times New Roman" w:eastAsia="仿宋_GB2312"/>
          <w:b w:val="0"/>
          <w:sz w:val="32"/>
          <w:szCs w:val="32"/>
          <w:lang w:val="en-US" w:eastAsia="zh-CN"/>
        </w:rPr>
        <w:t>及时</w:t>
      </w:r>
      <w:r>
        <w:rPr>
          <w:rFonts w:hint="eastAsia" w:ascii="Times New Roman" w:eastAsia="仿宋_GB2312"/>
          <w:b w:val="0"/>
          <w:sz w:val="32"/>
          <w:szCs w:val="32"/>
        </w:rPr>
        <w:t>发放社区服务中心人员</w:t>
      </w:r>
      <w:r>
        <w:rPr>
          <w:rFonts w:hint="eastAsia" w:ascii="Times New Roman" w:eastAsia="仿宋_GB2312"/>
          <w:b w:val="0"/>
          <w:sz w:val="32"/>
          <w:szCs w:val="32"/>
          <w:lang w:eastAsia="zh-CN"/>
        </w:rPr>
        <w:t>的</w:t>
      </w:r>
      <w:r>
        <w:rPr>
          <w:rFonts w:hint="eastAsia" w:ascii="Times New Roman" w:eastAsia="仿宋_GB2312"/>
          <w:b w:val="0"/>
          <w:sz w:val="32"/>
          <w:szCs w:val="32"/>
          <w:lang w:val="en-US" w:eastAsia="zh-CN"/>
        </w:rPr>
        <w:t>工资、保险等</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确保</w:t>
      </w:r>
      <w:r>
        <w:rPr>
          <w:rFonts w:hint="eastAsia" w:ascii="Times New Roman" w:eastAsia="仿宋_GB2312"/>
          <w:b w:val="0"/>
          <w:sz w:val="32"/>
          <w:szCs w:val="32"/>
        </w:rPr>
        <w:t>人员</w:t>
      </w:r>
      <w:r>
        <w:rPr>
          <w:rFonts w:hint="eastAsia" w:ascii="Times New Roman" w:eastAsia="仿宋_GB2312"/>
          <w:b w:val="0"/>
          <w:sz w:val="32"/>
          <w:szCs w:val="32"/>
          <w:lang w:eastAsia="zh-CN"/>
        </w:rPr>
        <w:t>基本生活</w:t>
      </w:r>
      <w:r>
        <w:rPr>
          <w:rFonts w:hint="eastAsia" w:ascii="Times New Roman" w:eastAsia="仿宋_GB2312"/>
          <w:b w:val="0"/>
          <w:sz w:val="32"/>
          <w:szCs w:val="32"/>
          <w:lang w:val="en-US" w:eastAsia="zh-CN"/>
        </w:rPr>
        <w:t>的正常运行</w:t>
      </w:r>
      <w:r>
        <w:rPr>
          <w:rFonts w:hint="eastAsia" w:ascii="Times New Roman" w:eastAsia="仿宋_GB2312"/>
          <w:b w:val="0"/>
          <w:sz w:val="32"/>
          <w:szCs w:val="32"/>
          <w:lang w:eastAsia="zh-CN"/>
        </w:rPr>
        <w:t>；</w:t>
      </w:r>
      <w:r>
        <w:rPr>
          <w:rFonts w:ascii="Times New Roman" w:eastAsia="仿宋_GB2312"/>
          <w:b w:val="0"/>
          <w:sz w:val="32"/>
          <w:szCs w:val="32"/>
        </w:rPr>
        <w:t>充分</w:t>
      </w:r>
      <w:r>
        <w:rPr>
          <w:rFonts w:hint="eastAsia" w:ascii="Times New Roman" w:eastAsia="仿宋_GB2312"/>
          <w:b w:val="0"/>
          <w:sz w:val="32"/>
          <w:szCs w:val="32"/>
          <w:lang w:val="en-US" w:eastAsia="zh-CN"/>
        </w:rPr>
        <w:t>展示出</w:t>
      </w:r>
      <w:r>
        <w:rPr>
          <w:rFonts w:ascii="Times New Roman" w:eastAsia="仿宋_GB2312"/>
          <w:b w:val="0"/>
          <w:sz w:val="32"/>
          <w:szCs w:val="32"/>
        </w:rPr>
        <w:t>党和政府对</w:t>
      </w:r>
      <w:r>
        <w:rPr>
          <w:rFonts w:hint="eastAsia" w:ascii="Times New Roman" w:eastAsia="仿宋_GB2312"/>
          <w:b w:val="0"/>
          <w:sz w:val="32"/>
          <w:szCs w:val="32"/>
        </w:rPr>
        <w:t>职工</w:t>
      </w:r>
      <w:r>
        <w:rPr>
          <w:rFonts w:hint="eastAsia" w:ascii="Times New Roman" w:eastAsia="仿宋_GB2312"/>
          <w:b w:val="0"/>
          <w:sz w:val="32"/>
          <w:szCs w:val="32"/>
          <w:lang w:val="en-US" w:eastAsia="zh-CN"/>
        </w:rPr>
        <w:t>基本</w:t>
      </w:r>
      <w:r>
        <w:rPr>
          <w:rFonts w:hint="eastAsia" w:ascii="Times New Roman" w:eastAsia="仿宋_GB2312"/>
          <w:b w:val="0"/>
          <w:sz w:val="32"/>
          <w:szCs w:val="32"/>
        </w:rPr>
        <w:t>生活</w:t>
      </w:r>
      <w:r>
        <w:rPr>
          <w:rFonts w:hint="eastAsia" w:ascii="Times New Roman" w:eastAsia="仿宋_GB2312"/>
          <w:b w:val="0"/>
          <w:sz w:val="32"/>
          <w:szCs w:val="32"/>
          <w:lang w:eastAsia="zh-CN"/>
        </w:rPr>
        <w:t>的</w:t>
      </w:r>
      <w:r>
        <w:rPr>
          <w:rFonts w:hint="eastAsia" w:ascii="Times New Roman" w:eastAsia="仿宋_GB2312"/>
          <w:b w:val="0"/>
          <w:sz w:val="32"/>
          <w:szCs w:val="32"/>
          <w:lang w:val="en-US" w:eastAsia="zh-CN"/>
        </w:rPr>
        <w:t>关心</w:t>
      </w:r>
      <w:r>
        <w:rPr>
          <w:rFonts w:ascii="Times New Roman" w:eastAsia="仿宋_GB2312"/>
          <w:b w:val="0"/>
          <w:sz w:val="32"/>
          <w:szCs w:val="32"/>
        </w:rPr>
        <w:t>。</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ascii="Times New Roman" w:eastAsia="仿宋_GB2312"/>
          <w:b w:val="0"/>
          <w:sz w:val="32"/>
          <w:szCs w:val="32"/>
        </w:rPr>
      </w:pPr>
      <w:r>
        <w:rPr>
          <w:rFonts w:hint="eastAsia" w:ascii="Times New Roman" w:eastAsia="仿宋_GB2312"/>
          <w:b/>
          <w:bCs/>
          <w:sz w:val="32"/>
          <w:szCs w:val="32"/>
        </w:rPr>
        <w:t>法律咨询服务费项目绩效自评情况：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法律咨询服务费</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1.6</w:t>
      </w:r>
      <w:r>
        <w:rPr>
          <w:rFonts w:ascii="Times New Roman" w:eastAsia="仿宋_GB2312"/>
          <w:b w:val="0"/>
          <w:sz w:val="32"/>
          <w:szCs w:val="32"/>
        </w:rPr>
        <w:t>万元，执行数为</w:t>
      </w:r>
      <w:r>
        <w:rPr>
          <w:rFonts w:hint="eastAsia" w:ascii="Times New Roman" w:eastAsia="仿宋_GB2312"/>
          <w:b w:val="0"/>
          <w:sz w:val="32"/>
          <w:szCs w:val="32"/>
          <w:lang w:val="en-US" w:eastAsia="zh-CN"/>
        </w:rPr>
        <w:t>1.6</w:t>
      </w:r>
      <w:r>
        <w:rPr>
          <w:rFonts w:ascii="Times New Roman" w:eastAsia="仿宋_GB2312"/>
          <w:b w:val="0"/>
          <w:sz w:val="32"/>
          <w:szCs w:val="32"/>
        </w:rPr>
        <w:t>万元，完成预算的100%。项目绩效目标完成情况：</w:t>
      </w:r>
      <w:r>
        <w:rPr>
          <w:rFonts w:hint="eastAsia" w:ascii="Times New Roman" w:eastAsia="仿宋_GB2312"/>
          <w:b w:val="0"/>
          <w:sz w:val="32"/>
          <w:szCs w:val="32"/>
        </w:rPr>
        <w:t>通过法律咨询，对规范性文件、合同进行合法性审查，降低了风险，提高了业务工作人员法律知识，提高行政执法能力和水平。</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ascii="Times New Roman" w:eastAsia="仿宋_GB2312"/>
          <w:b w:val="0"/>
          <w:sz w:val="32"/>
          <w:szCs w:val="32"/>
        </w:rPr>
      </w:pPr>
      <w:r>
        <w:rPr>
          <w:rFonts w:hint="eastAsia" w:ascii="Times New Roman" w:eastAsia="仿宋_GB2312"/>
          <w:b/>
          <w:bCs/>
          <w:sz w:val="32"/>
          <w:szCs w:val="32"/>
        </w:rPr>
        <w:t>孤儿助学项目绩效自评情况：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孤儿助学</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rPr>
        <w:t>2.25</w:t>
      </w:r>
      <w:r>
        <w:rPr>
          <w:rFonts w:ascii="Times New Roman" w:eastAsia="仿宋_GB2312"/>
          <w:b w:val="0"/>
          <w:sz w:val="32"/>
          <w:szCs w:val="32"/>
        </w:rPr>
        <w:t>万元，执行数为</w:t>
      </w:r>
      <w:r>
        <w:rPr>
          <w:rFonts w:hint="eastAsia" w:ascii="Times New Roman" w:eastAsia="仿宋_GB2312"/>
          <w:b w:val="0"/>
          <w:sz w:val="32"/>
          <w:szCs w:val="32"/>
        </w:rPr>
        <w:t>2.25</w:t>
      </w:r>
      <w:r>
        <w:rPr>
          <w:rFonts w:ascii="Times New Roman" w:eastAsia="仿宋_GB2312"/>
          <w:b w:val="0"/>
          <w:sz w:val="32"/>
          <w:szCs w:val="32"/>
        </w:rPr>
        <w:t>万元，完成预算的100%。项目绩效目标完成情况：</w:t>
      </w:r>
      <w:r>
        <w:rPr>
          <w:rFonts w:hint="eastAsia" w:ascii="Times New Roman" w:eastAsia="仿宋_GB2312"/>
          <w:b w:val="0"/>
          <w:sz w:val="32"/>
          <w:szCs w:val="32"/>
          <w:lang w:val="en-US" w:eastAsia="zh-CN"/>
        </w:rPr>
        <w:t>及时对</w:t>
      </w:r>
      <w:r>
        <w:rPr>
          <w:rFonts w:ascii="Times New Roman" w:eastAsia="仿宋_GB2312"/>
          <w:b w:val="0"/>
          <w:sz w:val="32"/>
          <w:szCs w:val="32"/>
        </w:rPr>
        <w:t>辖区</w:t>
      </w:r>
      <w:r>
        <w:rPr>
          <w:rFonts w:hint="eastAsia" w:ascii="Times New Roman" w:eastAsia="仿宋_GB2312"/>
          <w:b w:val="0"/>
          <w:sz w:val="32"/>
          <w:szCs w:val="32"/>
          <w:lang w:eastAsia="zh-CN"/>
        </w:rPr>
        <w:t>内</w:t>
      </w:r>
      <w:r>
        <w:rPr>
          <w:rFonts w:hint="eastAsia" w:ascii="Times New Roman" w:eastAsia="仿宋_GB2312"/>
          <w:b w:val="0"/>
          <w:sz w:val="32"/>
          <w:szCs w:val="32"/>
        </w:rPr>
        <w:t>符合条件的孤儿全部纳入了保障范围；按标准及时足额发放孤儿助学金</w:t>
      </w:r>
      <w:r>
        <w:rPr>
          <w:rFonts w:ascii="Times New Roman" w:eastAsia="仿宋_GB2312"/>
          <w:b w:val="0"/>
          <w:sz w:val="32"/>
          <w:szCs w:val="32"/>
        </w:rPr>
        <w:t>。通过</w:t>
      </w:r>
      <w:r>
        <w:rPr>
          <w:rFonts w:hint="eastAsia" w:ascii="Times New Roman" w:eastAsia="仿宋_GB2312"/>
          <w:b w:val="0"/>
          <w:sz w:val="32"/>
          <w:szCs w:val="32"/>
        </w:rPr>
        <w:t>发放孤儿助学金</w:t>
      </w:r>
      <w:r>
        <w:rPr>
          <w:rFonts w:hint="eastAsia" w:ascii="Times New Roman" w:eastAsia="仿宋_GB2312"/>
          <w:b w:val="0"/>
          <w:sz w:val="32"/>
          <w:szCs w:val="32"/>
          <w:lang w:eastAsia="zh-CN"/>
        </w:rPr>
        <w:t>，保障了</w:t>
      </w:r>
      <w:r>
        <w:rPr>
          <w:rFonts w:hint="eastAsia" w:ascii="Times New Roman" w:eastAsia="仿宋_GB2312"/>
          <w:b w:val="0"/>
          <w:sz w:val="32"/>
          <w:szCs w:val="32"/>
        </w:rPr>
        <w:t>孤儿助学</w:t>
      </w:r>
      <w:r>
        <w:rPr>
          <w:rFonts w:hint="eastAsia" w:ascii="Times New Roman" w:eastAsia="仿宋_GB2312"/>
          <w:b w:val="0"/>
          <w:sz w:val="32"/>
          <w:szCs w:val="32"/>
          <w:lang w:val="en-US" w:eastAsia="zh-CN"/>
        </w:rPr>
        <w:t>工作的顺利开展</w:t>
      </w:r>
      <w:r>
        <w:rPr>
          <w:rFonts w:hint="eastAsia" w:ascii="Times New Roman" w:eastAsia="仿宋_GB2312"/>
          <w:b w:val="0"/>
          <w:sz w:val="32"/>
          <w:szCs w:val="32"/>
          <w:lang w:eastAsia="zh-CN"/>
        </w:rPr>
        <w:t>；</w:t>
      </w:r>
      <w:r>
        <w:rPr>
          <w:rFonts w:ascii="Times New Roman" w:eastAsia="仿宋_GB2312"/>
          <w:b w:val="0"/>
          <w:sz w:val="32"/>
          <w:szCs w:val="32"/>
        </w:rPr>
        <w:t>充分体现了党和政府对</w:t>
      </w:r>
      <w:r>
        <w:rPr>
          <w:rFonts w:hint="eastAsia" w:ascii="Times New Roman" w:eastAsia="仿宋_GB2312"/>
          <w:b w:val="0"/>
          <w:sz w:val="32"/>
          <w:szCs w:val="32"/>
        </w:rPr>
        <w:t>孤儿助学</w:t>
      </w:r>
      <w:r>
        <w:rPr>
          <w:rFonts w:hint="eastAsia" w:ascii="Times New Roman" w:eastAsia="仿宋_GB2312"/>
          <w:b w:val="0"/>
          <w:sz w:val="32"/>
          <w:szCs w:val="32"/>
          <w:lang w:val="en-US" w:eastAsia="zh-CN"/>
        </w:rPr>
        <w:t>工作</w:t>
      </w:r>
      <w:r>
        <w:rPr>
          <w:rFonts w:ascii="Times New Roman" w:eastAsia="仿宋_GB2312"/>
          <w:b w:val="0"/>
          <w:sz w:val="32"/>
          <w:szCs w:val="32"/>
        </w:rPr>
        <w:t>的关心关爱。</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ascii="Times New Roman" w:eastAsia="仿宋_GB2312"/>
          <w:b w:val="0"/>
          <w:sz w:val="32"/>
          <w:szCs w:val="32"/>
        </w:rPr>
      </w:pPr>
      <w:r>
        <w:rPr>
          <w:rFonts w:hint="eastAsia" w:ascii="Times New Roman" w:eastAsia="仿宋_GB2312"/>
          <w:b/>
          <w:bCs/>
          <w:sz w:val="32"/>
          <w:szCs w:val="32"/>
        </w:rPr>
        <w:t>城市最低生活保障金（专项资金）项目绩效自评情况：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城市最低生活保障金</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1276.27</w:t>
      </w:r>
      <w:r>
        <w:rPr>
          <w:rFonts w:ascii="Times New Roman" w:eastAsia="仿宋_GB2312"/>
          <w:b w:val="0"/>
          <w:sz w:val="32"/>
          <w:szCs w:val="32"/>
        </w:rPr>
        <w:t>万元，执行数为</w:t>
      </w:r>
      <w:r>
        <w:rPr>
          <w:rFonts w:hint="eastAsia" w:ascii="Times New Roman" w:eastAsia="仿宋_GB2312"/>
          <w:b w:val="0"/>
          <w:sz w:val="32"/>
          <w:szCs w:val="32"/>
          <w:lang w:val="en-US" w:eastAsia="zh-CN"/>
        </w:rPr>
        <w:t>1276.27</w:t>
      </w:r>
      <w:r>
        <w:rPr>
          <w:rFonts w:ascii="Times New Roman" w:eastAsia="仿宋_GB2312"/>
          <w:b w:val="0"/>
          <w:sz w:val="32"/>
          <w:szCs w:val="32"/>
        </w:rPr>
        <w:t>万元，完成预算的100%。项目绩效目标完成情况：</w:t>
      </w:r>
      <w:r>
        <w:rPr>
          <w:rFonts w:hint="eastAsia" w:ascii="Times New Roman" w:eastAsia="仿宋_GB2312"/>
          <w:b w:val="0"/>
          <w:sz w:val="32"/>
          <w:szCs w:val="32"/>
        </w:rPr>
        <w:t>按政策标准及时足额发放最低生活保障金；完成低保年审工作，将符合救助条件的全部纳入低保保障范围</w:t>
      </w:r>
      <w:r>
        <w:rPr>
          <w:rFonts w:hint="eastAsia" w:ascii="Times New Roman" w:eastAsia="仿宋_GB2312"/>
          <w:b w:val="0"/>
          <w:sz w:val="32"/>
          <w:szCs w:val="32"/>
          <w:lang w:eastAsia="zh-CN"/>
        </w:rPr>
        <w:t>。</w:t>
      </w:r>
      <w:r>
        <w:rPr>
          <w:rFonts w:ascii="Times New Roman" w:eastAsia="仿宋_GB2312"/>
          <w:b w:val="0"/>
          <w:sz w:val="32"/>
          <w:szCs w:val="32"/>
        </w:rPr>
        <w:t>通过对辖区</w:t>
      </w:r>
      <w:r>
        <w:rPr>
          <w:rFonts w:hint="eastAsia" w:ascii="Times New Roman" w:eastAsia="仿宋_GB2312"/>
          <w:b w:val="0"/>
          <w:sz w:val="32"/>
          <w:szCs w:val="32"/>
        </w:rPr>
        <w:t>发放</w:t>
      </w:r>
      <w:r>
        <w:rPr>
          <w:rFonts w:hint="eastAsia" w:ascii="Times New Roman" w:eastAsia="仿宋_GB2312"/>
          <w:b w:val="0"/>
          <w:sz w:val="32"/>
          <w:szCs w:val="32"/>
          <w:lang w:val="en-US" w:eastAsia="zh-CN"/>
        </w:rPr>
        <w:t>低保金</w:t>
      </w:r>
      <w:r>
        <w:rPr>
          <w:rFonts w:hint="eastAsia" w:ascii="Times New Roman" w:eastAsia="仿宋_GB2312"/>
          <w:b w:val="0"/>
          <w:sz w:val="32"/>
          <w:szCs w:val="32"/>
          <w:lang w:eastAsia="zh-CN"/>
        </w:rPr>
        <w:t>，保障了</w:t>
      </w:r>
      <w:r>
        <w:rPr>
          <w:rFonts w:hint="eastAsia" w:ascii="Times New Roman" w:eastAsia="仿宋_GB2312"/>
          <w:b w:val="0"/>
          <w:sz w:val="32"/>
          <w:szCs w:val="32"/>
          <w:lang w:val="en-US" w:eastAsia="zh-CN"/>
        </w:rPr>
        <w:t>低保户</w:t>
      </w:r>
      <w:r>
        <w:rPr>
          <w:rFonts w:hint="eastAsia" w:ascii="Times New Roman" w:eastAsia="仿宋_GB2312"/>
          <w:b w:val="0"/>
          <w:sz w:val="32"/>
          <w:szCs w:val="32"/>
          <w:lang w:eastAsia="zh-CN"/>
        </w:rPr>
        <w:t>的基本生活；</w:t>
      </w:r>
      <w:r>
        <w:rPr>
          <w:rFonts w:ascii="Times New Roman" w:eastAsia="仿宋_GB2312"/>
          <w:b w:val="0"/>
          <w:sz w:val="32"/>
          <w:szCs w:val="32"/>
        </w:rPr>
        <w:t>充分体现了党和政府对</w:t>
      </w:r>
      <w:r>
        <w:rPr>
          <w:rFonts w:hint="eastAsia" w:ascii="Times New Roman" w:eastAsia="仿宋_GB2312"/>
          <w:b w:val="0"/>
          <w:sz w:val="32"/>
          <w:szCs w:val="32"/>
          <w:lang w:val="en-US" w:eastAsia="zh-CN"/>
        </w:rPr>
        <w:t>低保户</w:t>
      </w:r>
      <w:r>
        <w:rPr>
          <w:rFonts w:ascii="Times New Roman" w:eastAsia="仿宋_GB2312"/>
          <w:b w:val="0"/>
          <w:sz w:val="32"/>
          <w:szCs w:val="32"/>
        </w:rPr>
        <w:t>的关心。</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hint="eastAsia" w:ascii="Times New Roman" w:eastAsia="仿宋_GB2312"/>
          <w:b/>
          <w:bCs/>
          <w:sz w:val="32"/>
          <w:szCs w:val="32"/>
        </w:rPr>
      </w:pPr>
      <w:r>
        <w:rPr>
          <w:rFonts w:hint="eastAsia" w:ascii="Times New Roman" w:eastAsia="仿宋_GB2312"/>
          <w:b/>
          <w:bCs/>
          <w:sz w:val="32"/>
          <w:szCs w:val="32"/>
        </w:rPr>
        <w:t>城市特困人员救助供养（专项资金）项目绩效自评情况：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城市特困人员救助供养</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174.16</w:t>
      </w:r>
      <w:r>
        <w:rPr>
          <w:rFonts w:ascii="Times New Roman" w:eastAsia="仿宋_GB2312"/>
          <w:b w:val="0"/>
          <w:sz w:val="32"/>
          <w:szCs w:val="32"/>
        </w:rPr>
        <w:t>万元，执行数为</w:t>
      </w:r>
      <w:r>
        <w:rPr>
          <w:rFonts w:hint="eastAsia" w:ascii="Times New Roman" w:eastAsia="仿宋_GB2312"/>
          <w:b w:val="0"/>
          <w:sz w:val="32"/>
          <w:szCs w:val="32"/>
          <w:lang w:val="en-US" w:eastAsia="zh-CN"/>
        </w:rPr>
        <w:t>174.16</w:t>
      </w:r>
      <w:r>
        <w:rPr>
          <w:rFonts w:ascii="Times New Roman" w:eastAsia="仿宋_GB2312"/>
          <w:b w:val="0"/>
          <w:sz w:val="32"/>
          <w:szCs w:val="32"/>
        </w:rPr>
        <w:t>万元，完成预算的100%。项目绩效目标完成情况：</w:t>
      </w:r>
      <w:r>
        <w:rPr>
          <w:rFonts w:hint="eastAsia" w:ascii="Times New Roman" w:eastAsia="仿宋_GB2312"/>
          <w:b w:val="0"/>
          <w:sz w:val="32"/>
          <w:szCs w:val="32"/>
        </w:rPr>
        <w:t>按政策标准及时足额发放特困供养金，对符合救助标准的全部纳入保障范围，完成了特困对象生活自理能力评估工作。</w:t>
      </w:r>
      <w:r>
        <w:rPr>
          <w:rFonts w:ascii="Times New Roman" w:eastAsia="仿宋_GB2312"/>
          <w:b w:val="0"/>
          <w:sz w:val="32"/>
          <w:szCs w:val="32"/>
        </w:rPr>
        <w:t>通过</w:t>
      </w:r>
      <w:r>
        <w:rPr>
          <w:rFonts w:hint="eastAsia" w:ascii="Times New Roman" w:eastAsia="仿宋_GB2312"/>
          <w:b w:val="0"/>
          <w:sz w:val="32"/>
          <w:szCs w:val="32"/>
          <w:lang w:val="en-US" w:eastAsia="zh-CN"/>
        </w:rPr>
        <w:t>发放</w:t>
      </w:r>
      <w:r>
        <w:rPr>
          <w:rFonts w:ascii="Times New Roman" w:eastAsia="仿宋_GB2312"/>
          <w:b w:val="0"/>
          <w:sz w:val="32"/>
          <w:szCs w:val="32"/>
        </w:rPr>
        <w:t>对辖区</w:t>
      </w:r>
      <w:r>
        <w:rPr>
          <w:rFonts w:hint="eastAsia" w:ascii="Times New Roman" w:eastAsia="仿宋_GB2312"/>
          <w:b w:val="0"/>
          <w:sz w:val="32"/>
          <w:szCs w:val="32"/>
        </w:rPr>
        <w:t>城市特困人员救助供养</w:t>
      </w:r>
      <w:r>
        <w:rPr>
          <w:rFonts w:hint="eastAsia" w:ascii="Times New Roman" w:eastAsia="仿宋_GB2312"/>
          <w:b w:val="0"/>
          <w:sz w:val="32"/>
          <w:szCs w:val="32"/>
          <w:lang w:eastAsia="zh-CN"/>
        </w:rPr>
        <w:t>，保障了</w:t>
      </w:r>
      <w:r>
        <w:rPr>
          <w:rFonts w:hint="eastAsia" w:ascii="Times New Roman" w:eastAsia="仿宋_GB2312"/>
          <w:b w:val="0"/>
          <w:sz w:val="32"/>
          <w:szCs w:val="32"/>
        </w:rPr>
        <w:t>城市特困人员救助供养</w:t>
      </w:r>
      <w:r>
        <w:rPr>
          <w:rFonts w:hint="eastAsia" w:ascii="Times New Roman" w:eastAsia="仿宋_GB2312"/>
          <w:b w:val="0"/>
          <w:sz w:val="32"/>
          <w:szCs w:val="32"/>
          <w:lang w:eastAsia="zh-CN"/>
        </w:rPr>
        <w:t>的基本生活；</w:t>
      </w:r>
      <w:r>
        <w:rPr>
          <w:rFonts w:ascii="Times New Roman" w:eastAsia="仿宋_GB2312"/>
          <w:b w:val="0"/>
          <w:sz w:val="32"/>
          <w:szCs w:val="32"/>
        </w:rPr>
        <w:t>充分体现了党和政府对</w:t>
      </w:r>
      <w:r>
        <w:rPr>
          <w:rFonts w:hint="eastAsia" w:ascii="Times New Roman" w:eastAsia="仿宋_GB2312"/>
          <w:b w:val="0"/>
          <w:sz w:val="32"/>
          <w:szCs w:val="32"/>
        </w:rPr>
        <w:t>城市特困人员</w:t>
      </w:r>
      <w:r>
        <w:rPr>
          <w:rFonts w:ascii="Times New Roman" w:eastAsia="仿宋_GB2312"/>
          <w:b w:val="0"/>
          <w:sz w:val="32"/>
          <w:szCs w:val="32"/>
        </w:rPr>
        <w:t>的关心。</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ascii="Times New Roman" w:eastAsia="仿宋_GB2312"/>
          <w:b w:val="0"/>
          <w:sz w:val="32"/>
          <w:szCs w:val="32"/>
        </w:rPr>
      </w:pPr>
      <w:r>
        <w:rPr>
          <w:rFonts w:hint="eastAsia" w:ascii="Times New Roman" w:eastAsia="仿宋_GB2312"/>
          <w:b/>
          <w:bCs/>
          <w:sz w:val="32"/>
          <w:szCs w:val="32"/>
        </w:rPr>
        <w:t>精神障碍社区康复服务项目绩效自评情况：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精神障碍社区康复服务</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rPr>
        <w:t>25.2</w:t>
      </w:r>
      <w:r>
        <w:rPr>
          <w:rFonts w:ascii="Times New Roman" w:eastAsia="仿宋_GB2312"/>
          <w:b w:val="0"/>
          <w:sz w:val="32"/>
          <w:szCs w:val="32"/>
        </w:rPr>
        <w:t>万元，执行数为</w:t>
      </w:r>
      <w:r>
        <w:rPr>
          <w:rFonts w:hint="eastAsia" w:ascii="Times New Roman" w:eastAsia="仿宋_GB2312"/>
          <w:b w:val="0"/>
          <w:sz w:val="32"/>
          <w:szCs w:val="32"/>
        </w:rPr>
        <w:t>25.2</w:t>
      </w:r>
      <w:r>
        <w:rPr>
          <w:rFonts w:ascii="Times New Roman" w:eastAsia="仿宋_GB2312"/>
          <w:b w:val="0"/>
          <w:sz w:val="32"/>
          <w:szCs w:val="32"/>
        </w:rPr>
        <w:t>万元，完成预算的100%。项目绩效目标完成情况：</w:t>
      </w:r>
      <w:r>
        <w:rPr>
          <w:rFonts w:hint="eastAsia" w:ascii="Times New Roman" w:eastAsia="仿宋_GB2312"/>
          <w:b w:val="0"/>
          <w:sz w:val="32"/>
          <w:szCs w:val="32"/>
          <w:lang w:val="en-US" w:eastAsia="zh-CN"/>
        </w:rPr>
        <w:t>精神障碍社区康复服务按项目计划进度开展服务，将符合条件的精神障碍患者全部纳入康复服务范围，通过优质服务，提高了精神障碍患者幸福感和社会融合度。</w:t>
      </w:r>
      <w:r>
        <w:rPr>
          <w:rFonts w:ascii="Times New Roman" w:eastAsia="仿宋_GB2312"/>
          <w:b w:val="0"/>
          <w:sz w:val="32"/>
          <w:szCs w:val="32"/>
        </w:rPr>
        <w:t>通过</w:t>
      </w:r>
      <w:r>
        <w:rPr>
          <w:rFonts w:hint="eastAsia" w:ascii="Times New Roman" w:eastAsia="仿宋_GB2312"/>
          <w:b w:val="0"/>
          <w:sz w:val="32"/>
          <w:szCs w:val="32"/>
        </w:rPr>
        <w:t>发放</w:t>
      </w:r>
      <w:r>
        <w:rPr>
          <w:rFonts w:hint="eastAsia" w:ascii="Times New Roman" w:eastAsia="仿宋_GB2312"/>
          <w:b w:val="0"/>
          <w:sz w:val="32"/>
          <w:szCs w:val="32"/>
          <w:lang w:val="en-US" w:eastAsia="zh-CN"/>
        </w:rPr>
        <w:t>补贴</w:t>
      </w:r>
      <w:r>
        <w:rPr>
          <w:rFonts w:hint="eastAsia" w:ascii="Times New Roman" w:eastAsia="仿宋_GB2312"/>
          <w:b w:val="0"/>
          <w:sz w:val="32"/>
          <w:szCs w:val="32"/>
          <w:lang w:eastAsia="zh-CN"/>
        </w:rPr>
        <w:t>，保障了</w:t>
      </w:r>
      <w:r>
        <w:rPr>
          <w:rFonts w:hint="eastAsia" w:ascii="Times New Roman" w:eastAsia="仿宋_GB2312"/>
          <w:b w:val="0"/>
          <w:sz w:val="32"/>
          <w:szCs w:val="32"/>
          <w:lang w:val="en-US" w:eastAsia="zh-CN"/>
        </w:rPr>
        <w:t>该项工作的顺利开展</w:t>
      </w:r>
      <w:r>
        <w:rPr>
          <w:rFonts w:hint="eastAsia" w:ascii="Times New Roman" w:eastAsia="仿宋_GB2312"/>
          <w:b w:val="0"/>
          <w:sz w:val="32"/>
          <w:szCs w:val="32"/>
          <w:lang w:eastAsia="zh-CN"/>
        </w:rPr>
        <w:t>；</w:t>
      </w:r>
      <w:r>
        <w:rPr>
          <w:rFonts w:ascii="Times New Roman" w:eastAsia="仿宋_GB2312"/>
          <w:b w:val="0"/>
          <w:sz w:val="32"/>
          <w:szCs w:val="32"/>
        </w:rPr>
        <w:t>充分体现了党和政府对</w:t>
      </w:r>
      <w:r>
        <w:rPr>
          <w:rFonts w:hint="eastAsia" w:ascii="Times New Roman" w:eastAsia="仿宋_GB2312"/>
          <w:b w:val="0"/>
          <w:sz w:val="32"/>
          <w:szCs w:val="32"/>
        </w:rPr>
        <w:t>精神障碍社区康复服务</w:t>
      </w:r>
      <w:r>
        <w:rPr>
          <w:rFonts w:hint="eastAsia" w:ascii="Times New Roman" w:eastAsia="仿宋_GB2312"/>
          <w:b w:val="0"/>
          <w:sz w:val="32"/>
          <w:szCs w:val="32"/>
          <w:lang w:val="en-US" w:eastAsia="zh-CN"/>
        </w:rPr>
        <w:t>工作</w:t>
      </w:r>
      <w:r>
        <w:rPr>
          <w:rFonts w:ascii="Times New Roman" w:eastAsia="仿宋_GB2312"/>
          <w:b w:val="0"/>
          <w:sz w:val="32"/>
          <w:szCs w:val="32"/>
        </w:rPr>
        <w:t>的关心关爱。</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2"/>
        </w:numPr>
        <w:adjustRightInd w:val="0"/>
        <w:snapToGrid w:val="0"/>
        <w:spacing w:line="580" w:lineRule="exact"/>
        <w:ind w:firstLine="643" w:firstLineChars="200"/>
        <w:rPr>
          <w:rFonts w:hint="eastAsia" w:ascii="Times New Roman" w:eastAsia="仿宋_GB2312"/>
          <w:b w:val="0"/>
          <w:sz w:val="32"/>
          <w:szCs w:val="32"/>
        </w:rPr>
      </w:pPr>
      <w:r>
        <w:rPr>
          <w:rFonts w:hint="eastAsia" w:ascii="Times New Roman" w:eastAsia="仿宋_GB2312"/>
          <w:b/>
          <w:bCs/>
          <w:sz w:val="32"/>
          <w:szCs w:val="32"/>
        </w:rPr>
        <w:t>困难老年人社区居家养老服务补贴项目绩效自评情况：</w:t>
      </w:r>
      <w:r>
        <w:rPr>
          <w:rFonts w:ascii="Times New Roman" w:eastAsia="仿宋_GB2312"/>
          <w:b w:val="0"/>
          <w:sz w:val="32"/>
          <w:szCs w:val="32"/>
        </w:rPr>
        <w:t>根据年初设定的绩效目标，“</w:t>
      </w:r>
      <w:r>
        <w:rPr>
          <w:rFonts w:hint="eastAsia" w:ascii="Times New Roman" w:eastAsia="仿宋_GB2312"/>
          <w:b w:val="0"/>
          <w:sz w:val="32"/>
          <w:szCs w:val="32"/>
        </w:rPr>
        <w:t>困难老年人社区居家养老服务补贴</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300</w:t>
      </w:r>
      <w:r>
        <w:rPr>
          <w:rFonts w:ascii="Times New Roman" w:eastAsia="仿宋_GB2312"/>
          <w:b w:val="0"/>
          <w:sz w:val="32"/>
          <w:szCs w:val="32"/>
        </w:rPr>
        <w:t>万元，执行数为</w:t>
      </w:r>
      <w:r>
        <w:rPr>
          <w:rFonts w:hint="eastAsia" w:ascii="Times New Roman" w:eastAsia="仿宋_GB2312"/>
          <w:b w:val="0"/>
          <w:sz w:val="32"/>
          <w:szCs w:val="32"/>
          <w:lang w:val="en-US" w:eastAsia="zh-CN"/>
        </w:rPr>
        <w:t>300</w:t>
      </w:r>
      <w:r>
        <w:rPr>
          <w:rFonts w:ascii="Times New Roman" w:eastAsia="仿宋_GB2312"/>
          <w:b w:val="0"/>
          <w:sz w:val="32"/>
          <w:szCs w:val="32"/>
        </w:rPr>
        <w:t>万元，完成预算的100%。项目绩效目标完成情况：</w:t>
      </w:r>
      <w:r>
        <w:rPr>
          <w:rFonts w:hint="eastAsia" w:ascii="Times New Roman" w:eastAsia="仿宋_GB2312"/>
          <w:b w:val="0"/>
          <w:sz w:val="32"/>
          <w:szCs w:val="32"/>
        </w:rPr>
        <w:t>按时完成了困难老年人社区居家养老补贴核对工作，按市局通知及时结算困难老年人社区居家养老服务资金。</w:t>
      </w:r>
      <w:r>
        <w:rPr>
          <w:rFonts w:hint="eastAsia" w:ascii="Times New Roman" w:eastAsia="仿宋_GB2312"/>
          <w:b w:val="0"/>
          <w:sz w:val="32"/>
          <w:szCs w:val="32"/>
          <w:lang w:val="en-US" w:eastAsia="zh-CN"/>
        </w:rPr>
        <w:t>通过对</w:t>
      </w:r>
      <w:r>
        <w:rPr>
          <w:rFonts w:hint="eastAsia" w:ascii="Times New Roman" w:eastAsia="仿宋_GB2312"/>
          <w:b w:val="0"/>
          <w:sz w:val="32"/>
          <w:szCs w:val="32"/>
        </w:rPr>
        <w:t>困难老年人社区居家养老服务资金</w:t>
      </w:r>
      <w:r>
        <w:rPr>
          <w:rFonts w:hint="eastAsia" w:ascii="Times New Roman" w:eastAsia="仿宋_GB2312"/>
          <w:b w:val="0"/>
          <w:sz w:val="32"/>
          <w:szCs w:val="32"/>
          <w:lang w:val="en-US" w:eastAsia="zh-CN"/>
        </w:rPr>
        <w:t>的</w:t>
      </w:r>
      <w:r>
        <w:rPr>
          <w:rFonts w:hint="eastAsia" w:ascii="Times New Roman" w:eastAsia="仿宋_GB2312"/>
          <w:b w:val="0"/>
          <w:sz w:val="32"/>
          <w:szCs w:val="32"/>
        </w:rPr>
        <w:t>发放</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保障了</w:t>
      </w:r>
      <w:r>
        <w:rPr>
          <w:rFonts w:hint="eastAsia" w:ascii="Times New Roman" w:eastAsia="仿宋_GB2312"/>
          <w:b w:val="0"/>
          <w:sz w:val="32"/>
          <w:szCs w:val="32"/>
        </w:rPr>
        <w:t>人员</w:t>
      </w:r>
      <w:r>
        <w:rPr>
          <w:rFonts w:hint="eastAsia" w:ascii="Times New Roman" w:eastAsia="仿宋_GB2312"/>
          <w:b w:val="0"/>
          <w:sz w:val="32"/>
          <w:szCs w:val="32"/>
          <w:lang w:eastAsia="zh-CN"/>
        </w:rPr>
        <w:t>基本生活</w:t>
      </w:r>
      <w:r>
        <w:rPr>
          <w:rFonts w:hint="eastAsia" w:ascii="Times New Roman" w:eastAsia="仿宋_GB2312"/>
          <w:b w:val="0"/>
          <w:sz w:val="32"/>
          <w:szCs w:val="32"/>
          <w:lang w:val="en-US" w:eastAsia="zh-CN"/>
        </w:rPr>
        <w:t>的正常运行</w:t>
      </w:r>
      <w:r>
        <w:rPr>
          <w:rFonts w:hint="eastAsia" w:ascii="Times New Roman" w:eastAsia="仿宋_GB2312"/>
          <w:b w:val="0"/>
          <w:sz w:val="32"/>
          <w:szCs w:val="32"/>
          <w:lang w:eastAsia="zh-CN"/>
        </w:rPr>
        <w:t>；</w:t>
      </w:r>
      <w:r>
        <w:rPr>
          <w:rFonts w:ascii="Times New Roman" w:eastAsia="仿宋_GB2312"/>
          <w:b w:val="0"/>
          <w:sz w:val="32"/>
          <w:szCs w:val="32"/>
        </w:rPr>
        <w:t>充分</w:t>
      </w:r>
      <w:r>
        <w:rPr>
          <w:rFonts w:hint="eastAsia" w:ascii="Times New Roman" w:eastAsia="仿宋_GB2312"/>
          <w:b w:val="0"/>
          <w:sz w:val="32"/>
          <w:szCs w:val="32"/>
          <w:lang w:val="en-US" w:eastAsia="zh-CN"/>
        </w:rPr>
        <w:t>展示出</w:t>
      </w:r>
      <w:r>
        <w:rPr>
          <w:rFonts w:ascii="Times New Roman" w:eastAsia="仿宋_GB2312"/>
          <w:b w:val="0"/>
          <w:sz w:val="32"/>
          <w:szCs w:val="32"/>
        </w:rPr>
        <w:t>党和政府对</w:t>
      </w:r>
      <w:r>
        <w:rPr>
          <w:rFonts w:hint="eastAsia" w:ascii="Times New Roman" w:eastAsia="仿宋_GB2312"/>
          <w:b w:val="0"/>
          <w:sz w:val="32"/>
          <w:szCs w:val="32"/>
        </w:rPr>
        <w:t>困难老年人社区居家养老</w:t>
      </w:r>
      <w:r>
        <w:rPr>
          <w:rFonts w:hint="eastAsia" w:ascii="Times New Roman" w:eastAsia="仿宋_GB2312"/>
          <w:b w:val="0"/>
          <w:sz w:val="32"/>
          <w:szCs w:val="32"/>
          <w:lang w:val="en-US" w:eastAsia="zh-CN"/>
        </w:rPr>
        <w:t>服务</w:t>
      </w:r>
      <w:r>
        <w:rPr>
          <w:rFonts w:hint="eastAsia" w:ascii="Times New Roman" w:eastAsia="仿宋_GB2312"/>
          <w:b w:val="0"/>
          <w:sz w:val="32"/>
          <w:szCs w:val="32"/>
          <w:lang w:eastAsia="zh-CN"/>
        </w:rPr>
        <w:t>的</w:t>
      </w:r>
      <w:r>
        <w:rPr>
          <w:rFonts w:hint="eastAsia" w:ascii="Times New Roman" w:eastAsia="仿宋_GB2312"/>
          <w:b w:val="0"/>
          <w:sz w:val="32"/>
          <w:szCs w:val="32"/>
          <w:lang w:val="en-US" w:eastAsia="zh-CN"/>
        </w:rPr>
        <w:t>关心</w:t>
      </w:r>
      <w:r>
        <w:rPr>
          <w:rFonts w:ascii="Times New Roman" w:eastAsia="仿宋_GB2312"/>
          <w:b w:val="0"/>
          <w:sz w:val="32"/>
          <w:szCs w:val="32"/>
        </w:rPr>
        <w:t>。</w:t>
      </w:r>
      <w:r>
        <w:rPr>
          <w:rFonts w:hint="eastAsia" w:ascii="Times New Roman" w:eastAsia="仿宋_GB2312"/>
          <w:b w:val="0"/>
          <w:sz w:val="32"/>
          <w:szCs w:val="32"/>
          <w:lang w:val="en-US" w:eastAsia="zh-CN"/>
        </w:rPr>
        <w:t>该项目在运行过程中</w:t>
      </w:r>
      <w:r>
        <w:rPr>
          <w:rFonts w:ascii="Times New Roman" w:eastAsia="仿宋_GB2312"/>
          <w:b w:val="0"/>
          <w:sz w:val="32"/>
          <w:szCs w:val="32"/>
        </w:rPr>
        <w:t>未发现问题</w:t>
      </w:r>
      <w:r>
        <w:rPr>
          <w:rFonts w:hint="eastAsia" w:ascii="Times New Roman" w:eastAsia="仿宋_GB2312"/>
          <w:b w:val="0"/>
          <w:sz w:val="32"/>
          <w:szCs w:val="32"/>
          <w:lang w:eastAsia="zh-CN"/>
        </w:rPr>
        <w:t>，</w:t>
      </w:r>
      <w:r>
        <w:rPr>
          <w:rFonts w:ascii="Times New Roman" w:eastAsia="仿宋_GB2312"/>
          <w:b w:val="0"/>
          <w:sz w:val="32"/>
          <w:szCs w:val="32"/>
        </w:rPr>
        <w:t>圆满完成年初设定的各项绩效目标。</w:t>
      </w:r>
    </w:p>
    <w:p>
      <w:pPr>
        <w:numPr>
          <w:ilvl w:val="0"/>
          <w:numId w:val="0"/>
        </w:numPr>
        <w:adjustRightInd w:val="0"/>
        <w:snapToGrid w:val="0"/>
        <w:spacing w:line="580" w:lineRule="exact"/>
        <w:ind w:firstLine="640" w:firstLineChars="200"/>
        <w:rPr>
          <w:rFonts w:hint="eastAsia" w:ascii="Times New Roman" w:eastAsia="仿宋_GB2312"/>
          <w:b w:val="0"/>
          <w:sz w:val="32"/>
          <w:szCs w:val="32"/>
          <w:lang w:val="en-US" w:eastAsia="zh-CN"/>
        </w:rPr>
      </w:pPr>
      <w:r>
        <w:rPr>
          <w:rFonts w:ascii="Times New Roman" w:eastAsia="仿宋_GB2312"/>
          <w:b w:val="0"/>
          <w:sz w:val="32"/>
          <w:szCs w:val="32"/>
        </w:rPr>
        <w:t>附绩效自评表</w:t>
      </w:r>
      <w:r>
        <w:rPr>
          <w:rFonts w:hint="eastAsia" w:ascii="Times New Roman" w:eastAsia="仿宋_GB2312"/>
          <w:b w:val="0"/>
          <w:sz w:val="32"/>
          <w:szCs w:val="32"/>
          <w:lang w:val="en-US" w:eastAsia="zh-CN"/>
        </w:rPr>
        <w:t>如下：</w:t>
      </w: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r>
        <w:rPr>
          <w:rFonts w:ascii="Times New Roman" w:eastAsia="仿宋_GB2312"/>
          <w:b w:val="0"/>
          <w:sz w:val="32"/>
          <w:szCs w:val="32"/>
        </w:rPr>
        <w:t>“低保户、困难家庭及孤儿春节慰问”项目</w:t>
      </w: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p>
    <w:p>
      <w:pPr>
        <w:widowControl w:val="0"/>
        <w:numPr>
          <w:ilvl w:val="0"/>
          <w:numId w:val="0"/>
        </w:numPr>
        <w:adjustRightInd w:val="0"/>
        <w:snapToGrid w:val="0"/>
        <w:spacing w:line="580" w:lineRule="exact"/>
        <w:ind w:firstLine="640" w:firstLineChars="200"/>
        <w:jc w:val="both"/>
        <w:rPr>
          <w:rFonts w:ascii="Times New Roman" w:eastAsia="仿宋_GB2312"/>
          <w:b w:val="0"/>
          <w:sz w:val="32"/>
          <w:szCs w:val="32"/>
        </w:rPr>
      </w:pPr>
    </w:p>
    <w:p>
      <w:pPr>
        <w:widowControl w:val="0"/>
        <w:numPr>
          <w:ilvl w:val="0"/>
          <w:numId w:val="0"/>
        </w:numPr>
        <w:adjustRightInd w:val="0"/>
        <w:snapToGrid w:val="0"/>
        <w:spacing w:line="580" w:lineRule="exact"/>
        <w:jc w:val="both"/>
        <w:rPr>
          <w:rFonts w:ascii="Times New Roman" w:eastAsia="仿宋_GB2312"/>
          <w:b w:val="0"/>
          <w:sz w:val="32"/>
          <w:szCs w:val="32"/>
        </w:rPr>
      </w:pPr>
    </w:p>
    <w:tbl>
      <w:tblPr>
        <w:tblStyle w:val="8"/>
        <w:tblW w:w="908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086"/>
        <w:gridCol w:w="1110"/>
        <w:gridCol w:w="793"/>
        <w:gridCol w:w="1195"/>
        <w:gridCol w:w="841"/>
        <w:gridCol w:w="1335"/>
        <w:gridCol w:w="894"/>
        <w:gridCol w:w="8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4" w:hRule="atLeast"/>
        </w:trPr>
        <w:tc>
          <w:tcPr>
            <w:tcW w:w="908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28"/>
                <w:szCs w:val="28"/>
                <w:u w:val="none"/>
              </w:rPr>
            </w:pPr>
            <w:r>
              <w:rPr>
                <w:rFonts w:hint="default" w:ascii="方正小标宋_GBK" w:hAnsi="方正小标宋_GBK" w:eastAsia="方正小标宋_GBK" w:cs="方正小标宋_GBK"/>
                <w:i w:val="0"/>
                <w:iCs w:val="0"/>
                <w:color w:val="000000"/>
                <w:kern w:val="0"/>
                <w:sz w:val="28"/>
                <w:szCs w:val="28"/>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6" w:hRule="atLeast"/>
        </w:trPr>
        <w:tc>
          <w:tcPr>
            <w:tcW w:w="2086"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填报单位：桥西区民政局</w:t>
            </w:r>
          </w:p>
        </w:tc>
        <w:tc>
          <w:tcPr>
            <w:tcW w:w="111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988"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（2024年度）</w:t>
            </w:r>
          </w:p>
        </w:tc>
        <w:tc>
          <w:tcPr>
            <w:tcW w:w="841"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335"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720"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208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一、</w:t>
            </w:r>
            <w:r>
              <w:rPr>
                <w:rFonts w:ascii="Calibri" w:hAnsi="Calibri" w:eastAsia="宋体" w:cs="Calibri"/>
                <w:i w:val="0"/>
                <w:iCs w:val="0"/>
                <w:color w:val="000000"/>
                <w:kern w:val="0"/>
                <w:sz w:val="15"/>
                <w:szCs w:val="15"/>
                <w:u w:val="none"/>
                <w:lang w:val="en-US" w:eastAsia="zh-CN" w:bidi="ar"/>
              </w:rPr>
              <w:t xml:space="preserve"> </w:t>
            </w:r>
            <w:r>
              <w:rPr>
                <w:rFonts w:hint="eastAsia" w:ascii="宋体" w:hAnsi="宋体" w:eastAsia="宋体" w:cs="宋体"/>
                <w:i w:val="0"/>
                <w:iCs w:val="0"/>
                <w:color w:val="000000"/>
                <w:kern w:val="0"/>
                <w:sz w:val="15"/>
                <w:szCs w:val="15"/>
                <w:u w:val="none"/>
                <w:lang w:val="en-US" w:eastAsia="zh-CN" w:bidi="ar"/>
              </w:rPr>
              <w:t>基本情况</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项目名称</w:t>
            </w:r>
          </w:p>
        </w:tc>
        <w:tc>
          <w:tcPr>
            <w:tcW w:w="19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低保户、困难家庭及孤儿春节慰问</w:t>
            </w: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实施(主管）单位</w:t>
            </w:r>
          </w:p>
        </w:tc>
        <w:tc>
          <w:tcPr>
            <w:tcW w:w="30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8" w:hRule="atLeast"/>
        </w:trPr>
        <w:tc>
          <w:tcPr>
            <w:tcW w:w="20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二、预算执行情况</w:t>
            </w:r>
          </w:p>
        </w:tc>
        <w:tc>
          <w:tcPr>
            <w:tcW w:w="19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预算安排情况（调整后）</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资金到位情况</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资金执行情况</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3" w:hRule="atLeast"/>
        </w:trPr>
        <w:tc>
          <w:tcPr>
            <w:tcW w:w="2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预算数：</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28.9</w:t>
            </w: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到位数：</w:t>
            </w: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28.9</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执行数：</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28.9</w:t>
            </w: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9" w:hRule="atLeast"/>
        </w:trPr>
        <w:tc>
          <w:tcPr>
            <w:tcW w:w="2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其中：                 财政资金</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28.9</w:t>
            </w: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其中：                      财政资金</w:t>
            </w: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28.9</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其中：                     财政资金</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28.9</w:t>
            </w: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3" w:hRule="atLeast"/>
        </w:trPr>
        <w:tc>
          <w:tcPr>
            <w:tcW w:w="2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其他</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5"/>
                <w:szCs w:val="15"/>
                <w:u w:val="none"/>
              </w:rPr>
            </w:pPr>
          </w:p>
        </w:tc>
        <w:tc>
          <w:tcPr>
            <w:tcW w:w="11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其他</w:t>
            </w:r>
          </w:p>
        </w:tc>
        <w:tc>
          <w:tcPr>
            <w:tcW w:w="84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5"/>
                <w:szCs w:val="15"/>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其他</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5"/>
                <w:szCs w:val="15"/>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8" w:hRule="atLeast"/>
        </w:trPr>
        <w:tc>
          <w:tcPr>
            <w:tcW w:w="20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三、目标完成情况</w:t>
            </w:r>
          </w:p>
        </w:tc>
        <w:tc>
          <w:tcPr>
            <w:tcW w:w="309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年度预期目标</w:t>
            </w:r>
          </w:p>
        </w:tc>
        <w:tc>
          <w:tcPr>
            <w:tcW w:w="30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具体完成情况</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309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春节前慰问辖区低保家庭、特困家庭、孤儿及事实无人抚养儿童，确保困难群众过上祥和快乐的春节。</w:t>
            </w:r>
          </w:p>
        </w:tc>
        <w:tc>
          <w:tcPr>
            <w:tcW w:w="30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 xml:space="preserve">春节前由各街道对辖区低保家庭、特困家庭、孤儿及事实无人抚养儿童进行春节慰问，使困难群众过上祥和快乐的春节。 </w:t>
            </w: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309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30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5" w:hRule="atLeast"/>
        </w:trPr>
        <w:tc>
          <w:tcPr>
            <w:tcW w:w="20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309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30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2" w:hRule="atLeast"/>
        </w:trPr>
        <w:tc>
          <w:tcPr>
            <w:tcW w:w="208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四、</w:t>
            </w:r>
            <w:r>
              <w:rPr>
                <w:rFonts w:ascii="Calibri" w:hAnsi="Calibri" w:eastAsia="宋体" w:cs="Calibri"/>
                <w:i w:val="0"/>
                <w:iCs w:val="0"/>
                <w:color w:val="000000"/>
                <w:kern w:val="0"/>
                <w:sz w:val="15"/>
                <w:szCs w:val="15"/>
                <w:u w:val="none"/>
                <w:lang w:val="en-US" w:eastAsia="zh-CN" w:bidi="ar"/>
              </w:rPr>
              <w:t xml:space="preserve"> </w:t>
            </w:r>
            <w:r>
              <w:rPr>
                <w:rFonts w:hint="eastAsia" w:ascii="宋体" w:hAnsi="宋体" w:eastAsia="宋体" w:cs="宋体"/>
                <w:i w:val="0"/>
                <w:iCs w:val="0"/>
                <w:color w:val="000000"/>
                <w:kern w:val="0"/>
                <w:sz w:val="15"/>
                <w:szCs w:val="15"/>
                <w:u w:val="none"/>
                <w:lang w:val="en-US" w:eastAsia="zh-CN" w:bidi="ar"/>
              </w:rPr>
              <w:t>年度绩效指标完成情况</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一级指标</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二级指标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三级指标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预期指标值</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实际完成值</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2"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产出指标（40）</w:t>
            </w:r>
          </w:p>
        </w:tc>
        <w:tc>
          <w:tcPr>
            <w:tcW w:w="79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数量指标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慰问户数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≧340户</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3"/>
                <w:szCs w:val="13"/>
                <w:u w:val="none"/>
              </w:rPr>
            </w:pPr>
            <w:r>
              <w:rPr>
                <w:rFonts w:hint="eastAsia" w:ascii="宋体" w:hAnsi="宋体" w:eastAsia="宋体" w:cs="宋体"/>
                <w:i w:val="0"/>
                <w:iCs w:val="0"/>
                <w:color w:val="000000"/>
                <w:kern w:val="0"/>
                <w:sz w:val="13"/>
                <w:szCs w:val="13"/>
                <w:u w:val="none"/>
                <w:lang w:val="en-US" w:eastAsia="zh-CN" w:bidi="ar"/>
              </w:rPr>
              <w:t>1155户</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2"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质量指标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慰问率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r>
              <w:rPr>
                <w:rFonts w:ascii="Calibri" w:hAnsi="Calibri" w:eastAsia="宋体" w:cs="Calibri"/>
                <w:i w:val="0"/>
                <w:iCs w:val="0"/>
                <w:color w:val="000000"/>
                <w:kern w:val="0"/>
                <w:sz w:val="15"/>
                <w:szCs w:val="15"/>
                <w:u w:val="none"/>
                <w:lang w:val="en-US" w:eastAsia="zh-CN" w:bidi="ar"/>
              </w:rPr>
              <w:t>20%</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2"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时效指标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慰问时间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春节前进行慰问</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春节前慰问</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0"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成本指标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慰问标准</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项目预算总额</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28.9万元</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预算执行率指标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（10分）</w:t>
            </w:r>
          </w:p>
        </w:tc>
        <w:tc>
          <w:tcPr>
            <w:tcW w:w="7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预算执行率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r>
              <w:rPr>
                <w:rFonts w:ascii="Calibri" w:hAnsi="Calibri" w:eastAsia="宋体" w:cs="Calibri"/>
                <w:i w:val="0"/>
                <w:iCs w:val="0"/>
                <w:color w:val="000000"/>
                <w:kern w:val="0"/>
                <w:sz w:val="15"/>
                <w:szCs w:val="15"/>
                <w:u w:val="none"/>
                <w:lang w:val="en-US" w:eastAsia="zh-CN" w:bidi="ar"/>
              </w:rPr>
              <w:t>90%</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vMerge w:val="restar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79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社会效益指标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困难群众生活水平提升情况</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生活水平得到提升</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生活水平得到提升</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79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可持续影响指标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5"/>
                <w:szCs w:val="15"/>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5"/>
                <w:szCs w:val="15"/>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5"/>
                <w:szCs w:val="15"/>
                <w:u w:val="none"/>
              </w:rPr>
            </w:pP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5"/>
                <w:szCs w:val="15"/>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满意度指标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（10分）</w:t>
            </w:r>
          </w:p>
        </w:tc>
        <w:tc>
          <w:tcPr>
            <w:tcW w:w="79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满意度指标</w:t>
            </w:r>
          </w:p>
        </w:tc>
        <w:tc>
          <w:tcPr>
            <w:tcW w:w="20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服务对象满意度</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w:t>
            </w:r>
            <w:r>
              <w:rPr>
                <w:rFonts w:ascii="Calibri" w:hAnsi="Calibri" w:eastAsia="宋体" w:cs="Calibri"/>
                <w:i w:val="0"/>
                <w:iCs w:val="0"/>
                <w:color w:val="000000"/>
                <w:kern w:val="0"/>
                <w:sz w:val="15"/>
                <w:szCs w:val="15"/>
                <w:u w:val="none"/>
                <w:lang w:val="en-US" w:eastAsia="zh-CN" w:bidi="ar"/>
              </w:rPr>
              <w:t>90%</w:t>
            </w:r>
          </w:p>
        </w:tc>
        <w:tc>
          <w:tcPr>
            <w:tcW w:w="8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9" w:hRule="atLeast"/>
        </w:trPr>
        <w:tc>
          <w:tcPr>
            <w:tcW w:w="208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5"/>
                <w:szCs w:val="15"/>
                <w:u w:val="none"/>
              </w:rPr>
            </w:pPr>
          </w:p>
        </w:tc>
        <w:tc>
          <w:tcPr>
            <w:tcW w:w="616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总分</w:t>
            </w:r>
          </w:p>
        </w:tc>
        <w:tc>
          <w:tcPr>
            <w:tcW w:w="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5"/>
                <w:szCs w:val="15"/>
                <w:u w:val="none"/>
              </w:rPr>
            </w:pPr>
            <w:r>
              <w:rPr>
                <w:rFonts w:hint="default" w:ascii="Calibri" w:hAnsi="Calibri" w:eastAsia="宋体" w:cs="Calibri"/>
                <w:i w:val="0"/>
                <w:iCs w:val="0"/>
                <w:color w:val="000000"/>
                <w:kern w:val="0"/>
                <w:sz w:val="15"/>
                <w:szCs w:val="15"/>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8" w:hRule="atLeast"/>
        </w:trPr>
        <w:tc>
          <w:tcPr>
            <w:tcW w:w="208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五、</w:t>
            </w:r>
            <w:r>
              <w:rPr>
                <w:rFonts w:ascii="Calibri" w:hAnsi="Calibri" w:eastAsia="宋体" w:cs="Calibri"/>
                <w:i w:val="0"/>
                <w:iCs w:val="0"/>
                <w:color w:val="000000"/>
                <w:kern w:val="0"/>
                <w:sz w:val="15"/>
                <w:szCs w:val="15"/>
                <w:u w:val="none"/>
                <w:lang w:val="en-US" w:eastAsia="zh-CN" w:bidi="ar"/>
              </w:rPr>
              <w:t xml:space="preserve"> </w:t>
            </w:r>
            <w:r>
              <w:rPr>
                <w:rFonts w:hint="eastAsia" w:ascii="宋体" w:hAnsi="宋体" w:eastAsia="宋体" w:cs="宋体"/>
                <w:i w:val="0"/>
                <w:iCs w:val="0"/>
                <w:color w:val="000000"/>
                <w:kern w:val="0"/>
                <w:sz w:val="15"/>
                <w:szCs w:val="15"/>
                <w:u w:val="none"/>
                <w:lang w:val="en-US" w:eastAsia="zh-CN" w:bidi="ar"/>
              </w:rPr>
              <w:t>存在问题、原因及下一步整改措施</w:t>
            </w:r>
          </w:p>
        </w:tc>
        <w:tc>
          <w:tcPr>
            <w:tcW w:w="6994"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无</w:t>
            </w:r>
          </w:p>
        </w:tc>
      </w:tr>
    </w:tbl>
    <w:p>
      <w:pPr>
        <w:numPr>
          <w:ilvl w:val="0"/>
          <w:numId w:val="0"/>
        </w:numPr>
        <w:adjustRightInd w:val="0"/>
        <w:snapToGrid w:val="0"/>
        <w:spacing w:line="580" w:lineRule="exact"/>
        <w:ind w:firstLine="640" w:firstLineChars="200"/>
        <w:rPr>
          <w:rFonts w:ascii="Times New Roman" w:eastAsia="仿宋_GB2312"/>
          <w:b w:val="0"/>
          <w:sz w:val="32"/>
          <w:szCs w:val="32"/>
        </w:rPr>
      </w:pPr>
      <w:r>
        <w:rPr>
          <w:rFonts w:ascii="Times New Roman" w:eastAsia="仿宋_GB2312"/>
          <w:b w:val="0"/>
          <w:sz w:val="32"/>
          <w:szCs w:val="32"/>
        </w:rPr>
        <w:t>“</w:t>
      </w:r>
      <w:r>
        <w:rPr>
          <w:rFonts w:hint="eastAsia" w:ascii="Times New Roman" w:eastAsia="仿宋_GB2312"/>
          <w:b w:val="0"/>
          <w:sz w:val="32"/>
          <w:szCs w:val="32"/>
        </w:rPr>
        <w:t>精简职工40%救济补助</w:t>
      </w:r>
      <w:r>
        <w:rPr>
          <w:rFonts w:ascii="Times New Roman" w:eastAsia="仿宋_GB2312"/>
          <w:b w:val="0"/>
          <w:sz w:val="32"/>
          <w:szCs w:val="32"/>
        </w:rPr>
        <w:t>”项目</w:t>
      </w:r>
    </w:p>
    <w:tbl>
      <w:tblPr>
        <w:tblStyle w:val="8"/>
        <w:tblW w:w="9191"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552"/>
        <w:gridCol w:w="1340"/>
        <w:gridCol w:w="1256"/>
        <w:gridCol w:w="880"/>
        <w:gridCol w:w="873"/>
        <w:gridCol w:w="819"/>
        <w:gridCol w:w="1111"/>
        <w:gridCol w:w="13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9191"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6"/>
                <w:szCs w:val="36"/>
                <w:u w:val="none"/>
              </w:rPr>
            </w:pPr>
            <w:r>
              <w:rPr>
                <w:rFonts w:hint="default" w:ascii="方正小标宋_GBK" w:hAnsi="方正小标宋_GBK" w:eastAsia="方正小标宋_GBK" w:cs="方正小标宋_GBK"/>
                <w:i w:val="0"/>
                <w:iCs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 w:hRule="atLeast"/>
        </w:trPr>
        <w:tc>
          <w:tcPr>
            <w:tcW w:w="2892"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填报单位：桥西区民政局</w:t>
            </w:r>
          </w:p>
        </w:tc>
        <w:tc>
          <w:tcPr>
            <w:tcW w:w="3009"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2024年度 ）</w:t>
            </w:r>
          </w:p>
        </w:tc>
        <w:tc>
          <w:tcPr>
            <w:tcW w:w="819"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471"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4" w:hRule="atLeast"/>
        </w:trPr>
        <w:tc>
          <w:tcPr>
            <w:tcW w:w="1552"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w:t>
            </w:r>
            <w:r>
              <w:rPr>
                <w:rFonts w:ascii="Calibri" w:hAnsi="Calibri" w:eastAsia="宋体" w:cs="Calibri"/>
                <w:i w:val="0"/>
                <w:iCs w:val="0"/>
                <w:color w:val="000000"/>
                <w:kern w:val="0"/>
                <w:sz w:val="18"/>
                <w:szCs w:val="18"/>
                <w:u w:val="none"/>
                <w:lang w:val="en-US" w:eastAsia="zh-CN" w:bidi="ar"/>
              </w:rPr>
              <w:t xml:space="preserve"> </w:t>
            </w:r>
            <w:r>
              <w:rPr>
                <w:rStyle w:val="25"/>
                <w:sz w:val="18"/>
                <w:szCs w:val="18"/>
                <w:lang w:val="en-US" w:eastAsia="zh-CN" w:bidi="ar"/>
              </w:rPr>
              <w:t>基本情况</w:t>
            </w:r>
          </w:p>
        </w:tc>
        <w:tc>
          <w:tcPr>
            <w:tcW w:w="13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21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6"/>
                <w:szCs w:val="16"/>
                <w:u w:val="none"/>
                <w:lang w:val="en-US" w:eastAsia="zh-CN" w:bidi="ar"/>
              </w:rPr>
              <w:t>精简职工40%救济补助</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2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5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二、预算执行情况</w:t>
            </w:r>
          </w:p>
        </w:tc>
        <w:tc>
          <w:tcPr>
            <w:tcW w:w="259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预算安排情况（调整后）</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资金到位情况</w:t>
            </w:r>
          </w:p>
        </w:tc>
        <w:tc>
          <w:tcPr>
            <w:tcW w:w="19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资金执行情况</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5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预算数：</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到位数：</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执行数：</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w:t>
            </w:r>
          </w:p>
        </w:tc>
        <w:tc>
          <w:tcPr>
            <w:tcW w:w="13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2" w:hRule="atLeast"/>
        </w:trPr>
        <w:tc>
          <w:tcPr>
            <w:tcW w:w="15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                 财政资金</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                      财政资金</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其中：                     财政资金</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w:t>
            </w:r>
          </w:p>
        </w:tc>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 w:hRule="atLeast"/>
        </w:trPr>
        <w:tc>
          <w:tcPr>
            <w:tcW w:w="15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8"/>
                <w:szCs w:val="18"/>
                <w:u w:val="none"/>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87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5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三、目标完成情况</w:t>
            </w:r>
          </w:p>
        </w:tc>
        <w:tc>
          <w:tcPr>
            <w:tcW w:w="34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年度预期目标</w:t>
            </w:r>
          </w:p>
        </w:tc>
        <w:tc>
          <w:tcPr>
            <w:tcW w:w="280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具体完成情况</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5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47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及时足额发放精减职工40%生活救济，保障精减职工的基本生活；按规定标准报销精减职工医药费。</w:t>
            </w:r>
          </w:p>
        </w:tc>
        <w:tc>
          <w:tcPr>
            <w:tcW w:w="280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按政策规定及时足额发放了精减职工40%生活救济，保障精减职工的基本生活；按规定标准报销精减职工医药费。 </w:t>
            </w:r>
          </w:p>
        </w:tc>
        <w:tc>
          <w:tcPr>
            <w:tcW w:w="13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5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4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80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5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4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80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552"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w:t>
            </w:r>
            <w:r>
              <w:rPr>
                <w:rFonts w:ascii="Calibri" w:hAnsi="Calibri" w:eastAsia="宋体" w:cs="Calibri"/>
                <w:i w:val="0"/>
                <w:iCs w:val="0"/>
                <w:color w:val="000000"/>
                <w:kern w:val="0"/>
                <w:sz w:val="18"/>
                <w:szCs w:val="18"/>
                <w:u w:val="none"/>
                <w:lang w:val="en-US" w:eastAsia="zh-CN" w:bidi="ar"/>
              </w:rPr>
              <w:t xml:space="preserve"> </w:t>
            </w:r>
            <w:r>
              <w:rPr>
                <w:rStyle w:val="25"/>
                <w:sz w:val="18"/>
                <w:szCs w:val="18"/>
                <w:lang w:val="en-US" w:eastAsia="zh-CN" w:bidi="ar"/>
              </w:rPr>
              <w:t>年度绩效指标完成情况</w:t>
            </w:r>
          </w:p>
        </w:tc>
        <w:tc>
          <w:tcPr>
            <w:tcW w:w="13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预期指标值</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产出指标（40分）</w:t>
            </w:r>
          </w:p>
        </w:tc>
        <w:tc>
          <w:tcPr>
            <w:tcW w:w="125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救助人数</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1人</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1人</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补助率</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4"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及时率</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2"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补贴发放标准</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5"/>
                <w:szCs w:val="15"/>
                <w:u w:val="none"/>
                <w:lang w:val="en-US" w:eastAsia="zh-CN" w:bidi="ar"/>
              </w:rPr>
              <w:t>每月救济标准112.5元</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每月112.5元</w:t>
            </w:r>
          </w:p>
        </w:tc>
        <w:tc>
          <w:tcPr>
            <w:tcW w:w="136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预算执行率指标（10分）</w:t>
            </w:r>
          </w:p>
        </w:tc>
        <w:tc>
          <w:tcPr>
            <w:tcW w:w="125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r>
              <w:rPr>
                <w:rFonts w:ascii="Calibri" w:hAnsi="Calibri" w:eastAsia="宋体" w:cs="Calibri"/>
                <w:i w:val="0"/>
                <w:iCs w:val="0"/>
                <w:color w:val="000000"/>
                <w:kern w:val="0"/>
                <w:sz w:val="18"/>
                <w:szCs w:val="18"/>
                <w:u w:val="none"/>
                <w:lang w:val="en-US" w:eastAsia="zh-CN" w:bidi="ar"/>
              </w:rPr>
              <w:t>90%</w:t>
            </w:r>
          </w:p>
        </w:tc>
        <w:tc>
          <w:tcPr>
            <w:tcW w:w="1111"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100.00%</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1"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效益指标（40）</w:t>
            </w:r>
          </w:p>
        </w:tc>
        <w:tc>
          <w:tcPr>
            <w:tcW w:w="125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医药费报销</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医药费报销是否按标准执行</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医药费报销严格按标准执行</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5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8"/>
                <w:szCs w:val="18"/>
                <w:u w:val="none"/>
              </w:rPr>
            </w:pP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8"/>
                <w:szCs w:val="18"/>
                <w:u w:val="none"/>
              </w:rPr>
            </w:pP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4"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（10分）</w:t>
            </w:r>
          </w:p>
        </w:tc>
        <w:tc>
          <w:tcPr>
            <w:tcW w:w="125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17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r>
              <w:rPr>
                <w:rFonts w:ascii="Calibri" w:hAnsi="Calibri" w:eastAsia="宋体" w:cs="Calibri"/>
                <w:i w:val="0"/>
                <w:iCs w:val="0"/>
                <w:color w:val="000000"/>
                <w:kern w:val="0"/>
                <w:sz w:val="18"/>
                <w:szCs w:val="18"/>
                <w:u w:val="none"/>
                <w:lang w:val="en-US" w:eastAsia="zh-CN" w:bidi="ar"/>
              </w:rPr>
              <w:t>90%</w:t>
            </w:r>
          </w:p>
        </w:tc>
        <w:tc>
          <w:tcPr>
            <w:tcW w:w="11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 w:hRule="atLeast"/>
        </w:trPr>
        <w:tc>
          <w:tcPr>
            <w:tcW w:w="1552"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27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13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155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w:t>
            </w:r>
            <w:r>
              <w:rPr>
                <w:rFonts w:ascii="Calibri" w:hAnsi="Calibri" w:eastAsia="宋体" w:cs="Calibri"/>
                <w:i w:val="0"/>
                <w:iCs w:val="0"/>
                <w:color w:val="000000"/>
                <w:kern w:val="0"/>
                <w:sz w:val="18"/>
                <w:szCs w:val="18"/>
                <w:u w:val="none"/>
                <w:lang w:val="en-US" w:eastAsia="zh-CN" w:bidi="ar"/>
              </w:rPr>
              <w:t xml:space="preserve"> </w:t>
            </w:r>
            <w:r>
              <w:rPr>
                <w:rStyle w:val="25"/>
                <w:sz w:val="18"/>
                <w:szCs w:val="18"/>
                <w:lang w:val="en-US" w:eastAsia="zh-CN" w:bidi="ar"/>
              </w:rPr>
              <w:t>存在问题、原因及下一步整改措施</w:t>
            </w:r>
          </w:p>
        </w:tc>
        <w:tc>
          <w:tcPr>
            <w:tcW w:w="763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w:t>
            </w:r>
          </w:p>
        </w:tc>
      </w:tr>
    </w:tbl>
    <w:p>
      <w:pPr>
        <w:numPr>
          <w:ilvl w:val="0"/>
          <w:numId w:val="0"/>
        </w:numPr>
        <w:adjustRightInd w:val="0"/>
        <w:snapToGrid w:val="0"/>
        <w:spacing w:line="580" w:lineRule="exact"/>
        <w:ind w:firstLine="640" w:firstLineChars="200"/>
        <w:rPr>
          <w:rFonts w:hint="eastAsia" w:ascii="Times New Roman" w:eastAsia="仿宋_GB2312"/>
          <w:b/>
          <w:bCs/>
          <w:sz w:val="32"/>
          <w:szCs w:val="32"/>
          <w:lang w:val="en-US" w:eastAsia="zh-CN"/>
        </w:rPr>
      </w:pPr>
      <w:r>
        <w:rPr>
          <w:rFonts w:ascii="Times New Roman" w:eastAsia="仿宋_GB2312"/>
          <w:b w:val="0"/>
          <w:sz w:val="32"/>
          <w:szCs w:val="32"/>
        </w:rPr>
        <w:t>“</w:t>
      </w:r>
      <w:r>
        <w:rPr>
          <w:rFonts w:hint="eastAsia" w:ascii="Times New Roman" w:eastAsia="仿宋_GB2312"/>
          <w:b w:val="0"/>
          <w:sz w:val="32"/>
          <w:szCs w:val="32"/>
        </w:rPr>
        <w:t>节地生态安葬</w:t>
      </w:r>
      <w:r>
        <w:rPr>
          <w:rFonts w:ascii="Times New Roman" w:eastAsia="仿宋_GB2312"/>
          <w:b w:val="0"/>
          <w:sz w:val="32"/>
          <w:szCs w:val="32"/>
        </w:rPr>
        <w:t>”</w:t>
      </w:r>
      <w:r>
        <w:rPr>
          <w:rFonts w:hint="eastAsia" w:ascii="Times New Roman" w:eastAsia="仿宋_GB2312"/>
          <w:b w:val="0"/>
          <w:sz w:val="32"/>
          <w:szCs w:val="32"/>
          <w:lang w:val="en-US" w:eastAsia="zh-CN"/>
        </w:rPr>
        <w:t>项目</w:t>
      </w:r>
    </w:p>
    <w:tbl>
      <w:tblPr>
        <w:tblStyle w:val="8"/>
        <w:tblW w:w="924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53"/>
        <w:gridCol w:w="1358"/>
        <w:gridCol w:w="898"/>
        <w:gridCol w:w="850"/>
        <w:gridCol w:w="853"/>
        <w:gridCol w:w="936"/>
        <w:gridCol w:w="1156"/>
        <w:gridCol w:w="12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9240" w:type="dxa"/>
            <w:gridSpan w:val="8"/>
            <w:tcBorders>
              <w:top w:val="nil"/>
              <w:left w:val="nil"/>
              <w:bottom w:val="nil"/>
              <w:right w:val="nil"/>
            </w:tcBorders>
            <w:shd w:val="clear" w:color="auto" w:fill="auto"/>
            <w:vAlign w:val="center"/>
          </w:tcPr>
          <w:p>
            <w:pPr>
              <w:keepNext w:val="0"/>
              <w:keepLines w:val="0"/>
              <w:widowControl/>
              <w:suppressLineNumbers w:val="0"/>
              <w:ind w:left="0" w:leftChars="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3" w:hRule="atLeast"/>
        </w:trPr>
        <w:tc>
          <w:tcPr>
            <w:tcW w:w="1953" w:type="dxa"/>
            <w:tcBorders>
              <w:top w:val="nil"/>
              <w:left w:val="nil"/>
              <w:bottom w:val="nil"/>
              <w:right w:val="nil"/>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填报单位：桥西区民政局</w:t>
            </w:r>
          </w:p>
        </w:tc>
        <w:tc>
          <w:tcPr>
            <w:tcW w:w="1358" w:type="dxa"/>
            <w:tcBorders>
              <w:top w:val="nil"/>
              <w:left w:val="nil"/>
              <w:bottom w:val="nil"/>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2601" w:type="dxa"/>
            <w:gridSpan w:val="3"/>
            <w:tcBorders>
              <w:top w:val="nil"/>
              <w:left w:val="nil"/>
              <w:bottom w:val="nil"/>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（2024年度）</w:t>
            </w:r>
          </w:p>
        </w:tc>
        <w:tc>
          <w:tcPr>
            <w:tcW w:w="936" w:type="dxa"/>
            <w:tcBorders>
              <w:top w:val="nil"/>
              <w:left w:val="nil"/>
              <w:bottom w:val="nil"/>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2392" w:type="dxa"/>
            <w:gridSpan w:val="2"/>
            <w:tcBorders>
              <w:top w:val="nil"/>
              <w:left w:val="nil"/>
              <w:bottom w:val="nil"/>
              <w:right w:val="nil"/>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195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7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节地生态安葬</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3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7" w:hRule="atLeast"/>
        </w:trPr>
        <w:tc>
          <w:tcPr>
            <w:tcW w:w="19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7" w:hRule="atLeast"/>
        </w:trPr>
        <w:tc>
          <w:tcPr>
            <w:tcW w:w="19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w:t>
            </w:r>
          </w:p>
        </w:tc>
        <w:tc>
          <w:tcPr>
            <w:tcW w:w="12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19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w:t>
            </w: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w:t>
            </w:r>
          </w:p>
        </w:tc>
        <w:tc>
          <w:tcPr>
            <w:tcW w:w="12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7" w:hRule="atLeast"/>
        </w:trPr>
        <w:tc>
          <w:tcPr>
            <w:tcW w:w="19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left"/>
              <w:rPr>
                <w:rFonts w:hint="default" w:ascii="Calibri" w:hAnsi="Calibri" w:eastAsia="宋体" w:cs="Calibri"/>
                <w:i w:val="0"/>
                <w:iCs w:val="0"/>
                <w:color w:val="000000"/>
                <w:sz w:val="16"/>
                <w:szCs w:val="16"/>
                <w:u w:val="none"/>
              </w:rPr>
            </w:pPr>
          </w:p>
        </w:tc>
        <w:tc>
          <w:tcPr>
            <w:tcW w:w="8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left"/>
              <w:rPr>
                <w:rFonts w:hint="eastAsia" w:ascii="宋体" w:hAnsi="宋体" w:eastAsia="宋体" w:cs="宋体"/>
                <w:i w:val="0"/>
                <w:iCs w:val="0"/>
                <w:color w:val="000000"/>
                <w:sz w:val="16"/>
                <w:szCs w:val="16"/>
                <w:u w:val="none"/>
              </w:rPr>
            </w:pP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left"/>
              <w:rPr>
                <w:rFonts w:hint="eastAsia" w:ascii="宋体" w:hAnsi="宋体" w:eastAsia="宋体" w:cs="宋体"/>
                <w:i w:val="0"/>
                <w:iCs w:val="0"/>
                <w:color w:val="000000"/>
                <w:sz w:val="16"/>
                <w:szCs w:val="16"/>
                <w:u w:val="none"/>
              </w:rPr>
            </w:pPr>
          </w:p>
        </w:tc>
        <w:tc>
          <w:tcPr>
            <w:tcW w:w="12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7" w:hRule="atLeast"/>
        </w:trPr>
        <w:tc>
          <w:tcPr>
            <w:tcW w:w="19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10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9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9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310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深化我区殡葬改革，推行节地生态安葬，鼓励倡导骨灰海葬、骨灰自然葬；及时足额发放节地生态安葬奖励金。</w:t>
            </w:r>
          </w:p>
        </w:tc>
        <w:tc>
          <w:tcPr>
            <w:tcW w:w="294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由各街道宣传殡葬改革，推行节地生态安葬，鼓励倡导骨灰海葬、骨灰自然葬；及时足额发放节地生态安葬奖励金。 </w:t>
            </w:r>
          </w:p>
        </w:tc>
        <w:tc>
          <w:tcPr>
            <w:tcW w:w="12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9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310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29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2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9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310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29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2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1953"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898"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补助人数</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选择节地生态安葬实有人数</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38人</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9"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vMerge w:val="continue"/>
            <w:tcBorders>
              <w:top w:val="single" w:color="000000" w:sz="4" w:space="0"/>
              <w:left w:val="single" w:color="000000" w:sz="4" w:space="0"/>
              <w:bottom w:val="nil"/>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奖补率</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9"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vMerge w:val="continue"/>
            <w:tcBorders>
              <w:top w:val="single" w:color="000000" w:sz="4" w:space="0"/>
              <w:left w:val="single" w:color="000000" w:sz="4" w:space="0"/>
              <w:bottom w:val="nil"/>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及时率</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vMerge w:val="continue"/>
            <w:tcBorders>
              <w:top w:val="single" w:color="000000" w:sz="4" w:space="0"/>
              <w:left w:val="single" w:color="000000" w:sz="4" w:space="0"/>
              <w:bottom w:val="nil"/>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补贴发放标准</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不低于500元</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每人500元</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9"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9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156"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100.00%</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2"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89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业务保障能力</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保障奖补资金及时到位</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vMerge w:val="continue"/>
            <w:tcBorders>
              <w:top w:val="nil"/>
              <w:left w:val="single" w:color="000000" w:sz="4" w:space="0"/>
              <w:bottom w:val="nil"/>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89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left"/>
              <w:rPr>
                <w:rFonts w:hint="eastAsia" w:ascii="宋体" w:hAnsi="宋体" w:eastAsia="宋体" w:cs="宋体"/>
                <w:i w:val="0"/>
                <w:iCs w:val="0"/>
                <w:color w:val="000000"/>
                <w:sz w:val="16"/>
                <w:szCs w:val="16"/>
                <w:u w:val="none"/>
              </w:rPr>
            </w:pP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default" w:ascii="Calibri" w:hAnsi="Calibri" w:eastAsia="宋体" w:cs="Calibri"/>
                <w:i w:val="0"/>
                <w:iCs w:val="0"/>
                <w:color w:val="000000"/>
                <w:sz w:val="16"/>
                <w:szCs w:val="16"/>
                <w:u w:val="none"/>
              </w:rPr>
            </w:pP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default" w:ascii="Calibri" w:hAnsi="Calibri" w:eastAsia="宋体" w:cs="Calibri"/>
                <w:i w:val="0"/>
                <w:iCs w:val="0"/>
                <w:color w:val="000000"/>
                <w:sz w:val="16"/>
                <w:szCs w:val="16"/>
                <w:u w:val="none"/>
              </w:rPr>
            </w:pP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default" w:ascii="Calibri" w:hAnsi="Calibri" w:eastAsia="宋体" w:cs="Calibri"/>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vMerge w:val="continue"/>
            <w:tcBorders>
              <w:top w:val="nil"/>
              <w:left w:val="single" w:color="000000" w:sz="4" w:space="0"/>
              <w:bottom w:val="nil"/>
              <w:right w:val="single" w:color="000000" w:sz="4" w:space="0"/>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89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left"/>
              <w:rPr>
                <w:rFonts w:hint="eastAsia" w:ascii="宋体" w:hAnsi="宋体" w:eastAsia="宋体" w:cs="宋体"/>
                <w:i w:val="0"/>
                <w:iCs w:val="0"/>
                <w:color w:val="000000"/>
                <w:sz w:val="16"/>
                <w:szCs w:val="16"/>
                <w:u w:val="none"/>
              </w:rPr>
            </w:pP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default" w:ascii="Calibri" w:hAnsi="Calibri" w:eastAsia="宋体" w:cs="Calibri"/>
                <w:i w:val="0"/>
                <w:iCs w:val="0"/>
                <w:color w:val="000000"/>
                <w:sz w:val="16"/>
                <w:szCs w:val="16"/>
                <w:u w:val="none"/>
              </w:rPr>
            </w:pP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default" w:ascii="Calibri" w:hAnsi="Calibri" w:eastAsia="宋体" w:cs="Calibri"/>
                <w:i w:val="0"/>
                <w:iCs w:val="0"/>
                <w:color w:val="000000"/>
                <w:sz w:val="16"/>
                <w:szCs w:val="16"/>
                <w:u w:val="none"/>
              </w:rPr>
            </w:pP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ind w:left="0" w:leftChars="0"/>
              <w:jc w:val="center"/>
              <w:rPr>
                <w:rFonts w:hint="default" w:ascii="Calibri" w:hAnsi="Calibri" w:eastAsia="宋体" w:cs="Calibri"/>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13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9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7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9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1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7" w:hRule="atLeast"/>
        </w:trPr>
        <w:tc>
          <w:tcPr>
            <w:tcW w:w="1953" w:type="dxa"/>
            <w:vMerge w:val="continue"/>
            <w:tcBorders>
              <w:top w:val="single" w:color="000000" w:sz="4" w:space="0"/>
              <w:left w:val="single" w:color="000000" w:sz="4" w:space="0"/>
              <w:bottom w:val="single" w:color="000000" w:sz="4" w:space="0"/>
              <w:right w:val="nil"/>
            </w:tcBorders>
            <w:shd w:val="clear" w:color="auto" w:fill="auto"/>
            <w:vAlign w:val="center"/>
          </w:tcPr>
          <w:p>
            <w:pPr>
              <w:ind w:left="0" w:leftChars="0"/>
              <w:jc w:val="center"/>
              <w:rPr>
                <w:rFonts w:hint="eastAsia" w:ascii="宋体" w:hAnsi="宋体" w:eastAsia="宋体" w:cs="宋体"/>
                <w:i w:val="0"/>
                <w:iCs w:val="0"/>
                <w:color w:val="000000"/>
                <w:sz w:val="16"/>
                <w:szCs w:val="16"/>
                <w:u w:val="none"/>
              </w:rPr>
            </w:pPr>
          </w:p>
        </w:tc>
        <w:tc>
          <w:tcPr>
            <w:tcW w:w="605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4" w:hRule="atLeast"/>
        </w:trPr>
        <w:tc>
          <w:tcPr>
            <w:tcW w:w="195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ind w:left="0" w:leftChars="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287"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ind w:left="0" w:leftChars="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numPr>
          <w:ilvl w:val="0"/>
          <w:numId w:val="0"/>
        </w:numPr>
        <w:adjustRightInd w:val="0"/>
        <w:snapToGrid w:val="0"/>
        <w:spacing w:line="580" w:lineRule="exact"/>
        <w:ind w:firstLine="640" w:firstLineChars="200"/>
        <w:rPr>
          <w:rFonts w:ascii="Times New Roman" w:eastAsia="仿宋_GB2312"/>
          <w:b w:val="0"/>
          <w:sz w:val="32"/>
          <w:szCs w:val="32"/>
        </w:rPr>
      </w:pPr>
      <w:r>
        <w:rPr>
          <w:rFonts w:ascii="Times New Roman" w:eastAsia="仿宋_GB2312"/>
          <w:b w:val="0"/>
          <w:sz w:val="32"/>
          <w:szCs w:val="32"/>
        </w:rPr>
        <w:t>“</w:t>
      </w:r>
      <w:r>
        <w:rPr>
          <w:rFonts w:hint="eastAsia" w:ascii="Times New Roman" w:eastAsia="仿宋_GB2312"/>
          <w:b w:val="0"/>
          <w:sz w:val="32"/>
          <w:szCs w:val="32"/>
        </w:rPr>
        <w:t>桥西区社区服务中心及东顺经费</w:t>
      </w:r>
      <w:r>
        <w:rPr>
          <w:rFonts w:ascii="Times New Roman" w:eastAsia="仿宋_GB2312"/>
          <w:b w:val="0"/>
          <w:sz w:val="32"/>
          <w:szCs w:val="32"/>
        </w:rPr>
        <w:t>”项目</w:t>
      </w:r>
    </w:p>
    <w:tbl>
      <w:tblPr>
        <w:tblStyle w:val="8"/>
        <w:tblW w:w="97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396"/>
        <w:gridCol w:w="1071"/>
        <w:gridCol w:w="1003"/>
        <w:gridCol w:w="832"/>
        <w:gridCol w:w="954"/>
        <w:gridCol w:w="970"/>
        <w:gridCol w:w="1280"/>
        <w:gridCol w:w="121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jc w:val="center"/>
        </w:trPr>
        <w:tc>
          <w:tcPr>
            <w:tcW w:w="972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4" w:hRule="atLeast"/>
          <w:jc w:val="center"/>
        </w:trPr>
        <w:tc>
          <w:tcPr>
            <w:tcW w:w="2396"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填报单位：桥西区民政局</w:t>
            </w:r>
          </w:p>
        </w:tc>
        <w:tc>
          <w:tcPr>
            <w:tcW w:w="1071"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789"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2024年度）</w:t>
            </w:r>
          </w:p>
        </w:tc>
        <w:tc>
          <w:tcPr>
            <w:tcW w:w="97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94"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9" w:hRule="atLeast"/>
          <w:jc w:val="center"/>
        </w:trPr>
        <w:tc>
          <w:tcPr>
            <w:tcW w:w="239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桥西区社区服务中心及东顺经费</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46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07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2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36.14</w:t>
            </w: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36.14</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36.14</w:t>
            </w:r>
          </w:p>
        </w:tc>
        <w:tc>
          <w:tcPr>
            <w:tcW w:w="12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3" w:hRule="atLeast"/>
          <w:jc w:val="center"/>
        </w:trPr>
        <w:tc>
          <w:tcPr>
            <w:tcW w:w="2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36.14</w:t>
            </w: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36.14</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36.14</w:t>
            </w:r>
          </w:p>
        </w:tc>
        <w:tc>
          <w:tcPr>
            <w:tcW w:w="12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6"/>
                <w:szCs w:val="16"/>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2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90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20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90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及时足额发放人员工资，缴纳各项保险；保障人员福利待遇及工作经费，保障工作的顺利进行</w:t>
            </w:r>
          </w:p>
        </w:tc>
        <w:tc>
          <w:tcPr>
            <w:tcW w:w="320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按时发放人员工资，缴纳各项保险；保障人员福利待遇及工作经费，保障工作的顺利进行。</w:t>
            </w:r>
          </w:p>
        </w:tc>
        <w:tc>
          <w:tcPr>
            <w:tcW w:w="12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90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0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90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0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9" w:hRule="atLeast"/>
          <w:jc w:val="center"/>
        </w:trPr>
        <w:tc>
          <w:tcPr>
            <w:tcW w:w="239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100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在职人数</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2人</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2人</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保险缴纳情况</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4"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及时率</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3"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人均年费用</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人均年费用≦18.07万元</w:t>
            </w:r>
          </w:p>
        </w:tc>
        <w:tc>
          <w:tcPr>
            <w:tcW w:w="12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人均年费用≦18.07万元</w:t>
            </w:r>
          </w:p>
        </w:tc>
        <w:tc>
          <w:tcPr>
            <w:tcW w:w="121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3"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0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7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c>
          <w:tcPr>
            <w:tcW w:w="121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9"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100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福利待遇情况</w:t>
            </w:r>
          </w:p>
        </w:tc>
        <w:tc>
          <w:tcPr>
            <w:tcW w:w="97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落实职工福利待遇</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1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9"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0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9"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0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9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 w:hRule="atLeast"/>
          <w:jc w:val="center"/>
        </w:trPr>
        <w:tc>
          <w:tcPr>
            <w:tcW w:w="239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11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239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324"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numPr>
          <w:ilvl w:val="0"/>
          <w:numId w:val="0"/>
        </w:numPr>
        <w:adjustRightInd w:val="0"/>
        <w:snapToGrid w:val="0"/>
        <w:spacing w:line="580" w:lineRule="exact"/>
        <w:ind w:firstLine="640" w:firstLineChars="200"/>
        <w:rPr>
          <w:rFonts w:ascii="Times New Roman" w:eastAsia="仿宋_GB2312"/>
          <w:b w:val="0"/>
          <w:sz w:val="32"/>
          <w:szCs w:val="32"/>
        </w:rPr>
      </w:pPr>
      <w:r>
        <w:rPr>
          <w:rFonts w:ascii="Times New Roman" w:eastAsia="仿宋_GB2312"/>
          <w:b w:val="0"/>
          <w:sz w:val="32"/>
          <w:szCs w:val="32"/>
        </w:rPr>
        <w:t>“</w:t>
      </w:r>
      <w:r>
        <w:rPr>
          <w:rFonts w:hint="eastAsia" w:ascii="Times New Roman" w:eastAsia="仿宋_GB2312"/>
          <w:b w:val="0"/>
          <w:sz w:val="32"/>
          <w:szCs w:val="32"/>
        </w:rPr>
        <w:t>法律咨询服务费</w:t>
      </w:r>
      <w:r>
        <w:rPr>
          <w:rFonts w:ascii="Times New Roman" w:eastAsia="仿宋_GB2312"/>
          <w:b w:val="0"/>
          <w:sz w:val="32"/>
          <w:szCs w:val="32"/>
        </w:rPr>
        <w:t>”项目</w:t>
      </w:r>
    </w:p>
    <w:tbl>
      <w:tblPr>
        <w:tblStyle w:val="8"/>
        <w:tblW w:w="98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984"/>
        <w:gridCol w:w="1084"/>
        <w:gridCol w:w="984"/>
        <w:gridCol w:w="963"/>
        <w:gridCol w:w="986"/>
        <w:gridCol w:w="1174"/>
        <w:gridCol w:w="1394"/>
        <w:gridCol w:w="127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1" w:hRule="atLeast"/>
          <w:jc w:val="center"/>
        </w:trPr>
        <w:tc>
          <w:tcPr>
            <w:tcW w:w="984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5" w:hRule="atLeast"/>
          <w:jc w:val="center"/>
        </w:trPr>
        <w:tc>
          <w:tcPr>
            <w:tcW w:w="1984"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填报单位：桥西区民政局</w:t>
            </w:r>
          </w:p>
        </w:tc>
        <w:tc>
          <w:tcPr>
            <w:tcW w:w="1084"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84"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949"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2024 年度）</w:t>
            </w:r>
          </w:p>
        </w:tc>
        <w:tc>
          <w:tcPr>
            <w:tcW w:w="1174"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65"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1" w:hRule="atLeast"/>
          <w:jc w:val="center"/>
        </w:trPr>
        <w:tc>
          <w:tcPr>
            <w:tcW w:w="198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9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法律咨询服务费</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8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19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0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5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9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1" w:hRule="atLeast"/>
          <w:jc w:val="center"/>
        </w:trPr>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9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6"/>
                <w:szCs w:val="16"/>
                <w:u w:val="none"/>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8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19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0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5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3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积极开展法律咨询，对规范性文件、合同进行合法性审查，降低风险。提高业务工作人员法律知识，提高行政执法能力和水平。</w:t>
            </w:r>
          </w:p>
        </w:tc>
        <w:tc>
          <w:tcPr>
            <w:tcW w:w="355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通过法律咨询，对规范性文件、合同进行合法性审查，降低了风险，提高了业务工作人员法律知识，提高行政执法能力和水平。</w:t>
            </w:r>
          </w:p>
        </w:tc>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5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0" w:hRule="atLeast"/>
          <w:jc w:val="center"/>
        </w:trPr>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3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5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1984"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1"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98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法律咨询次数</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发生法律咨询次数</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15次</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7"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覆盖率</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重大事项法律咨询审核全覆盖</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及时率</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支付标准</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1.6万元</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1.6万元</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7"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100.00%</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1"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98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执法水平提升</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执法水平提升</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执法水平明显提升</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1"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8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1"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8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9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39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jc w:val="center"/>
        </w:trPr>
        <w:tc>
          <w:tcPr>
            <w:tcW w:w="198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5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7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1" w:hRule="atLeast"/>
          <w:jc w:val="center"/>
        </w:trPr>
        <w:tc>
          <w:tcPr>
            <w:tcW w:w="198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856"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numPr>
          <w:ilvl w:val="0"/>
          <w:numId w:val="0"/>
        </w:numPr>
        <w:adjustRightInd w:val="0"/>
        <w:snapToGrid w:val="0"/>
        <w:spacing w:line="580" w:lineRule="exact"/>
        <w:ind w:firstLine="640" w:firstLineChars="200"/>
        <w:rPr>
          <w:rFonts w:ascii="Times New Roman" w:eastAsia="仿宋_GB2312"/>
          <w:b w:val="0"/>
          <w:sz w:val="32"/>
          <w:szCs w:val="32"/>
        </w:rPr>
      </w:pPr>
      <w:r>
        <w:rPr>
          <w:rFonts w:ascii="Times New Roman" w:eastAsia="仿宋_GB2312"/>
          <w:b w:val="0"/>
          <w:sz w:val="32"/>
          <w:szCs w:val="32"/>
        </w:rPr>
        <w:t>“</w:t>
      </w:r>
      <w:r>
        <w:rPr>
          <w:rFonts w:hint="eastAsia" w:ascii="Times New Roman" w:eastAsia="仿宋_GB2312"/>
          <w:b w:val="0"/>
          <w:sz w:val="32"/>
          <w:szCs w:val="32"/>
        </w:rPr>
        <w:t>孤儿助学</w:t>
      </w:r>
      <w:r>
        <w:rPr>
          <w:rFonts w:ascii="Times New Roman" w:eastAsia="仿宋_GB2312"/>
          <w:b w:val="0"/>
          <w:sz w:val="32"/>
          <w:szCs w:val="32"/>
        </w:rPr>
        <w:t>”项目</w:t>
      </w:r>
    </w:p>
    <w:tbl>
      <w:tblPr>
        <w:tblStyle w:val="8"/>
        <w:tblW w:w="979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416"/>
        <w:gridCol w:w="930"/>
        <w:gridCol w:w="992"/>
        <w:gridCol w:w="911"/>
        <w:gridCol w:w="924"/>
        <w:gridCol w:w="947"/>
        <w:gridCol w:w="1415"/>
        <w:gridCol w:w="12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jc w:val="center"/>
        </w:trPr>
        <w:tc>
          <w:tcPr>
            <w:tcW w:w="9795"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2416"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填报单位：桥西区民政局</w:t>
            </w:r>
          </w:p>
        </w:tc>
        <w:tc>
          <w:tcPr>
            <w:tcW w:w="93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827"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2024年度）</w:t>
            </w:r>
          </w:p>
        </w:tc>
        <w:tc>
          <w:tcPr>
            <w:tcW w:w="947"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75"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241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9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孤儿助学</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6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24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92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3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2.25</w:t>
            </w:r>
          </w:p>
        </w:tc>
        <w:tc>
          <w:tcPr>
            <w:tcW w:w="9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2.25</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2.25</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2.25</w:t>
            </w:r>
          </w:p>
        </w:tc>
        <w:tc>
          <w:tcPr>
            <w:tcW w:w="9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2.25</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2.25</w:t>
            </w: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6"/>
                <w:szCs w:val="16"/>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24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8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2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83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所有符合条件的孤儿全部纳入保障范围，做到应保尽保；按标准及时足额发放孤儿助学金。</w:t>
            </w:r>
          </w:p>
        </w:tc>
        <w:tc>
          <w:tcPr>
            <w:tcW w:w="328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已将符合条件的孤儿全部纳入了保障范围；按标准及时足额发放孤儿助学金。 </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83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jc w:val="center"/>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83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241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992"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补助人数</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实有人数</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2人</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补助率</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及时率</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补助标准</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每人每年1万元</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每人每年1万元，按标准发放 </w:t>
            </w:r>
          </w:p>
        </w:tc>
        <w:tc>
          <w:tcPr>
            <w:tcW w:w="126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9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41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99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保障情况</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应保尽保</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9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9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8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4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jc w:val="center"/>
        </w:trPr>
        <w:tc>
          <w:tcPr>
            <w:tcW w:w="24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11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jc w:val="center"/>
        </w:trPr>
        <w:tc>
          <w:tcPr>
            <w:tcW w:w="241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379"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numPr>
          <w:ilvl w:val="0"/>
          <w:numId w:val="0"/>
        </w:numPr>
        <w:adjustRightInd w:val="0"/>
        <w:snapToGrid w:val="0"/>
        <w:spacing w:line="580" w:lineRule="exact"/>
        <w:ind w:firstLine="640" w:firstLineChars="200"/>
        <w:rPr>
          <w:rFonts w:ascii="Times New Roman" w:eastAsia="仿宋_GB2312"/>
          <w:b w:val="0"/>
          <w:sz w:val="32"/>
          <w:szCs w:val="32"/>
        </w:rPr>
      </w:pPr>
      <w:r>
        <w:rPr>
          <w:rFonts w:ascii="Times New Roman" w:eastAsia="仿宋_GB2312"/>
          <w:b w:val="0"/>
          <w:sz w:val="32"/>
          <w:szCs w:val="32"/>
        </w:rPr>
        <w:t>“</w:t>
      </w:r>
      <w:r>
        <w:rPr>
          <w:rFonts w:hint="eastAsia" w:ascii="Times New Roman" w:eastAsia="仿宋_GB2312"/>
          <w:b w:val="0"/>
          <w:sz w:val="32"/>
          <w:szCs w:val="32"/>
        </w:rPr>
        <w:t>城市最低生活保障金（专项资金）</w:t>
      </w:r>
      <w:r>
        <w:rPr>
          <w:rFonts w:ascii="Times New Roman" w:eastAsia="仿宋_GB2312"/>
          <w:b w:val="0"/>
          <w:sz w:val="32"/>
          <w:szCs w:val="32"/>
        </w:rPr>
        <w:t>”项目</w:t>
      </w:r>
    </w:p>
    <w:tbl>
      <w:tblPr>
        <w:tblStyle w:val="8"/>
        <w:tblW w:w="97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000"/>
        <w:gridCol w:w="1263"/>
        <w:gridCol w:w="1254"/>
        <w:gridCol w:w="846"/>
        <w:gridCol w:w="924"/>
        <w:gridCol w:w="930"/>
        <w:gridCol w:w="1331"/>
        <w:gridCol w:w="123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978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jc w:val="center"/>
        </w:trPr>
        <w:tc>
          <w:tcPr>
            <w:tcW w:w="2000"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填报单位：桥西区民政局</w:t>
            </w:r>
          </w:p>
        </w:tc>
        <w:tc>
          <w:tcPr>
            <w:tcW w:w="1263"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024"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2024年度）</w:t>
            </w:r>
          </w:p>
        </w:tc>
        <w:tc>
          <w:tcPr>
            <w:tcW w:w="93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563"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3" w:hRule="atLeast"/>
          <w:jc w:val="center"/>
        </w:trPr>
        <w:tc>
          <w:tcPr>
            <w:tcW w:w="20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2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城市最低生活保障金（专项资金）</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49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jc w:val="center"/>
        </w:trPr>
        <w:tc>
          <w:tcPr>
            <w:tcW w:w="20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5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2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jc w:val="center"/>
        </w:trPr>
        <w:tc>
          <w:tcPr>
            <w:tcW w:w="2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1276.27</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1276.27</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1276.27</w:t>
            </w:r>
          </w:p>
        </w:tc>
        <w:tc>
          <w:tcPr>
            <w:tcW w:w="12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8" w:hRule="atLeast"/>
          <w:jc w:val="center"/>
        </w:trPr>
        <w:tc>
          <w:tcPr>
            <w:tcW w:w="2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1276.27</w:t>
            </w: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1276.27</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1276.27</w:t>
            </w:r>
          </w:p>
        </w:tc>
        <w:tc>
          <w:tcPr>
            <w:tcW w:w="12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1" w:hRule="atLeast"/>
          <w:jc w:val="center"/>
        </w:trPr>
        <w:tc>
          <w:tcPr>
            <w:tcW w:w="2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6"/>
                <w:szCs w:val="16"/>
                <w:u w:val="none"/>
              </w:rPr>
            </w:pPr>
          </w:p>
        </w:tc>
        <w:tc>
          <w:tcPr>
            <w:tcW w:w="8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2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8" w:hRule="atLeast"/>
          <w:jc w:val="center"/>
        </w:trPr>
        <w:tc>
          <w:tcPr>
            <w:tcW w:w="20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36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1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6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按月及时足额发放最低生活保障金；做好低保年审工作，将符合救助条件的全部纳入低保保障范围。</w:t>
            </w:r>
          </w:p>
        </w:tc>
        <w:tc>
          <w:tcPr>
            <w:tcW w:w="318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按政策标准及时足额发放最低生活保障金；完成低保年审工作，将符合救助条件的全部纳入低保保障范围。</w:t>
            </w:r>
          </w:p>
        </w:tc>
        <w:tc>
          <w:tcPr>
            <w:tcW w:w="12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6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0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6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8" w:hRule="atLeast"/>
          <w:jc w:val="center"/>
        </w:trPr>
        <w:tc>
          <w:tcPr>
            <w:tcW w:w="200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2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8"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125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发放补助人数</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实际救助人数</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1318人</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补助率</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及时率</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8"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发放标准</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每月每人</w:t>
            </w:r>
            <w:r>
              <w:rPr>
                <w:rFonts w:ascii="Calibri" w:hAnsi="Calibri" w:eastAsia="宋体" w:cs="Calibri"/>
                <w:i w:val="0"/>
                <w:iCs w:val="0"/>
                <w:color w:val="000000"/>
                <w:kern w:val="0"/>
                <w:sz w:val="16"/>
                <w:szCs w:val="16"/>
                <w:u w:val="none"/>
                <w:lang w:val="en-US" w:eastAsia="zh-CN" w:bidi="ar"/>
              </w:rPr>
              <w:t>766</w:t>
            </w:r>
            <w:r>
              <w:rPr>
                <w:rFonts w:hint="eastAsia" w:ascii="宋体" w:hAnsi="宋体" w:eastAsia="宋体" w:cs="宋体"/>
                <w:i w:val="0"/>
                <w:iCs w:val="0"/>
                <w:color w:val="000000"/>
                <w:kern w:val="0"/>
                <w:sz w:val="16"/>
                <w:szCs w:val="16"/>
                <w:u w:val="none"/>
                <w:lang w:val="en-US" w:eastAsia="zh-CN" w:bidi="ar"/>
              </w:rPr>
              <w:t>元，差额发放</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2024年1-6月每月每人810元，2024年7-12月每月每人860元，差额发放</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8"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25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100.00%</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7"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125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保障情况</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应保尽保</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8"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3"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25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200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54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8" w:hRule="atLeast"/>
          <w:jc w:val="center"/>
        </w:trPr>
        <w:tc>
          <w:tcPr>
            <w:tcW w:w="20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780"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numPr>
          <w:ilvl w:val="0"/>
          <w:numId w:val="0"/>
        </w:numPr>
        <w:adjustRightInd w:val="0"/>
        <w:snapToGrid w:val="0"/>
        <w:spacing w:line="580" w:lineRule="exact"/>
        <w:ind w:firstLine="640" w:firstLineChars="200"/>
        <w:rPr>
          <w:rFonts w:ascii="Times New Roman" w:eastAsia="仿宋_GB2312"/>
          <w:b w:val="0"/>
          <w:sz w:val="32"/>
          <w:szCs w:val="32"/>
        </w:rPr>
      </w:pPr>
      <w:r>
        <w:rPr>
          <w:rFonts w:ascii="Times New Roman" w:eastAsia="仿宋_GB2312"/>
          <w:b w:val="0"/>
          <w:sz w:val="32"/>
          <w:szCs w:val="32"/>
        </w:rPr>
        <w:t>“</w:t>
      </w:r>
      <w:r>
        <w:rPr>
          <w:rFonts w:hint="eastAsia" w:ascii="Times New Roman" w:eastAsia="仿宋_GB2312"/>
          <w:b w:val="0"/>
          <w:sz w:val="32"/>
          <w:szCs w:val="32"/>
        </w:rPr>
        <w:t>精神障碍社区康复服务</w:t>
      </w:r>
      <w:r>
        <w:rPr>
          <w:rFonts w:ascii="Times New Roman" w:eastAsia="仿宋_GB2312"/>
          <w:b w:val="0"/>
          <w:sz w:val="32"/>
          <w:szCs w:val="32"/>
        </w:rPr>
        <w:t>”项目</w:t>
      </w:r>
    </w:p>
    <w:tbl>
      <w:tblPr>
        <w:tblStyle w:val="8"/>
        <w:tblW w:w="976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120"/>
        <w:gridCol w:w="1250"/>
        <w:gridCol w:w="1033"/>
        <w:gridCol w:w="944"/>
        <w:gridCol w:w="926"/>
        <w:gridCol w:w="1103"/>
        <w:gridCol w:w="1128"/>
        <w:gridCol w:w="12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jc w:val="center"/>
        </w:trPr>
        <w:tc>
          <w:tcPr>
            <w:tcW w:w="976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9" w:hRule="atLeast"/>
          <w:jc w:val="center"/>
        </w:trPr>
        <w:tc>
          <w:tcPr>
            <w:tcW w:w="2120"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填报单位：桥西区民政局</w:t>
            </w:r>
          </w:p>
        </w:tc>
        <w:tc>
          <w:tcPr>
            <w:tcW w:w="125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903"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2024年度 ）</w:t>
            </w:r>
          </w:p>
        </w:tc>
        <w:tc>
          <w:tcPr>
            <w:tcW w:w="1103"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384"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3" w:hRule="atLeast"/>
          <w:jc w:val="center"/>
        </w:trPr>
        <w:tc>
          <w:tcPr>
            <w:tcW w:w="212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2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9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精神障碍社区康复服务项目</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48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 w:hRule="atLeast"/>
          <w:jc w:val="center"/>
        </w:trPr>
        <w:tc>
          <w:tcPr>
            <w:tcW w:w="21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8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23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5" w:hRule="atLeast"/>
          <w:jc w:val="center"/>
        </w:trPr>
        <w:tc>
          <w:tcPr>
            <w:tcW w:w="2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25.2</w:t>
            </w:r>
          </w:p>
        </w:tc>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25.2</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25.2</w:t>
            </w: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3" w:hRule="atLeast"/>
          <w:jc w:val="center"/>
        </w:trPr>
        <w:tc>
          <w:tcPr>
            <w:tcW w:w="2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25.2</w:t>
            </w:r>
          </w:p>
        </w:tc>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25.2</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25.2</w:t>
            </w: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5" w:hRule="atLeast"/>
          <w:jc w:val="center"/>
        </w:trPr>
        <w:tc>
          <w:tcPr>
            <w:tcW w:w="2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6"/>
                <w:szCs w:val="16"/>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 w:hRule="atLeast"/>
          <w:jc w:val="center"/>
        </w:trPr>
        <w:tc>
          <w:tcPr>
            <w:tcW w:w="21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2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15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2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符合条件的精神障碍患者全部纳入康复服务范围。通过精神障碍社区康复服务，提高精神障碍患者幸福感，提高社会融合度。</w:t>
            </w:r>
          </w:p>
        </w:tc>
        <w:tc>
          <w:tcPr>
            <w:tcW w:w="315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精神障碍社区康复服务按项目计划进度开展服务，将符合条件的精神障碍患者全部纳入康复服务范围，通过优质服务，提高了精神障碍患者幸福感和社会融合度。</w:t>
            </w:r>
          </w:p>
        </w:tc>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2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jc w:val="center"/>
        </w:trPr>
        <w:tc>
          <w:tcPr>
            <w:tcW w:w="2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2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3" w:hRule="atLeast"/>
          <w:jc w:val="center"/>
        </w:trPr>
        <w:tc>
          <w:tcPr>
            <w:tcW w:w="212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2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1"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10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服务人数</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精神障碍社区康复服务人数</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40人</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8"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服务率</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3"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及时率</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支付标准</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≦36万元</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25.2万元，按项目计划进度开展服务</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1"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3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1"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103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服务情况</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精神障碍社区康复服务是否有效</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效果明显</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3"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3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1"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3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1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jc w:val="center"/>
        </w:trPr>
        <w:tc>
          <w:tcPr>
            <w:tcW w:w="2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3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7" w:hRule="atLeast"/>
          <w:jc w:val="center"/>
        </w:trPr>
        <w:tc>
          <w:tcPr>
            <w:tcW w:w="212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640"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numPr>
          <w:ilvl w:val="0"/>
          <w:numId w:val="0"/>
        </w:numPr>
        <w:adjustRightInd w:val="0"/>
        <w:snapToGrid w:val="0"/>
        <w:spacing w:line="580" w:lineRule="exact"/>
        <w:ind w:firstLine="640" w:firstLineChars="200"/>
        <w:rPr>
          <w:rFonts w:ascii="Times New Roman" w:eastAsia="仿宋_GB2312"/>
          <w:b w:val="0"/>
          <w:sz w:val="32"/>
          <w:szCs w:val="32"/>
        </w:rPr>
      </w:pPr>
      <w:r>
        <w:rPr>
          <w:rFonts w:ascii="Times New Roman" w:eastAsia="仿宋_GB2312"/>
          <w:b w:val="0"/>
          <w:sz w:val="32"/>
          <w:szCs w:val="32"/>
        </w:rPr>
        <w:t>“</w:t>
      </w:r>
      <w:r>
        <w:rPr>
          <w:rFonts w:hint="eastAsia" w:ascii="Times New Roman" w:eastAsia="仿宋_GB2312"/>
          <w:b w:val="0"/>
          <w:sz w:val="32"/>
          <w:szCs w:val="32"/>
        </w:rPr>
        <w:t>困难老年人社区居家养老服务补贴</w:t>
      </w:r>
      <w:r>
        <w:rPr>
          <w:rFonts w:ascii="Times New Roman" w:eastAsia="仿宋_GB2312"/>
          <w:b w:val="0"/>
          <w:sz w:val="32"/>
          <w:szCs w:val="32"/>
        </w:rPr>
        <w:t>”项目</w:t>
      </w:r>
    </w:p>
    <w:tbl>
      <w:tblPr>
        <w:tblStyle w:val="8"/>
        <w:tblW w:w="97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010"/>
        <w:gridCol w:w="1348"/>
        <w:gridCol w:w="891"/>
        <w:gridCol w:w="927"/>
        <w:gridCol w:w="940"/>
        <w:gridCol w:w="964"/>
        <w:gridCol w:w="1441"/>
        <w:gridCol w:w="125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9" w:hRule="atLeast"/>
          <w:jc w:val="center"/>
        </w:trPr>
        <w:tc>
          <w:tcPr>
            <w:tcW w:w="978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jc w:val="center"/>
        </w:trPr>
        <w:tc>
          <w:tcPr>
            <w:tcW w:w="2010"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填报单位：桥西区民政局</w:t>
            </w:r>
          </w:p>
        </w:tc>
        <w:tc>
          <w:tcPr>
            <w:tcW w:w="1348"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758"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2024年度）</w:t>
            </w:r>
          </w:p>
        </w:tc>
        <w:tc>
          <w:tcPr>
            <w:tcW w:w="964"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700"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7" w:hRule="atLeast"/>
          <w:jc w:val="center"/>
        </w:trPr>
        <w:tc>
          <w:tcPr>
            <w:tcW w:w="201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81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困难老年人社区居家养老服务补贴</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66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桥西区民政局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6" w:hRule="atLeast"/>
          <w:jc w:val="center"/>
        </w:trPr>
        <w:tc>
          <w:tcPr>
            <w:tcW w:w="20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3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4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1" w:hRule="atLeast"/>
          <w:jc w:val="center"/>
        </w:trPr>
        <w:tc>
          <w:tcPr>
            <w:tcW w:w="2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w:t>
            </w:r>
          </w:p>
        </w:tc>
        <w:tc>
          <w:tcPr>
            <w:tcW w:w="9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w:t>
            </w:r>
          </w:p>
        </w:tc>
        <w:tc>
          <w:tcPr>
            <w:tcW w:w="12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7" w:hRule="atLeast"/>
          <w:jc w:val="center"/>
        </w:trPr>
        <w:tc>
          <w:tcPr>
            <w:tcW w:w="2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w:t>
            </w:r>
          </w:p>
        </w:tc>
        <w:tc>
          <w:tcPr>
            <w:tcW w:w="9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                     财政资金</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w:t>
            </w:r>
          </w:p>
        </w:tc>
        <w:tc>
          <w:tcPr>
            <w:tcW w:w="12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4" w:hRule="atLeast"/>
          <w:jc w:val="center"/>
        </w:trPr>
        <w:tc>
          <w:tcPr>
            <w:tcW w:w="2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16"/>
                <w:szCs w:val="16"/>
                <w:u w:val="none"/>
              </w:rPr>
            </w:pPr>
          </w:p>
        </w:tc>
        <w:tc>
          <w:tcPr>
            <w:tcW w:w="9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2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6" w:hRule="atLeast"/>
          <w:jc w:val="center"/>
        </w:trPr>
        <w:tc>
          <w:tcPr>
            <w:tcW w:w="20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16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3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6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完成困难老年人社区居家养老补贴核对工作，及时结算困难老年人社区居家养老服务资金。</w:t>
            </w:r>
          </w:p>
        </w:tc>
        <w:tc>
          <w:tcPr>
            <w:tcW w:w="334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完成了困难老年人社区居家养老补贴核对工作，按市民政局通知及时结算困难老年人社区居家养老服务资金。 </w:t>
            </w:r>
          </w:p>
        </w:tc>
        <w:tc>
          <w:tcPr>
            <w:tcW w:w="12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6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0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6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7" w:hRule="atLeast"/>
          <w:jc w:val="center"/>
        </w:trPr>
        <w:tc>
          <w:tcPr>
            <w:tcW w:w="201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7"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89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服务人数</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符合条件的实有人数</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5"/>
                <w:szCs w:val="15"/>
                <w:u w:val="none"/>
              </w:rPr>
            </w:pPr>
            <w:r>
              <w:rPr>
                <w:rFonts w:hint="eastAsia" w:ascii="宋体" w:hAnsi="宋体" w:eastAsia="宋体" w:cs="宋体"/>
                <w:i w:val="0"/>
                <w:iCs w:val="0"/>
                <w:color w:val="000000"/>
                <w:kern w:val="0"/>
                <w:sz w:val="15"/>
                <w:szCs w:val="15"/>
                <w:u w:val="none"/>
                <w:lang w:val="en-US" w:eastAsia="zh-CN" w:bidi="ar"/>
              </w:rPr>
              <w:t>4791人</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补助率</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及时率</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5"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支付标准</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每人每月不低于100元</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每人每月不低于100元，按标准发放</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6"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9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100.00%</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6"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891"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提升服务能力</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养老服务能力有效提高</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养老服务能力有效提高</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7"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91"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6"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891"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86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9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ascii="Calibri" w:hAnsi="Calibri" w:eastAsia="宋体" w:cs="Calibri"/>
                <w:i w:val="0"/>
                <w:iCs w:val="0"/>
                <w:color w:val="000000"/>
                <w:kern w:val="0"/>
                <w:sz w:val="16"/>
                <w:szCs w:val="16"/>
                <w:u w:val="none"/>
                <w:lang w:val="en-US" w:eastAsia="zh-CN" w:bidi="ar"/>
              </w:rPr>
              <w:t>90%</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2" w:hRule="atLeast"/>
          <w:jc w:val="center"/>
        </w:trPr>
        <w:tc>
          <w:tcPr>
            <w:tcW w:w="20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51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0" w:hRule="atLeast"/>
          <w:jc w:val="center"/>
        </w:trPr>
        <w:tc>
          <w:tcPr>
            <w:tcW w:w="201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770"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numPr>
          <w:ilvl w:val="0"/>
          <w:numId w:val="3"/>
        </w:numPr>
        <w:adjustRightInd w:val="0"/>
        <w:snapToGrid w:val="0"/>
        <w:spacing w:line="580" w:lineRule="exact"/>
        <w:ind w:left="42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部门评价项目绩效评价结果</w:t>
      </w:r>
    </w:p>
    <w:p>
      <w:pPr>
        <w:adjustRightInd w:val="0"/>
        <w:snapToGrid w:val="0"/>
        <w:spacing w:line="580" w:lineRule="exact"/>
        <w:ind w:firstLine="640" w:firstLineChars="200"/>
        <w:rPr>
          <w:rFonts w:ascii="Times New Roman" w:eastAsia="仿宋_GB2312"/>
          <w:b w:val="0"/>
          <w:sz w:val="32"/>
          <w:szCs w:val="32"/>
        </w:rPr>
      </w:pPr>
      <w:r>
        <w:rPr>
          <w:rFonts w:ascii="Times New Roman" w:eastAsia="仿宋_GB2312"/>
          <w:b w:val="0"/>
          <w:sz w:val="32"/>
          <w:szCs w:val="32"/>
        </w:rPr>
        <w:t>2024年，我单位按照年初制定的工作目标和任务，围绕区委、 区政府的中心工作，结合实际，抓重点、出亮点，在确保常规性 业务工作稳步推进的基础上，圆满完成了各项工作任务。根据绩 效评价指标体系及评价标准方法，结合现场查阅、统计相关资料 进行综合评价，得分结果为 100 分，绩效评价等级为优秀。</w:t>
      </w:r>
    </w:p>
    <w:p>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ascii="Times New Roman" w:eastAsia="仿宋_GB2312"/>
          <w:b w:val="0"/>
          <w:sz w:val="32"/>
          <w:szCs w:val="32"/>
        </w:rPr>
      </w:pPr>
      <w:r>
        <w:rPr>
          <w:rFonts w:ascii="Times New Roman" w:hAnsi="Times New Roman" w:eastAsia="仿宋_GB2312" w:cs="Times New Roman"/>
          <w:sz w:val="32"/>
          <w:szCs w:val="32"/>
        </w:rPr>
        <w:t xml:space="preserve">1. </w:t>
      </w:r>
      <w:r>
        <w:rPr>
          <w:rFonts w:ascii="Times New Roman" w:eastAsia="仿宋_GB2312"/>
          <w:b w:val="0"/>
          <w:sz w:val="32"/>
          <w:szCs w:val="32"/>
        </w:rPr>
        <w:t>本部门2024年度</w:t>
      </w:r>
      <w:r>
        <w:rPr>
          <w:rFonts w:hint="eastAsia" w:ascii="Times New Roman" w:eastAsia="仿宋_GB2312"/>
          <w:b w:val="0"/>
          <w:sz w:val="32"/>
          <w:szCs w:val="32"/>
          <w:lang w:val="en-US" w:eastAsia="zh-CN"/>
        </w:rPr>
        <w:t>未发生</w:t>
      </w:r>
      <w:r>
        <w:rPr>
          <w:rFonts w:ascii="Times New Roman" w:eastAsia="仿宋_GB2312"/>
          <w:b w:val="0"/>
          <w:sz w:val="32"/>
          <w:szCs w:val="32"/>
        </w:rPr>
        <w:t>国有资本经营预算财政拨款</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无收支及结转情况，</w:t>
      </w:r>
      <w:r>
        <w:rPr>
          <w:rFonts w:ascii="Times New Roman" w:eastAsia="仿宋_GB2312"/>
          <w:b w:val="0"/>
          <w:sz w:val="32"/>
          <w:szCs w:val="32"/>
        </w:rPr>
        <w:t>故国有资本经营预算财政拨款</w:t>
      </w:r>
      <w:r>
        <w:rPr>
          <w:rFonts w:hint="eastAsia" w:ascii="Times New Roman" w:eastAsia="仿宋_GB2312"/>
          <w:b w:val="0"/>
          <w:sz w:val="32"/>
          <w:szCs w:val="32"/>
          <w:lang w:val="en-US" w:eastAsia="zh-CN"/>
        </w:rPr>
        <w:t>支出决算表以</w:t>
      </w:r>
      <w:r>
        <w:rPr>
          <w:rFonts w:ascii="Times New Roman" w:eastAsia="仿宋_GB2312"/>
          <w:b w:val="0"/>
          <w:sz w:val="32"/>
          <w:szCs w:val="32"/>
        </w:rPr>
        <w:t>空表列示。</w:t>
      </w:r>
    </w:p>
    <w:p>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line="580" w:lineRule="exact"/>
        <w:jc w:val="center"/>
        <w:rPr>
          <w:rFonts w:ascii="Times New Roman" w:hAnsi="Times New Roman" w:cs="Times New Roman"/>
          <w:sz w:val="44"/>
          <w:szCs w:val="44"/>
          <w14:textOutline w14:w="9525" w14:cap="flat" w14:cmpd="sng" w14:algn="ctr">
            <w14:solidFill>
              <w14:schemeClr w14:val="tx1">
                <w14:lumMod w14:val="50000"/>
                <w14:lumOff w14:val="50000"/>
              </w14:schemeClr>
            </w14:solidFill>
            <w14:prstDash w14:val="solid"/>
            <w14:round/>
          </w14:textOutline>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名词解释</w:t>
      </w:r>
    </w:p>
    <w:p>
      <w:pPr>
        <w:spacing w:line="580" w:lineRule="exact"/>
        <w:rPr>
          <w:rFonts w:ascii="Times New Roman" w:hAnsi="Times New Roman" w:eastAsia="仿宋_GB2312" w:cs="Times New Roman"/>
          <w:sz w:val="32"/>
          <w:szCs w:val="32"/>
        </w:rPr>
      </w:pPr>
    </w:p>
    <w:p>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一、财政拨款收入：</w:t>
      </w:r>
      <w:r>
        <w:rPr>
          <w:rFonts w:ascii="Times New Roman" w:hAnsi="Times New Roman" w:eastAsia="仿宋_GB2312" w:cs="Times New Roman"/>
          <w:sz w:val="32"/>
          <w:szCs w:val="32"/>
        </w:rPr>
        <w:t>指单位从同级财政部门取得的财政预算资金。</w:t>
      </w:r>
    </w:p>
    <w:p>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二、事业收入：</w:t>
      </w:r>
      <w:r>
        <w:rPr>
          <w:rFonts w:ascii="Times New Roman" w:hAnsi="Times New Roman" w:eastAsia="仿宋_GB2312" w:cs="Times New Roman"/>
          <w:sz w:val="32"/>
          <w:szCs w:val="32"/>
        </w:rPr>
        <w:t>指事业单位开展专业业务活动及辅助活动取得的收入。</w:t>
      </w:r>
    </w:p>
    <w:p>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三、经营收入：</w:t>
      </w:r>
      <w:r>
        <w:rPr>
          <w:rFonts w:ascii="Times New Roman" w:hAnsi="Times New Roman" w:eastAsia="仿宋_GB2312" w:cs="Times New Roman"/>
          <w:sz w:val="32"/>
          <w:szCs w:val="32"/>
        </w:rPr>
        <w:t>指事业单位在专业业务活动及其辅助活动之外开展非独立核算经营活动取得的收入。</w:t>
      </w:r>
    </w:p>
    <w:p>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四、其他收入：</w:t>
      </w:r>
      <w:r>
        <w:rPr>
          <w:rFonts w:ascii="Times New Roman" w:hAnsi="Times New Roman" w:eastAsia="仿宋_GB2312" w:cs="Times New Roman"/>
          <w:sz w:val="32"/>
          <w:szCs w:val="32"/>
        </w:rPr>
        <w:t>指单位取得的除上述收入以外的各项收入。主要是事业单位固定资产出租收入、存款利息收入等。</w:t>
      </w:r>
    </w:p>
    <w:p>
      <w:pPr>
        <w:pStyle w:val="14"/>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五、使用非财政拨款结余（含专用结余）：</w:t>
      </w:r>
      <w:r>
        <w:rPr>
          <w:rFonts w:ascii="Times New Roman" w:hAnsi="Times New Roman" w:eastAsia="仿宋_GB2312" w:cs="Times New Roman"/>
          <w:sz w:val="32"/>
          <w:szCs w:val="32"/>
        </w:rPr>
        <w:t>指事业单位按照预算管理要求使用非财政拨款结余弥补收支差额的金额，以及使用专用结余安排支出的金额。</w:t>
      </w:r>
    </w:p>
    <w:p>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六、年初结转和结余：</w:t>
      </w:r>
      <w:r>
        <w:rPr>
          <w:rFonts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七、结余分配：</w:t>
      </w:r>
      <w:r>
        <w:rPr>
          <w:rFonts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八、年末结转和结余：</w:t>
      </w:r>
      <w:r>
        <w:rPr>
          <w:rFonts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九、基本支出：</w:t>
      </w:r>
      <w:r>
        <w:rPr>
          <w:rFonts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十、项目支出：</w:t>
      </w:r>
      <w:r>
        <w:rPr>
          <w:rFonts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十一、经营支出</w:t>
      </w:r>
      <w:r>
        <w:rPr>
          <w:rFonts w:hint="eastAsia" w:ascii="Times New Roman" w:hAnsi="Times New Roman" w:eastAsia="仿宋_GB2312" w:cs="Times New Roman"/>
          <w:b/>
          <w:bCs/>
          <w:color w:val="000000"/>
          <w:kern w:val="0"/>
          <w:sz w:val="32"/>
          <w:szCs w:val="32"/>
        </w:rPr>
        <w:t>：</w:t>
      </w:r>
      <w:r>
        <w:rPr>
          <w:rFonts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十二、基本建设支出：</w:t>
      </w:r>
      <w:r>
        <w:rPr>
          <w:rFonts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80" w:lineRule="exact"/>
        <w:ind w:firstLine="643" w:firstLineChars="200"/>
        <w:rPr>
          <w:rFonts w:ascii="Times New Roman" w:hAnsi="Times New Roman" w:eastAsia="仿宋_GB2312" w:cs="Times New Roman"/>
          <w:b/>
          <w:bCs/>
          <w:color w:val="000000"/>
          <w:kern w:val="0"/>
          <w:sz w:val="32"/>
          <w:szCs w:val="32"/>
        </w:rPr>
      </w:pPr>
      <w:r>
        <w:rPr>
          <w:rFonts w:ascii="Times New Roman" w:hAnsi="Times New Roman" w:eastAsia="仿宋_GB2312" w:cs="Times New Roman"/>
          <w:b/>
          <w:bCs/>
          <w:color w:val="000000"/>
          <w:kern w:val="0"/>
          <w:sz w:val="32"/>
          <w:szCs w:val="32"/>
        </w:rPr>
        <w:t>十三、其他资本性支出：</w:t>
      </w:r>
      <w:r>
        <w:rPr>
          <w:rFonts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十四、“三公”经费：</w:t>
      </w:r>
      <w:r>
        <w:rPr>
          <w:rFonts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十五、其他交通费用：</w:t>
      </w:r>
      <w:r>
        <w:rPr>
          <w:rFonts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十六、公务用车购置：</w:t>
      </w:r>
      <w:r>
        <w:rPr>
          <w:rFonts w:ascii="Times New Roman" w:hAnsi="Times New Roman" w:eastAsia="仿宋_GB2312" w:cs="Times New Roman"/>
          <w:color w:val="000000"/>
          <w:kern w:val="0"/>
          <w:sz w:val="32"/>
          <w:szCs w:val="32"/>
        </w:rPr>
        <w:t>填列单位公务用车车辆购置支出（含车辆购置税、牌照费）。</w:t>
      </w:r>
    </w:p>
    <w:p>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十七、其他交通工具购置：</w:t>
      </w:r>
      <w:r>
        <w:rPr>
          <w:rFonts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十八、机关运行经费：</w:t>
      </w:r>
      <w:r>
        <w:rPr>
          <w:rFonts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spacing w:line="580" w:lineRule="exact"/>
        <w:rPr>
          <w:rFonts w:ascii="Times New Roman" w:hAnsi="Times New Roman" w:cs="Times New Roman"/>
        </w:rPr>
      </w:pPr>
    </w:p>
    <w:sectPr>
      <w:pgSz w:w="11906" w:h="16838"/>
      <w:pgMar w:top="2098" w:right="1418" w:bottom="1871" w:left="1418"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幼圆">
    <w:altName w:val="宋体"/>
    <w:panose1 w:val="0201050906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方正仿宋_GB2312">
    <w:altName w:val="仿宋"/>
    <w:panose1 w:val="02000000000000000000"/>
    <w:charset w:val="86"/>
    <w:family w:val="auto"/>
    <w:pitch w:val="default"/>
    <w:sig w:usb0="00000000" w:usb1="00000000" w:usb2="00000012"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p>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26528923"/>
    </w:sdtPr>
    <w:sdtEndPr>
      <w:rPr>
        <w:rFonts w:ascii="Times New Roman" w:hAnsi="Times New Roman" w:cs="Times New Roman"/>
        <w:sz w:val="28"/>
        <w:szCs w:val="28"/>
      </w:rPr>
    </w:sdtEndPr>
    <w:sdtContent>
      <w:p>
        <w:pPr>
          <w:pStyle w:val="5"/>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31</w:t>
        </w:r>
        <w:r>
          <w:rPr>
            <w:rFonts w:ascii="Times New Roman" w:hAnsi="Times New Roman" w:cs="Times New Roman"/>
            <w:sz w:val="28"/>
            <w:szCs w:val="28"/>
          </w:rPr>
          <w:fldChar w:fldCharType="end"/>
        </w:r>
        <w:r>
          <w:rPr>
            <w:rFonts w:ascii="Times New Roman" w:hAnsi="Times New Roman" w:cs="Times New Roman"/>
            <w:sz w:val="28"/>
            <w:szCs w:val="28"/>
          </w:rPr>
          <w:t>—</w:t>
        </w:r>
      </w:p>
    </w:sdtContent>
  </w:sdt>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7715C5"/>
    <w:multiLevelType w:val="singleLevel"/>
    <w:tmpl w:val="027715C5"/>
    <w:lvl w:ilvl="0" w:tentative="0">
      <w:start w:val="1"/>
      <w:numFmt w:val="chineseCounting"/>
      <w:lvlText w:val="(%1)"/>
      <w:lvlJc w:val="left"/>
      <w:pPr>
        <w:tabs>
          <w:tab w:val="left" w:pos="312"/>
        </w:tabs>
      </w:pPr>
      <w:rPr>
        <w:rFonts w:hint="eastAsia"/>
      </w:rPr>
    </w:lvl>
  </w:abstractNum>
  <w:abstractNum w:abstractNumId="1">
    <w:nsid w:val="35188136"/>
    <w:multiLevelType w:val="singleLevel"/>
    <w:tmpl w:val="35188136"/>
    <w:lvl w:ilvl="0" w:tentative="0">
      <w:start w:val="1"/>
      <w:numFmt w:val="decimal"/>
      <w:suff w:val="nothing"/>
      <w:lvlText w:val="%1、"/>
      <w:lvlJc w:val="left"/>
    </w:lvl>
  </w:abstractNum>
  <w:abstractNum w:abstractNumId="2">
    <w:nsid w:val="781B1F1B"/>
    <w:multiLevelType w:val="singleLevel"/>
    <w:tmpl w:val="781B1F1B"/>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M3ZjEzYzcyNWRlOTE1OGUxMWFlNWQxOWRhODI2YzYifQ=="/>
  </w:docVars>
  <w:rsids>
    <w:rsidRoot w:val="000807B9"/>
    <w:rsid w:val="000807B9"/>
    <w:rsid w:val="000E3FC3"/>
    <w:rsid w:val="000E6F60"/>
    <w:rsid w:val="001243B4"/>
    <w:rsid w:val="00127E4E"/>
    <w:rsid w:val="001C6A6A"/>
    <w:rsid w:val="00220943"/>
    <w:rsid w:val="002F2DB6"/>
    <w:rsid w:val="003B643A"/>
    <w:rsid w:val="003F7706"/>
    <w:rsid w:val="00447340"/>
    <w:rsid w:val="00462F02"/>
    <w:rsid w:val="00471A54"/>
    <w:rsid w:val="00520668"/>
    <w:rsid w:val="005B5FCD"/>
    <w:rsid w:val="005E2E4B"/>
    <w:rsid w:val="00605266"/>
    <w:rsid w:val="00606924"/>
    <w:rsid w:val="00686BDC"/>
    <w:rsid w:val="00726674"/>
    <w:rsid w:val="00733638"/>
    <w:rsid w:val="007E5523"/>
    <w:rsid w:val="00802F5C"/>
    <w:rsid w:val="00804174"/>
    <w:rsid w:val="0082221E"/>
    <w:rsid w:val="00836E42"/>
    <w:rsid w:val="00836FA6"/>
    <w:rsid w:val="008948AE"/>
    <w:rsid w:val="00947354"/>
    <w:rsid w:val="00947C75"/>
    <w:rsid w:val="00967126"/>
    <w:rsid w:val="009B09E1"/>
    <w:rsid w:val="00A058AD"/>
    <w:rsid w:val="00A40C19"/>
    <w:rsid w:val="00A61549"/>
    <w:rsid w:val="00A866E4"/>
    <w:rsid w:val="00A9383B"/>
    <w:rsid w:val="00B00F32"/>
    <w:rsid w:val="00BA2A97"/>
    <w:rsid w:val="00BC5A71"/>
    <w:rsid w:val="00BC6BE1"/>
    <w:rsid w:val="00C20F51"/>
    <w:rsid w:val="00C6541E"/>
    <w:rsid w:val="00C945DD"/>
    <w:rsid w:val="00CB1066"/>
    <w:rsid w:val="00CB1126"/>
    <w:rsid w:val="00D23242"/>
    <w:rsid w:val="00D40E9A"/>
    <w:rsid w:val="00D71CC5"/>
    <w:rsid w:val="00D73746"/>
    <w:rsid w:val="00D822EA"/>
    <w:rsid w:val="00DA2495"/>
    <w:rsid w:val="00DC37FD"/>
    <w:rsid w:val="00DD39E4"/>
    <w:rsid w:val="00E07713"/>
    <w:rsid w:val="00EA6A18"/>
    <w:rsid w:val="00ED6E0D"/>
    <w:rsid w:val="00F565FC"/>
    <w:rsid w:val="00F94EBA"/>
    <w:rsid w:val="00F95C94"/>
    <w:rsid w:val="00FC7282"/>
    <w:rsid w:val="00FD16C8"/>
    <w:rsid w:val="010B22B0"/>
    <w:rsid w:val="013712F7"/>
    <w:rsid w:val="01440CCC"/>
    <w:rsid w:val="01505F15"/>
    <w:rsid w:val="01510BEF"/>
    <w:rsid w:val="01763C14"/>
    <w:rsid w:val="019422A6"/>
    <w:rsid w:val="01A050EF"/>
    <w:rsid w:val="01CA216C"/>
    <w:rsid w:val="01D775B9"/>
    <w:rsid w:val="01DD1E9F"/>
    <w:rsid w:val="01FF4EDD"/>
    <w:rsid w:val="02007257"/>
    <w:rsid w:val="020760D2"/>
    <w:rsid w:val="02445A7A"/>
    <w:rsid w:val="02532D66"/>
    <w:rsid w:val="026779BA"/>
    <w:rsid w:val="02881E0B"/>
    <w:rsid w:val="02924A37"/>
    <w:rsid w:val="02963DFC"/>
    <w:rsid w:val="029E2E94"/>
    <w:rsid w:val="02D958E4"/>
    <w:rsid w:val="02EA4873"/>
    <w:rsid w:val="02FF5E45"/>
    <w:rsid w:val="0317318F"/>
    <w:rsid w:val="03284E76"/>
    <w:rsid w:val="035A307B"/>
    <w:rsid w:val="03675EC4"/>
    <w:rsid w:val="03710AF1"/>
    <w:rsid w:val="03936A4F"/>
    <w:rsid w:val="03A762C0"/>
    <w:rsid w:val="03B024F5"/>
    <w:rsid w:val="03B409DD"/>
    <w:rsid w:val="03B92CA2"/>
    <w:rsid w:val="03BB6210"/>
    <w:rsid w:val="03BB7FBE"/>
    <w:rsid w:val="03D81701"/>
    <w:rsid w:val="03F84D6E"/>
    <w:rsid w:val="04041965"/>
    <w:rsid w:val="040A684F"/>
    <w:rsid w:val="040F3707"/>
    <w:rsid w:val="043A7135"/>
    <w:rsid w:val="04581CB1"/>
    <w:rsid w:val="047343F5"/>
    <w:rsid w:val="0490044D"/>
    <w:rsid w:val="04934A97"/>
    <w:rsid w:val="04974587"/>
    <w:rsid w:val="049A0892"/>
    <w:rsid w:val="04BE436D"/>
    <w:rsid w:val="04DA26C6"/>
    <w:rsid w:val="04DB74E1"/>
    <w:rsid w:val="04DE4D01"/>
    <w:rsid w:val="04E62B47"/>
    <w:rsid w:val="04EC099E"/>
    <w:rsid w:val="04F55E74"/>
    <w:rsid w:val="04F574FF"/>
    <w:rsid w:val="04F57E07"/>
    <w:rsid w:val="050634BB"/>
    <w:rsid w:val="050D4849"/>
    <w:rsid w:val="053864A2"/>
    <w:rsid w:val="0546652F"/>
    <w:rsid w:val="05571779"/>
    <w:rsid w:val="05AC1AAE"/>
    <w:rsid w:val="05BB24F7"/>
    <w:rsid w:val="05C55124"/>
    <w:rsid w:val="05EF3DCB"/>
    <w:rsid w:val="060F57D2"/>
    <w:rsid w:val="061D6D0E"/>
    <w:rsid w:val="062736E9"/>
    <w:rsid w:val="063D2F0C"/>
    <w:rsid w:val="06436049"/>
    <w:rsid w:val="064C314F"/>
    <w:rsid w:val="068B1EC9"/>
    <w:rsid w:val="069C0C5E"/>
    <w:rsid w:val="06C929F2"/>
    <w:rsid w:val="06CE0008"/>
    <w:rsid w:val="06E67100"/>
    <w:rsid w:val="06F55595"/>
    <w:rsid w:val="07100621"/>
    <w:rsid w:val="07155C37"/>
    <w:rsid w:val="072916E2"/>
    <w:rsid w:val="074B78AB"/>
    <w:rsid w:val="07BA5294"/>
    <w:rsid w:val="07BC2556"/>
    <w:rsid w:val="07DE071F"/>
    <w:rsid w:val="07DE427B"/>
    <w:rsid w:val="081E4FBF"/>
    <w:rsid w:val="082D6FB0"/>
    <w:rsid w:val="08557D0F"/>
    <w:rsid w:val="08A52FEB"/>
    <w:rsid w:val="08BB3DA4"/>
    <w:rsid w:val="08C6543B"/>
    <w:rsid w:val="08F17FDE"/>
    <w:rsid w:val="09025CC1"/>
    <w:rsid w:val="091066B6"/>
    <w:rsid w:val="09173EE8"/>
    <w:rsid w:val="09287EA3"/>
    <w:rsid w:val="092D54BA"/>
    <w:rsid w:val="093F6F9B"/>
    <w:rsid w:val="095A3DD5"/>
    <w:rsid w:val="095A4392"/>
    <w:rsid w:val="096864F2"/>
    <w:rsid w:val="09795C5D"/>
    <w:rsid w:val="097C01EF"/>
    <w:rsid w:val="0983157E"/>
    <w:rsid w:val="098B0432"/>
    <w:rsid w:val="09975029"/>
    <w:rsid w:val="09976DD7"/>
    <w:rsid w:val="09B90AFC"/>
    <w:rsid w:val="09BC3F89"/>
    <w:rsid w:val="09C000DC"/>
    <w:rsid w:val="09C0632E"/>
    <w:rsid w:val="09C94AB7"/>
    <w:rsid w:val="09DC0C8E"/>
    <w:rsid w:val="09EA33AB"/>
    <w:rsid w:val="09F00295"/>
    <w:rsid w:val="0A014251"/>
    <w:rsid w:val="0A0B50CF"/>
    <w:rsid w:val="0A641E54"/>
    <w:rsid w:val="0A747118"/>
    <w:rsid w:val="0A7669ED"/>
    <w:rsid w:val="0AB82233"/>
    <w:rsid w:val="0ACA5794"/>
    <w:rsid w:val="0B1A381C"/>
    <w:rsid w:val="0B242263"/>
    <w:rsid w:val="0B4A504E"/>
    <w:rsid w:val="0B512FB6"/>
    <w:rsid w:val="0B64718D"/>
    <w:rsid w:val="0B7B7615"/>
    <w:rsid w:val="0B8F2FBD"/>
    <w:rsid w:val="0BAE65BA"/>
    <w:rsid w:val="0BC81CD9"/>
    <w:rsid w:val="0BC96FF0"/>
    <w:rsid w:val="0BD64561"/>
    <w:rsid w:val="0BE20DB9"/>
    <w:rsid w:val="0BF16C73"/>
    <w:rsid w:val="0C040028"/>
    <w:rsid w:val="0C055379"/>
    <w:rsid w:val="0C0B49A9"/>
    <w:rsid w:val="0C2D757F"/>
    <w:rsid w:val="0C360EE6"/>
    <w:rsid w:val="0C3A67F9"/>
    <w:rsid w:val="0C3E2CE1"/>
    <w:rsid w:val="0C5A77EA"/>
    <w:rsid w:val="0C994C14"/>
    <w:rsid w:val="0CE73BD2"/>
    <w:rsid w:val="0CEB5E59"/>
    <w:rsid w:val="0D9D24E2"/>
    <w:rsid w:val="0DB00467"/>
    <w:rsid w:val="0DB22432"/>
    <w:rsid w:val="0DFB3293"/>
    <w:rsid w:val="0E1D0A5A"/>
    <w:rsid w:val="0E2624D8"/>
    <w:rsid w:val="0E3031B3"/>
    <w:rsid w:val="0E421527"/>
    <w:rsid w:val="0E5B6625"/>
    <w:rsid w:val="0EA13ADC"/>
    <w:rsid w:val="0EEF06A8"/>
    <w:rsid w:val="0F3155D8"/>
    <w:rsid w:val="0F3B0205"/>
    <w:rsid w:val="0F696B20"/>
    <w:rsid w:val="0F895414"/>
    <w:rsid w:val="0FB83603"/>
    <w:rsid w:val="0FC95811"/>
    <w:rsid w:val="0FCF164B"/>
    <w:rsid w:val="0FED7751"/>
    <w:rsid w:val="0FFA3C1C"/>
    <w:rsid w:val="101051ED"/>
    <w:rsid w:val="102E6D1C"/>
    <w:rsid w:val="10596B94"/>
    <w:rsid w:val="10634FAD"/>
    <w:rsid w:val="10687DDF"/>
    <w:rsid w:val="10B244F7"/>
    <w:rsid w:val="110A7E8F"/>
    <w:rsid w:val="111F3E95"/>
    <w:rsid w:val="112E6273"/>
    <w:rsid w:val="116972AB"/>
    <w:rsid w:val="11B159F2"/>
    <w:rsid w:val="11B20C52"/>
    <w:rsid w:val="11F33019"/>
    <w:rsid w:val="11FC3C7B"/>
    <w:rsid w:val="12015736"/>
    <w:rsid w:val="120B2110"/>
    <w:rsid w:val="12217B86"/>
    <w:rsid w:val="1232769D"/>
    <w:rsid w:val="123A29F6"/>
    <w:rsid w:val="1255782F"/>
    <w:rsid w:val="12696E37"/>
    <w:rsid w:val="126D15E8"/>
    <w:rsid w:val="12A132A1"/>
    <w:rsid w:val="12B97544"/>
    <w:rsid w:val="12BC1C89"/>
    <w:rsid w:val="12ED5CBA"/>
    <w:rsid w:val="13086650"/>
    <w:rsid w:val="130A061A"/>
    <w:rsid w:val="130B7EEE"/>
    <w:rsid w:val="132E255A"/>
    <w:rsid w:val="13345697"/>
    <w:rsid w:val="133631BD"/>
    <w:rsid w:val="13477178"/>
    <w:rsid w:val="13531FC1"/>
    <w:rsid w:val="13655850"/>
    <w:rsid w:val="137809C1"/>
    <w:rsid w:val="13946135"/>
    <w:rsid w:val="139B5716"/>
    <w:rsid w:val="139F5206"/>
    <w:rsid w:val="13BC5DB8"/>
    <w:rsid w:val="13D11E8F"/>
    <w:rsid w:val="13DB5B12"/>
    <w:rsid w:val="13E57EC7"/>
    <w:rsid w:val="140E413A"/>
    <w:rsid w:val="142C6FFF"/>
    <w:rsid w:val="14C8217B"/>
    <w:rsid w:val="14DA401C"/>
    <w:rsid w:val="14F0383F"/>
    <w:rsid w:val="14F21F68"/>
    <w:rsid w:val="14F90946"/>
    <w:rsid w:val="150177FB"/>
    <w:rsid w:val="15487CC5"/>
    <w:rsid w:val="154D6A0B"/>
    <w:rsid w:val="154F67B8"/>
    <w:rsid w:val="1571672E"/>
    <w:rsid w:val="157A0BBA"/>
    <w:rsid w:val="158C17BA"/>
    <w:rsid w:val="15A5462A"/>
    <w:rsid w:val="15A72150"/>
    <w:rsid w:val="15E46F00"/>
    <w:rsid w:val="15F21F4A"/>
    <w:rsid w:val="160E21CF"/>
    <w:rsid w:val="162C23FB"/>
    <w:rsid w:val="1651030E"/>
    <w:rsid w:val="16617E95"/>
    <w:rsid w:val="1666200B"/>
    <w:rsid w:val="167F083F"/>
    <w:rsid w:val="16801D13"/>
    <w:rsid w:val="16953CBC"/>
    <w:rsid w:val="16A2763D"/>
    <w:rsid w:val="16CB1E6E"/>
    <w:rsid w:val="16D166A2"/>
    <w:rsid w:val="16D9794A"/>
    <w:rsid w:val="16EB42BE"/>
    <w:rsid w:val="16EC5E14"/>
    <w:rsid w:val="16F844B6"/>
    <w:rsid w:val="171130FB"/>
    <w:rsid w:val="17127A9D"/>
    <w:rsid w:val="1726179A"/>
    <w:rsid w:val="17445DA5"/>
    <w:rsid w:val="174B2FAF"/>
    <w:rsid w:val="176B01E9"/>
    <w:rsid w:val="17712A16"/>
    <w:rsid w:val="177E15D6"/>
    <w:rsid w:val="178C2C6C"/>
    <w:rsid w:val="17AF4BA6"/>
    <w:rsid w:val="17B60D70"/>
    <w:rsid w:val="17B84AE8"/>
    <w:rsid w:val="17C46E81"/>
    <w:rsid w:val="181141F9"/>
    <w:rsid w:val="18131D1F"/>
    <w:rsid w:val="18261E12"/>
    <w:rsid w:val="182F1538"/>
    <w:rsid w:val="18300B23"/>
    <w:rsid w:val="18585984"/>
    <w:rsid w:val="1888270D"/>
    <w:rsid w:val="188917C6"/>
    <w:rsid w:val="18B708FC"/>
    <w:rsid w:val="18BF3C55"/>
    <w:rsid w:val="18C63235"/>
    <w:rsid w:val="18DA283C"/>
    <w:rsid w:val="18F13BDB"/>
    <w:rsid w:val="18F27B86"/>
    <w:rsid w:val="190856F0"/>
    <w:rsid w:val="190B0C48"/>
    <w:rsid w:val="19203F9B"/>
    <w:rsid w:val="192F22BD"/>
    <w:rsid w:val="194A5174"/>
    <w:rsid w:val="19616ABA"/>
    <w:rsid w:val="197C38F4"/>
    <w:rsid w:val="199944A6"/>
    <w:rsid w:val="19AC41D9"/>
    <w:rsid w:val="19B906A4"/>
    <w:rsid w:val="19C84D8B"/>
    <w:rsid w:val="19CC03D7"/>
    <w:rsid w:val="19FA13E8"/>
    <w:rsid w:val="1A2B3B14"/>
    <w:rsid w:val="1A2E1F55"/>
    <w:rsid w:val="1A3A17E5"/>
    <w:rsid w:val="1A475CB0"/>
    <w:rsid w:val="1A6A1372"/>
    <w:rsid w:val="1A925EC6"/>
    <w:rsid w:val="1AA9696A"/>
    <w:rsid w:val="1AB84757"/>
    <w:rsid w:val="1AC50EBB"/>
    <w:rsid w:val="1ADE4866"/>
    <w:rsid w:val="1AEE0821"/>
    <w:rsid w:val="1AF46377"/>
    <w:rsid w:val="1AF51BB0"/>
    <w:rsid w:val="1B26620D"/>
    <w:rsid w:val="1B2B3823"/>
    <w:rsid w:val="1B2D30F7"/>
    <w:rsid w:val="1B391A9C"/>
    <w:rsid w:val="1B6D7998"/>
    <w:rsid w:val="1B8874AE"/>
    <w:rsid w:val="1BB455C7"/>
    <w:rsid w:val="1BC51582"/>
    <w:rsid w:val="1BCA4DEA"/>
    <w:rsid w:val="1C381D54"/>
    <w:rsid w:val="1C5172BA"/>
    <w:rsid w:val="1C7B78E1"/>
    <w:rsid w:val="1C7F5BD5"/>
    <w:rsid w:val="1C8153F6"/>
    <w:rsid w:val="1C961170"/>
    <w:rsid w:val="1C9F75A3"/>
    <w:rsid w:val="1CCB706C"/>
    <w:rsid w:val="1CD81789"/>
    <w:rsid w:val="1CDA2E0B"/>
    <w:rsid w:val="1CF9709D"/>
    <w:rsid w:val="1D030E9D"/>
    <w:rsid w:val="1D1B2AED"/>
    <w:rsid w:val="1D26211A"/>
    <w:rsid w:val="1D292FBB"/>
    <w:rsid w:val="1D312BE6"/>
    <w:rsid w:val="1D451156"/>
    <w:rsid w:val="1D596426"/>
    <w:rsid w:val="1D8E1E10"/>
    <w:rsid w:val="1DB71419"/>
    <w:rsid w:val="1DC31AF1"/>
    <w:rsid w:val="1DC835AB"/>
    <w:rsid w:val="1DCA7323"/>
    <w:rsid w:val="1DE008F5"/>
    <w:rsid w:val="1DE56E5A"/>
    <w:rsid w:val="1E07639B"/>
    <w:rsid w:val="1E2E5180"/>
    <w:rsid w:val="1E3D18A3"/>
    <w:rsid w:val="1E592455"/>
    <w:rsid w:val="1E870D71"/>
    <w:rsid w:val="1E9B2A6E"/>
    <w:rsid w:val="1E9D67E6"/>
    <w:rsid w:val="1EAE3292"/>
    <w:rsid w:val="1EBE016A"/>
    <w:rsid w:val="1EDA17E8"/>
    <w:rsid w:val="1EF34658"/>
    <w:rsid w:val="1F0A694B"/>
    <w:rsid w:val="1F1620F4"/>
    <w:rsid w:val="1F184743"/>
    <w:rsid w:val="1F2E79C2"/>
    <w:rsid w:val="1F372797"/>
    <w:rsid w:val="1F38054B"/>
    <w:rsid w:val="1F642E60"/>
    <w:rsid w:val="1F881244"/>
    <w:rsid w:val="1F903714"/>
    <w:rsid w:val="1F9279CD"/>
    <w:rsid w:val="1FAD4807"/>
    <w:rsid w:val="1FB913FE"/>
    <w:rsid w:val="1FCD30FB"/>
    <w:rsid w:val="1FF266BE"/>
    <w:rsid w:val="1FF367D9"/>
    <w:rsid w:val="201C198C"/>
    <w:rsid w:val="202007B7"/>
    <w:rsid w:val="202F16C0"/>
    <w:rsid w:val="20407429"/>
    <w:rsid w:val="204F1D62"/>
    <w:rsid w:val="20601879"/>
    <w:rsid w:val="20653333"/>
    <w:rsid w:val="207F28C0"/>
    <w:rsid w:val="20924822"/>
    <w:rsid w:val="20A57BD4"/>
    <w:rsid w:val="20AA51EA"/>
    <w:rsid w:val="20B87907"/>
    <w:rsid w:val="20CA3197"/>
    <w:rsid w:val="20F326ED"/>
    <w:rsid w:val="21125F2D"/>
    <w:rsid w:val="214178FD"/>
    <w:rsid w:val="21577120"/>
    <w:rsid w:val="215A09BE"/>
    <w:rsid w:val="21627873"/>
    <w:rsid w:val="21863561"/>
    <w:rsid w:val="21A41C3A"/>
    <w:rsid w:val="21E309B4"/>
    <w:rsid w:val="21E464DA"/>
    <w:rsid w:val="21F15A4A"/>
    <w:rsid w:val="21FF3D30"/>
    <w:rsid w:val="220C406D"/>
    <w:rsid w:val="220D2E4B"/>
    <w:rsid w:val="221548E5"/>
    <w:rsid w:val="221943D6"/>
    <w:rsid w:val="227306C8"/>
    <w:rsid w:val="22785A31"/>
    <w:rsid w:val="22833F45"/>
    <w:rsid w:val="22A85759"/>
    <w:rsid w:val="22B1008F"/>
    <w:rsid w:val="22B60558"/>
    <w:rsid w:val="22BD2FB3"/>
    <w:rsid w:val="22D14CB0"/>
    <w:rsid w:val="230B19FB"/>
    <w:rsid w:val="231B417D"/>
    <w:rsid w:val="231D65B1"/>
    <w:rsid w:val="23332CA9"/>
    <w:rsid w:val="23616034"/>
    <w:rsid w:val="2385335F"/>
    <w:rsid w:val="23955CDE"/>
    <w:rsid w:val="23A93537"/>
    <w:rsid w:val="23B51EDC"/>
    <w:rsid w:val="23D86D1A"/>
    <w:rsid w:val="23ED5B1A"/>
    <w:rsid w:val="245711E5"/>
    <w:rsid w:val="24612064"/>
    <w:rsid w:val="24751C29"/>
    <w:rsid w:val="251E5D15"/>
    <w:rsid w:val="25473008"/>
    <w:rsid w:val="254A4345"/>
    <w:rsid w:val="255F47F5"/>
    <w:rsid w:val="256D7E07"/>
    <w:rsid w:val="25D24FC7"/>
    <w:rsid w:val="25E20F82"/>
    <w:rsid w:val="25F27417"/>
    <w:rsid w:val="260B672B"/>
    <w:rsid w:val="26435EC5"/>
    <w:rsid w:val="26482228"/>
    <w:rsid w:val="26492DAF"/>
    <w:rsid w:val="2664492F"/>
    <w:rsid w:val="266F34BC"/>
    <w:rsid w:val="26971D6D"/>
    <w:rsid w:val="26993D37"/>
    <w:rsid w:val="27054F28"/>
    <w:rsid w:val="27276D3D"/>
    <w:rsid w:val="273F4ABF"/>
    <w:rsid w:val="27602AA7"/>
    <w:rsid w:val="27897907"/>
    <w:rsid w:val="279E6B58"/>
    <w:rsid w:val="27A02EA3"/>
    <w:rsid w:val="27A720F5"/>
    <w:rsid w:val="27AF043B"/>
    <w:rsid w:val="27CE7A10"/>
    <w:rsid w:val="27DF5779"/>
    <w:rsid w:val="27E9484A"/>
    <w:rsid w:val="27F05BD9"/>
    <w:rsid w:val="27F427FC"/>
    <w:rsid w:val="28100029"/>
    <w:rsid w:val="281E6005"/>
    <w:rsid w:val="283D6944"/>
    <w:rsid w:val="28677802"/>
    <w:rsid w:val="28681C13"/>
    <w:rsid w:val="287E58EF"/>
    <w:rsid w:val="2890296D"/>
    <w:rsid w:val="289A78F2"/>
    <w:rsid w:val="28B74948"/>
    <w:rsid w:val="28D4569E"/>
    <w:rsid w:val="28F0456F"/>
    <w:rsid w:val="28FD67FF"/>
    <w:rsid w:val="29051210"/>
    <w:rsid w:val="29341AF5"/>
    <w:rsid w:val="293B585C"/>
    <w:rsid w:val="294F3C71"/>
    <w:rsid w:val="2992096A"/>
    <w:rsid w:val="299E3412"/>
    <w:rsid w:val="29AA1DB7"/>
    <w:rsid w:val="29AC1FD3"/>
    <w:rsid w:val="29B844D4"/>
    <w:rsid w:val="29C4731D"/>
    <w:rsid w:val="29E22D43"/>
    <w:rsid w:val="2A07545B"/>
    <w:rsid w:val="2A1C134D"/>
    <w:rsid w:val="2A202079"/>
    <w:rsid w:val="2A650B39"/>
    <w:rsid w:val="2A8820F8"/>
    <w:rsid w:val="2ADD06DC"/>
    <w:rsid w:val="2AE82B97"/>
    <w:rsid w:val="2B084FE7"/>
    <w:rsid w:val="2B0C7FC8"/>
    <w:rsid w:val="2B0D0850"/>
    <w:rsid w:val="2B3C2EE3"/>
    <w:rsid w:val="2B430715"/>
    <w:rsid w:val="2B4C723F"/>
    <w:rsid w:val="2B7D2DA5"/>
    <w:rsid w:val="2B7E52A9"/>
    <w:rsid w:val="2B9D45A2"/>
    <w:rsid w:val="2BAC159C"/>
    <w:rsid w:val="2BC453B2"/>
    <w:rsid w:val="2BCA04EF"/>
    <w:rsid w:val="2C0C6D59"/>
    <w:rsid w:val="2C163734"/>
    <w:rsid w:val="2C44304A"/>
    <w:rsid w:val="2C550D9A"/>
    <w:rsid w:val="2C6379F1"/>
    <w:rsid w:val="2C6B7F24"/>
    <w:rsid w:val="2C842D93"/>
    <w:rsid w:val="2CB216AE"/>
    <w:rsid w:val="2D181813"/>
    <w:rsid w:val="2D1F6E84"/>
    <w:rsid w:val="2D256324"/>
    <w:rsid w:val="2D452523"/>
    <w:rsid w:val="2D686211"/>
    <w:rsid w:val="2D7E77E3"/>
    <w:rsid w:val="2D8A43D9"/>
    <w:rsid w:val="2D8A6187"/>
    <w:rsid w:val="2DB759F2"/>
    <w:rsid w:val="2DB94CBF"/>
    <w:rsid w:val="2DF81343"/>
    <w:rsid w:val="2DFD4BAB"/>
    <w:rsid w:val="2E3D31FA"/>
    <w:rsid w:val="2E4A5917"/>
    <w:rsid w:val="2E772BB0"/>
    <w:rsid w:val="2E951288"/>
    <w:rsid w:val="2EC67693"/>
    <w:rsid w:val="2ED0406E"/>
    <w:rsid w:val="2ED753FC"/>
    <w:rsid w:val="2EE108D3"/>
    <w:rsid w:val="2EFF2BA5"/>
    <w:rsid w:val="2F065CE2"/>
    <w:rsid w:val="2F4D1B62"/>
    <w:rsid w:val="2F8310E0"/>
    <w:rsid w:val="2F8F5CD7"/>
    <w:rsid w:val="2FA554FB"/>
    <w:rsid w:val="2FAA3710"/>
    <w:rsid w:val="2FD15864"/>
    <w:rsid w:val="2FE75B13"/>
    <w:rsid w:val="2FE82075"/>
    <w:rsid w:val="2FEB0635"/>
    <w:rsid w:val="2FF40230"/>
    <w:rsid w:val="301019FD"/>
    <w:rsid w:val="301A41E9"/>
    <w:rsid w:val="303D1BD7"/>
    <w:rsid w:val="30420F9B"/>
    <w:rsid w:val="304C5976"/>
    <w:rsid w:val="306B04F2"/>
    <w:rsid w:val="30733792"/>
    <w:rsid w:val="307A0735"/>
    <w:rsid w:val="308C0468"/>
    <w:rsid w:val="30E262DA"/>
    <w:rsid w:val="30F73B34"/>
    <w:rsid w:val="3106646D"/>
    <w:rsid w:val="311210BD"/>
    <w:rsid w:val="318555E4"/>
    <w:rsid w:val="318A42B6"/>
    <w:rsid w:val="319770C5"/>
    <w:rsid w:val="31C263E5"/>
    <w:rsid w:val="31CE7EC4"/>
    <w:rsid w:val="31DE4CF4"/>
    <w:rsid w:val="31F36233"/>
    <w:rsid w:val="3210122D"/>
    <w:rsid w:val="32145DA5"/>
    <w:rsid w:val="323042A8"/>
    <w:rsid w:val="32333292"/>
    <w:rsid w:val="32454D73"/>
    <w:rsid w:val="324803BF"/>
    <w:rsid w:val="324F5BF1"/>
    <w:rsid w:val="32544FB6"/>
    <w:rsid w:val="327D62BB"/>
    <w:rsid w:val="328533C1"/>
    <w:rsid w:val="32943604"/>
    <w:rsid w:val="32C57C62"/>
    <w:rsid w:val="32D0288E"/>
    <w:rsid w:val="33010C9A"/>
    <w:rsid w:val="334E7C57"/>
    <w:rsid w:val="339F1D94"/>
    <w:rsid w:val="33A60837"/>
    <w:rsid w:val="33AD6E6E"/>
    <w:rsid w:val="33BA0F5C"/>
    <w:rsid w:val="33E9051D"/>
    <w:rsid w:val="33F22CD8"/>
    <w:rsid w:val="340B78F6"/>
    <w:rsid w:val="343155AF"/>
    <w:rsid w:val="34581FAE"/>
    <w:rsid w:val="34874D6D"/>
    <w:rsid w:val="349D49F2"/>
    <w:rsid w:val="34B47F8E"/>
    <w:rsid w:val="34BB131C"/>
    <w:rsid w:val="34D83C7C"/>
    <w:rsid w:val="34E654E1"/>
    <w:rsid w:val="3529097C"/>
    <w:rsid w:val="352B46F4"/>
    <w:rsid w:val="353F0B07"/>
    <w:rsid w:val="35492DCC"/>
    <w:rsid w:val="355B7386"/>
    <w:rsid w:val="355C133F"/>
    <w:rsid w:val="356B2D42"/>
    <w:rsid w:val="356D6404"/>
    <w:rsid w:val="3579545F"/>
    <w:rsid w:val="357F234A"/>
    <w:rsid w:val="35990008"/>
    <w:rsid w:val="35BF4E3C"/>
    <w:rsid w:val="35C97A69"/>
    <w:rsid w:val="35D5640E"/>
    <w:rsid w:val="35DC154A"/>
    <w:rsid w:val="35E50147"/>
    <w:rsid w:val="361909F0"/>
    <w:rsid w:val="36266C69"/>
    <w:rsid w:val="36341386"/>
    <w:rsid w:val="364D2448"/>
    <w:rsid w:val="366A2FFA"/>
    <w:rsid w:val="36820344"/>
    <w:rsid w:val="368C529C"/>
    <w:rsid w:val="36B64491"/>
    <w:rsid w:val="36C56482"/>
    <w:rsid w:val="36C97D20"/>
    <w:rsid w:val="36FF3742"/>
    <w:rsid w:val="37074CED"/>
    <w:rsid w:val="37200D36"/>
    <w:rsid w:val="373133EF"/>
    <w:rsid w:val="373E3013"/>
    <w:rsid w:val="373E7E7C"/>
    <w:rsid w:val="375021F0"/>
    <w:rsid w:val="37590D17"/>
    <w:rsid w:val="37691503"/>
    <w:rsid w:val="378F49FE"/>
    <w:rsid w:val="37A04716"/>
    <w:rsid w:val="37D01583"/>
    <w:rsid w:val="37E1109A"/>
    <w:rsid w:val="37F94635"/>
    <w:rsid w:val="382014AF"/>
    <w:rsid w:val="38237904"/>
    <w:rsid w:val="382F62A9"/>
    <w:rsid w:val="383C09C6"/>
    <w:rsid w:val="38485EC8"/>
    <w:rsid w:val="385C6972"/>
    <w:rsid w:val="387737AC"/>
    <w:rsid w:val="38C70290"/>
    <w:rsid w:val="38D94467"/>
    <w:rsid w:val="38EA21D0"/>
    <w:rsid w:val="390C65EA"/>
    <w:rsid w:val="391572AD"/>
    <w:rsid w:val="391A0D07"/>
    <w:rsid w:val="396106E4"/>
    <w:rsid w:val="397F6DBC"/>
    <w:rsid w:val="39932868"/>
    <w:rsid w:val="399B364D"/>
    <w:rsid w:val="39A14F85"/>
    <w:rsid w:val="39A6259B"/>
    <w:rsid w:val="3A6C6729"/>
    <w:rsid w:val="3A782C78"/>
    <w:rsid w:val="3A7C6384"/>
    <w:rsid w:val="3AB02799"/>
    <w:rsid w:val="3AB10217"/>
    <w:rsid w:val="3ABD197D"/>
    <w:rsid w:val="3AD153F6"/>
    <w:rsid w:val="3ADF0D46"/>
    <w:rsid w:val="3AEE41FA"/>
    <w:rsid w:val="3AF31810"/>
    <w:rsid w:val="3B0C0B24"/>
    <w:rsid w:val="3B133C60"/>
    <w:rsid w:val="3B3140E6"/>
    <w:rsid w:val="3B5A363D"/>
    <w:rsid w:val="3B651FE2"/>
    <w:rsid w:val="3B6F4C0F"/>
    <w:rsid w:val="3B765F9D"/>
    <w:rsid w:val="3B8B1A48"/>
    <w:rsid w:val="3BB865B6"/>
    <w:rsid w:val="3BC605AD"/>
    <w:rsid w:val="3BEA0E3F"/>
    <w:rsid w:val="3C4E7A45"/>
    <w:rsid w:val="3C5207B8"/>
    <w:rsid w:val="3C621332"/>
    <w:rsid w:val="3C727629"/>
    <w:rsid w:val="3C7626F9"/>
    <w:rsid w:val="3CA134EE"/>
    <w:rsid w:val="3CBD0327"/>
    <w:rsid w:val="3CD33508"/>
    <w:rsid w:val="3CD553C5"/>
    <w:rsid w:val="3CDF226A"/>
    <w:rsid w:val="3CE77152"/>
    <w:rsid w:val="3D112421"/>
    <w:rsid w:val="3D171054"/>
    <w:rsid w:val="3D2832C7"/>
    <w:rsid w:val="3D392C2C"/>
    <w:rsid w:val="3DA9639B"/>
    <w:rsid w:val="3DAA0180"/>
    <w:rsid w:val="3DDD0961"/>
    <w:rsid w:val="3DFB09DB"/>
    <w:rsid w:val="3DFF00B0"/>
    <w:rsid w:val="3E45697C"/>
    <w:rsid w:val="3E483C21"/>
    <w:rsid w:val="3E546A69"/>
    <w:rsid w:val="3E5A7DF8"/>
    <w:rsid w:val="3E5B2919"/>
    <w:rsid w:val="3E5C147A"/>
    <w:rsid w:val="3E720C9E"/>
    <w:rsid w:val="3E817133"/>
    <w:rsid w:val="3EA63C10"/>
    <w:rsid w:val="3EC15757"/>
    <w:rsid w:val="3EC34DC2"/>
    <w:rsid w:val="3EC44454"/>
    <w:rsid w:val="3ECB6600"/>
    <w:rsid w:val="3ECD4126"/>
    <w:rsid w:val="3EE002FD"/>
    <w:rsid w:val="3EEA2F2A"/>
    <w:rsid w:val="3F022566"/>
    <w:rsid w:val="3F0C10F2"/>
    <w:rsid w:val="3F3B19D7"/>
    <w:rsid w:val="3F573360"/>
    <w:rsid w:val="3F5E6431"/>
    <w:rsid w:val="3F6C393F"/>
    <w:rsid w:val="3F740A44"/>
    <w:rsid w:val="3F823162"/>
    <w:rsid w:val="3FC63504"/>
    <w:rsid w:val="3FCC0881"/>
    <w:rsid w:val="3FD17C46"/>
    <w:rsid w:val="3FF35E0E"/>
    <w:rsid w:val="4000052B"/>
    <w:rsid w:val="401670B8"/>
    <w:rsid w:val="40192D2B"/>
    <w:rsid w:val="4024421A"/>
    <w:rsid w:val="402715B4"/>
    <w:rsid w:val="403F1053"/>
    <w:rsid w:val="404008A9"/>
    <w:rsid w:val="405F16F6"/>
    <w:rsid w:val="406B1E48"/>
    <w:rsid w:val="409A25AE"/>
    <w:rsid w:val="40A67324"/>
    <w:rsid w:val="40D75730"/>
    <w:rsid w:val="410C28AC"/>
    <w:rsid w:val="413C37E5"/>
    <w:rsid w:val="41456B3D"/>
    <w:rsid w:val="414803DC"/>
    <w:rsid w:val="414E282B"/>
    <w:rsid w:val="41566655"/>
    <w:rsid w:val="41B24A2D"/>
    <w:rsid w:val="41CD28FB"/>
    <w:rsid w:val="41DA5943"/>
    <w:rsid w:val="42240501"/>
    <w:rsid w:val="42291FBB"/>
    <w:rsid w:val="42891478"/>
    <w:rsid w:val="42925DB2"/>
    <w:rsid w:val="42A67B0A"/>
    <w:rsid w:val="42A94EAA"/>
    <w:rsid w:val="42E620C1"/>
    <w:rsid w:val="42FC322C"/>
    <w:rsid w:val="43012390"/>
    <w:rsid w:val="43040332"/>
    <w:rsid w:val="433513F0"/>
    <w:rsid w:val="439E2535"/>
    <w:rsid w:val="43B12268"/>
    <w:rsid w:val="43B34232"/>
    <w:rsid w:val="43CF6B92"/>
    <w:rsid w:val="43EB0D75"/>
    <w:rsid w:val="44223AB6"/>
    <w:rsid w:val="444147B5"/>
    <w:rsid w:val="44623562"/>
    <w:rsid w:val="44826AB1"/>
    <w:rsid w:val="4490144D"/>
    <w:rsid w:val="449A71A0"/>
    <w:rsid w:val="44A771C7"/>
    <w:rsid w:val="44BA1BBE"/>
    <w:rsid w:val="44BE2E8F"/>
    <w:rsid w:val="44C361AF"/>
    <w:rsid w:val="44CE1B36"/>
    <w:rsid w:val="4505435C"/>
    <w:rsid w:val="45101210"/>
    <w:rsid w:val="45385419"/>
    <w:rsid w:val="455439E5"/>
    <w:rsid w:val="456F672F"/>
    <w:rsid w:val="459308C3"/>
    <w:rsid w:val="45A33D90"/>
    <w:rsid w:val="45D95AA6"/>
    <w:rsid w:val="45F13468"/>
    <w:rsid w:val="45FB6C89"/>
    <w:rsid w:val="46004DE1"/>
    <w:rsid w:val="46006A45"/>
    <w:rsid w:val="46227746"/>
    <w:rsid w:val="462346E4"/>
    <w:rsid w:val="46276812"/>
    <w:rsid w:val="46456C98"/>
    <w:rsid w:val="46512A01"/>
    <w:rsid w:val="46582E6F"/>
    <w:rsid w:val="467632F5"/>
    <w:rsid w:val="468B5AEE"/>
    <w:rsid w:val="469D0882"/>
    <w:rsid w:val="46A55702"/>
    <w:rsid w:val="46D85D5E"/>
    <w:rsid w:val="46DB13AA"/>
    <w:rsid w:val="46F963F2"/>
    <w:rsid w:val="47187669"/>
    <w:rsid w:val="472745EF"/>
    <w:rsid w:val="472F49DC"/>
    <w:rsid w:val="47376F28"/>
    <w:rsid w:val="473B3092"/>
    <w:rsid w:val="47573126"/>
    <w:rsid w:val="47574006"/>
    <w:rsid w:val="477261B2"/>
    <w:rsid w:val="47A143A2"/>
    <w:rsid w:val="47BB36B5"/>
    <w:rsid w:val="47CA58D6"/>
    <w:rsid w:val="47D06A35"/>
    <w:rsid w:val="47D128CC"/>
    <w:rsid w:val="47E80837"/>
    <w:rsid w:val="47F95F8C"/>
    <w:rsid w:val="48030BB8"/>
    <w:rsid w:val="480F755D"/>
    <w:rsid w:val="482D3E87"/>
    <w:rsid w:val="48343468"/>
    <w:rsid w:val="4834531D"/>
    <w:rsid w:val="48627FD5"/>
    <w:rsid w:val="48653621"/>
    <w:rsid w:val="4871646A"/>
    <w:rsid w:val="487D09BD"/>
    <w:rsid w:val="488548FE"/>
    <w:rsid w:val="48912668"/>
    <w:rsid w:val="48A759E8"/>
    <w:rsid w:val="48AC1250"/>
    <w:rsid w:val="48BB399F"/>
    <w:rsid w:val="48E35E7E"/>
    <w:rsid w:val="49033566"/>
    <w:rsid w:val="490E5A67"/>
    <w:rsid w:val="491B1579"/>
    <w:rsid w:val="493279A7"/>
    <w:rsid w:val="493F2815"/>
    <w:rsid w:val="49496A9F"/>
    <w:rsid w:val="495C2C76"/>
    <w:rsid w:val="495F2766"/>
    <w:rsid w:val="499917D4"/>
    <w:rsid w:val="49D071C0"/>
    <w:rsid w:val="4A0B01F8"/>
    <w:rsid w:val="4A1B0A65"/>
    <w:rsid w:val="4A1C2405"/>
    <w:rsid w:val="4A1E617D"/>
    <w:rsid w:val="4A25750C"/>
    <w:rsid w:val="4A314103"/>
    <w:rsid w:val="4A38723F"/>
    <w:rsid w:val="4A416B93"/>
    <w:rsid w:val="4A431740"/>
    <w:rsid w:val="4A6D1753"/>
    <w:rsid w:val="4A7D4C52"/>
    <w:rsid w:val="4AA32156"/>
    <w:rsid w:val="4AE579E0"/>
    <w:rsid w:val="4AEC6043"/>
    <w:rsid w:val="4B0F6DB1"/>
    <w:rsid w:val="4B2711BE"/>
    <w:rsid w:val="4B3317B5"/>
    <w:rsid w:val="4B3F1C0B"/>
    <w:rsid w:val="4B5C51AF"/>
    <w:rsid w:val="4B6202EC"/>
    <w:rsid w:val="4B7A73E4"/>
    <w:rsid w:val="4B9A34D9"/>
    <w:rsid w:val="4BA56091"/>
    <w:rsid w:val="4BA6642B"/>
    <w:rsid w:val="4BD765E4"/>
    <w:rsid w:val="4BE07B8E"/>
    <w:rsid w:val="4BF058F8"/>
    <w:rsid w:val="4BF278C2"/>
    <w:rsid w:val="4BFF041C"/>
    <w:rsid w:val="4C066EC9"/>
    <w:rsid w:val="4C10554C"/>
    <w:rsid w:val="4C1635B0"/>
    <w:rsid w:val="4C392DFB"/>
    <w:rsid w:val="4C465518"/>
    <w:rsid w:val="4CB9382D"/>
    <w:rsid w:val="4CD174D7"/>
    <w:rsid w:val="4CD36D87"/>
    <w:rsid w:val="4CE8470A"/>
    <w:rsid w:val="4D1D271C"/>
    <w:rsid w:val="4D55133A"/>
    <w:rsid w:val="4D7B7443"/>
    <w:rsid w:val="4DD70B1D"/>
    <w:rsid w:val="4DE90850"/>
    <w:rsid w:val="4DF47921"/>
    <w:rsid w:val="4E151645"/>
    <w:rsid w:val="4E341A6D"/>
    <w:rsid w:val="4E423C30"/>
    <w:rsid w:val="4E6232FD"/>
    <w:rsid w:val="4E685C19"/>
    <w:rsid w:val="4E83361B"/>
    <w:rsid w:val="4E9E5023"/>
    <w:rsid w:val="4EC92B5C"/>
    <w:rsid w:val="4EF23735"/>
    <w:rsid w:val="4F1C6304"/>
    <w:rsid w:val="4F337FD5"/>
    <w:rsid w:val="4F4D354F"/>
    <w:rsid w:val="4F587A3C"/>
    <w:rsid w:val="4FD55530"/>
    <w:rsid w:val="4FD73056"/>
    <w:rsid w:val="4FDC22BD"/>
    <w:rsid w:val="4FE47521"/>
    <w:rsid w:val="50131BB5"/>
    <w:rsid w:val="50382EC7"/>
    <w:rsid w:val="503A35E5"/>
    <w:rsid w:val="50546455"/>
    <w:rsid w:val="506547CA"/>
    <w:rsid w:val="50720FD1"/>
    <w:rsid w:val="5080765E"/>
    <w:rsid w:val="50C7131D"/>
    <w:rsid w:val="50CC06E1"/>
    <w:rsid w:val="50DE6667"/>
    <w:rsid w:val="50F92919"/>
    <w:rsid w:val="510E0CFA"/>
    <w:rsid w:val="510F4A72"/>
    <w:rsid w:val="51143E36"/>
    <w:rsid w:val="511A2C8A"/>
    <w:rsid w:val="512A365A"/>
    <w:rsid w:val="5160707C"/>
    <w:rsid w:val="51622DF4"/>
    <w:rsid w:val="51967DC3"/>
    <w:rsid w:val="51973851"/>
    <w:rsid w:val="51BD627C"/>
    <w:rsid w:val="51CB2747"/>
    <w:rsid w:val="51FD2A76"/>
    <w:rsid w:val="51FF4CE1"/>
    <w:rsid w:val="520774F7"/>
    <w:rsid w:val="52163F05"/>
    <w:rsid w:val="52354064"/>
    <w:rsid w:val="52650DED"/>
    <w:rsid w:val="52797259"/>
    <w:rsid w:val="527A416D"/>
    <w:rsid w:val="52B256B5"/>
    <w:rsid w:val="52CB6777"/>
    <w:rsid w:val="52E02B91"/>
    <w:rsid w:val="52F67C97"/>
    <w:rsid w:val="53057EDB"/>
    <w:rsid w:val="53310CD0"/>
    <w:rsid w:val="53350000"/>
    <w:rsid w:val="534F55FA"/>
    <w:rsid w:val="53514ECE"/>
    <w:rsid w:val="537312E8"/>
    <w:rsid w:val="537A2677"/>
    <w:rsid w:val="53D1600F"/>
    <w:rsid w:val="53D224B3"/>
    <w:rsid w:val="53DF072C"/>
    <w:rsid w:val="540D34EB"/>
    <w:rsid w:val="54104D89"/>
    <w:rsid w:val="54190C8F"/>
    <w:rsid w:val="542B6A7C"/>
    <w:rsid w:val="543652AD"/>
    <w:rsid w:val="544C25B2"/>
    <w:rsid w:val="546E1AAF"/>
    <w:rsid w:val="54705828"/>
    <w:rsid w:val="548B440F"/>
    <w:rsid w:val="54BD13D3"/>
    <w:rsid w:val="54BE78A6"/>
    <w:rsid w:val="54E3424B"/>
    <w:rsid w:val="54F77CF7"/>
    <w:rsid w:val="54FE4BE1"/>
    <w:rsid w:val="55135E37"/>
    <w:rsid w:val="551536D3"/>
    <w:rsid w:val="553E5926"/>
    <w:rsid w:val="554F7B33"/>
    <w:rsid w:val="555667CB"/>
    <w:rsid w:val="55794BB0"/>
    <w:rsid w:val="55C71477"/>
    <w:rsid w:val="55FD758F"/>
    <w:rsid w:val="56013A0F"/>
    <w:rsid w:val="56352885"/>
    <w:rsid w:val="564038B4"/>
    <w:rsid w:val="56436BD5"/>
    <w:rsid w:val="56486A5C"/>
    <w:rsid w:val="564B654C"/>
    <w:rsid w:val="56504234"/>
    <w:rsid w:val="56706455"/>
    <w:rsid w:val="567809C3"/>
    <w:rsid w:val="569357FD"/>
    <w:rsid w:val="56D35BDC"/>
    <w:rsid w:val="56E513C4"/>
    <w:rsid w:val="56FB4709"/>
    <w:rsid w:val="57007337"/>
    <w:rsid w:val="57030BD5"/>
    <w:rsid w:val="570F757A"/>
    <w:rsid w:val="571838C9"/>
    <w:rsid w:val="57212E09"/>
    <w:rsid w:val="572F5526"/>
    <w:rsid w:val="574E6BA7"/>
    <w:rsid w:val="57534858"/>
    <w:rsid w:val="57596A47"/>
    <w:rsid w:val="57603931"/>
    <w:rsid w:val="57826565"/>
    <w:rsid w:val="578A4E52"/>
    <w:rsid w:val="57CF6D09"/>
    <w:rsid w:val="57EA3B43"/>
    <w:rsid w:val="58095D77"/>
    <w:rsid w:val="5818698A"/>
    <w:rsid w:val="58262DCD"/>
    <w:rsid w:val="584A50AA"/>
    <w:rsid w:val="588B78BC"/>
    <w:rsid w:val="5898534D"/>
    <w:rsid w:val="58997391"/>
    <w:rsid w:val="58B303D9"/>
    <w:rsid w:val="58BC103B"/>
    <w:rsid w:val="58C779E0"/>
    <w:rsid w:val="58DF3E78"/>
    <w:rsid w:val="58E135DE"/>
    <w:rsid w:val="591075D9"/>
    <w:rsid w:val="59231FBC"/>
    <w:rsid w:val="59282B75"/>
    <w:rsid w:val="59617E35"/>
    <w:rsid w:val="59710078"/>
    <w:rsid w:val="59760FEE"/>
    <w:rsid w:val="598F4BC6"/>
    <w:rsid w:val="59940736"/>
    <w:rsid w:val="59BD150F"/>
    <w:rsid w:val="59E720E8"/>
    <w:rsid w:val="5A1804F3"/>
    <w:rsid w:val="5A284604"/>
    <w:rsid w:val="5A98101F"/>
    <w:rsid w:val="5AA30C31"/>
    <w:rsid w:val="5AA31831"/>
    <w:rsid w:val="5ABA3CA0"/>
    <w:rsid w:val="5ACD1C6E"/>
    <w:rsid w:val="5AE623A0"/>
    <w:rsid w:val="5AEB676F"/>
    <w:rsid w:val="5AEE4EA8"/>
    <w:rsid w:val="5B1E5D17"/>
    <w:rsid w:val="5B296730"/>
    <w:rsid w:val="5B3E042E"/>
    <w:rsid w:val="5B444423"/>
    <w:rsid w:val="5B4B48F9"/>
    <w:rsid w:val="5B75607A"/>
    <w:rsid w:val="5BA5225B"/>
    <w:rsid w:val="5BA67D81"/>
    <w:rsid w:val="5BAE0253"/>
    <w:rsid w:val="5BB029AE"/>
    <w:rsid w:val="5BC85F49"/>
    <w:rsid w:val="5BFB00CD"/>
    <w:rsid w:val="5C042965"/>
    <w:rsid w:val="5C3929A3"/>
    <w:rsid w:val="5C425CFC"/>
    <w:rsid w:val="5C5E240A"/>
    <w:rsid w:val="5C734E45"/>
    <w:rsid w:val="5C7A5495"/>
    <w:rsid w:val="5C7F2933"/>
    <w:rsid w:val="5CC42BB4"/>
    <w:rsid w:val="5CCE758F"/>
    <w:rsid w:val="5CDC2A8F"/>
    <w:rsid w:val="5CF214D0"/>
    <w:rsid w:val="5CF24105"/>
    <w:rsid w:val="5D082985"/>
    <w:rsid w:val="5D535CE6"/>
    <w:rsid w:val="5D573851"/>
    <w:rsid w:val="5D740137"/>
    <w:rsid w:val="5D830F0D"/>
    <w:rsid w:val="5DA36C6E"/>
    <w:rsid w:val="5DA7718C"/>
    <w:rsid w:val="5DC16C4D"/>
    <w:rsid w:val="5DD72473"/>
    <w:rsid w:val="5DED613B"/>
    <w:rsid w:val="5E1C6E5F"/>
    <w:rsid w:val="5E631F59"/>
    <w:rsid w:val="5E6A32E8"/>
    <w:rsid w:val="5E7C3B11"/>
    <w:rsid w:val="5E9345EC"/>
    <w:rsid w:val="5EF84D97"/>
    <w:rsid w:val="5EFD5F0A"/>
    <w:rsid w:val="5F021772"/>
    <w:rsid w:val="5F092BCF"/>
    <w:rsid w:val="5F0D24D7"/>
    <w:rsid w:val="5F1B61C9"/>
    <w:rsid w:val="5F4050DC"/>
    <w:rsid w:val="5F405377"/>
    <w:rsid w:val="5F4D6E91"/>
    <w:rsid w:val="5F93686E"/>
    <w:rsid w:val="5FC128EC"/>
    <w:rsid w:val="5FD64D33"/>
    <w:rsid w:val="5FE86BBA"/>
    <w:rsid w:val="5FEB0458"/>
    <w:rsid w:val="6051475F"/>
    <w:rsid w:val="606049A2"/>
    <w:rsid w:val="6061537A"/>
    <w:rsid w:val="60695F4D"/>
    <w:rsid w:val="606F1089"/>
    <w:rsid w:val="6071095D"/>
    <w:rsid w:val="607448F1"/>
    <w:rsid w:val="608D150F"/>
    <w:rsid w:val="60917251"/>
    <w:rsid w:val="60C413D5"/>
    <w:rsid w:val="60CF1B28"/>
    <w:rsid w:val="60DB7648"/>
    <w:rsid w:val="60EB4BB4"/>
    <w:rsid w:val="60F11A9E"/>
    <w:rsid w:val="610B5FC8"/>
    <w:rsid w:val="6111357A"/>
    <w:rsid w:val="612878B8"/>
    <w:rsid w:val="61342DC7"/>
    <w:rsid w:val="61630BEE"/>
    <w:rsid w:val="61952D71"/>
    <w:rsid w:val="61B01959"/>
    <w:rsid w:val="61B431F8"/>
    <w:rsid w:val="61CB6793"/>
    <w:rsid w:val="61D924AA"/>
    <w:rsid w:val="61E33ADD"/>
    <w:rsid w:val="61F23D20"/>
    <w:rsid w:val="61F335F4"/>
    <w:rsid w:val="62145A44"/>
    <w:rsid w:val="621C3C24"/>
    <w:rsid w:val="62347E94"/>
    <w:rsid w:val="62373E29"/>
    <w:rsid w:val="62375290"/>
    <w:rsid w:val="62397AC6"/>
    <w:rsid w:val="62662018"/>
    <w:rsid w:val="6267026A"/>
    <w:rsid w:val="62946B85"/>
    <w:rsid w:val="62BB5A0B"/>
    <w:rsid w:val="62C72479"/>
    <w:rsid w:val="62DE37BD"/>
    <w:rsid w:val="63161C90"/>
    <w:rsid w:val="631B2082"/>
    <w:rsid w:val="631D301E"/>
    <w:rsid w:val="63450532"/>
    <w:rsid w:val="63C33BC6"/>
    <w:rsid w:val="63FE69AC"/>
    <w:rsid w:val="640D3093"/>
    <w:rsid w:val="64287ECD"/>
    <w:rsid w:val="64414AEB"/>
    <w:rsid w:val="64526CF8"/>
    <w:rsid w:val="645E569D"/>
    <w:rsid w:val="648F5856"/>
    <w:rsid w:val="64DB1005"/>
    <w:rsid w:val="64E17296"/>
    <w:rsid w:val="65046244"/>
    <w:rsid w:val="65377372"/>
    <w:rsid w:val="654A79CF"/>
    <w:rsid w:val="654C6575"/>
    <w:rsid w:val="65787386"/>
    <w:rsid w:val="659C46CE"/>
    <w:rsid w:val="659F7D1B"/>
    <w:rsid w:val="65A74E21"/>
    <w:rsid w:val="66034DC4"/>
    <w:rsid w:val="665341D3"/>
    <w:rsid w:val="66573F9D"/>
    <w:rsid w:val="6666229E"/>
    <w:rsid w:val="667C4500"/>
    <w:rsid w:val="66B14497"/>
    <w:rsid w:val="66B51249"/>
    <w:rsid w:val="66B5531C"/>
    <w:rsid w:val="66DD4F9F"/>
    <w:rsid w:val="66E0683D"/>
    <w:rsid w:val="670C26DC"/>
    <w:rsid w:val="67184229"/>
    <w:rsid w:val="671F6245"/>
    <w:rsid w:val="676236F6"/>
    <w:rsid w:val="67634DBC"/>
    <w:rsid w:val="67CA4DF7"/>
    <w:rsid w:val="67DF671F"/>
    <w:rsid w:val="6865349E"/>
    <w:rsid w:val="68723391"/>
    <w:rsid w:val="68A67612"/>
    <w:rsid w:val="68B5594E"/>
    <w:rsid w:val="68C1444C"/>
    <w:rsid w:val="68CA1553"/>
    <w:rsid w:val="68D20407"/>
    <w:rsid w:val="68EF7116"/>
    <w:rsid w:val="69186970"/>
    <w:rsid w:val="692F2F5C"/>
    <w:rsid w:val="69450BD9"/>
    <w:rsid w:val="694741D7"/>
    <w:rsid w:val="694D79C8"/>
    <w:rsid w:val="69540E1C"/>
    <w:rsid w:val="69605A13"/>
    <w:rsid w:val="696848C8"/>
    <w:rsid w:val="69A04061"/>
    <w:rsid w:val="69BD10B7"/>
    <w:rsid w:val="69EA3E88"/>
    <w:rsid w:val="6A0E546F"/>
    <w:rsid w:val="6A1D3904"/>
    <w:rsid w:val="6A3450F5"/>
    <w:rsid w:val="6A425119"/>
    <w:rsid w:val="6A4F36E8"/>
    <w:rsid w:val="6A8D0A8A"/>
    <w:rsid w:val="6AA67777"/>
    <w:rsid w:val="6AE674BA"/>
    <w:rsid w:val="6AF73AD4"/>
    <w:rsid w:val="6B142F59"/>
    <w:rsid w:val="6B6712DB"/>
    <w:rsid w:val="6B754418"/>
    <w:rsid w:val="6BC32289"/>
    <w:rsid w:val="6BD90392"/>
    <w:rsid w:val="6BEB174A"/>
    <w:rsid w:val="6C1D1D35"/>
    <w:rsid w:val="6C25017C"/>
    <w:rsid w:val="6C417D7E"/>
    <w:rsid w:val="6C523D39"/>
    <w:rsid w:val="6C5775A1"/>
    <w:rsid w:val="6CA9147F"/>
    <w:rsid w:val="6CB01E6B"/>
    <w:rsid w:val="6CB87914"/>
    <w:rsid w:val="6CCB3AEB"/>
    <w:rsid w:val="6CE21967"/>
    <w:rsid w:val="6CFA7F2C"/>
    <w:rsid w:val="6CFE5C6F"/>
    <w:rsid w:val="6D1C7EA3"/>
    <w:rsid w:val="6D2531FB"/>
    <w:rsid w:val="6D2B6338"/>
    <w:rsid w:val="6D54588F"/>
    <w:rsid w:val="6D6D6950"/>
    <w:rsid w:val="6D723F67"/>
    <w:rsid w:val="6D8A5754"/>
    <w:rsid w:val="6D9914F3"/>
    <w:rsid w:val="6D9E6B0A"/>
    <w:rsid w:val="6D9F4228"/>
    <w:rsid w:val="6DA22A9E"/>
    <w:rsid w:val="6DA822BD"/>
    <w:rsid w:val="6DAD2DB4"/>
    <w:rsid w:val="6DC24EEE"/>
    <w:rsid w:val="6DC57103"/>
    <w:rsid w:val="6DE21B74"/>
    <w:rsid w:val="6DF84D21"/>
    <w:rsid w:val="6E14237E"/>
    <w:rsid w:val="6E4C4ABE"/>
    <w:rsid w:val="6E741E45"/>
    <w:rsid w:val="6E851A78"/>
    <w:rsid w:val="6E8609E1"/>
    <w:rsid w:val="6E8B1784"/>
    <w:rsid w:val="6E8B52E0"/>
    <w:rsid w:val="6E943ADE"/>
    <w:rsid w:val="6EA75E92"/>
    <w:rsid w:val="6EC46A44"/>
    <w:rsid w:val="6ECE1671"/>
    <w:rsid w:val="6ED00F45"/>
    <w:rsid w:val="6ED344A9"/>
    <w:rsid w:val="6ED800AF"/>
    <w:rsid w:val="6EEA74D2"/>
    <w:rsid w:val="6EED7D49"/>
    <w:rsid w:val="6F2F65B3"/>
    <w:rsid w:val="6F3516F0"/>
    <w:rsid w:val="6F6D0E8A"/>
    <w:rsid w:val="6FA50623"/>
    <w:rsid w:val="6FC767EC"/>
    <w:rsid w:val="6FDE3B35"/>
    <w:rsid w:val="701622E9"/>
    <w:rsid w:val="70166BE6"/>
    <w:rsid w:val="701D640C"/>
    <w:rsid w:val="70297555"/>
    <w:rsid w:val="7036571F"/>
    <w:rsid w:val="70455813"/>
    <w:rsid w:val="70455963"/>
    <w:rsid w:val="704C4F43"/>
    <w:rsid w:val="706B0310"/>
    <w:rsid w:val="707A3F03"/>
    <w:rsid w:val="70822449"/>
    <w:rsid w:val="7084648B"/>
    <w:rsid w:val="70A66401"/>
    <w:rsid w:val="70A83187"/>
    <w:rsid w:val="70C95159"/>
    <w:rsid w:val="70FE623D"/>
    <w:rsid w:val="711C4915"/>
    <w:rsid w:val="712B2CEC"/>
    <w:rsid w:val="713954C7"/>
    <w:rsid w:val="716D6F1F"/>
    <w:rsid w:val="71854F84"/>
    <w:rsid w:val="71A11633"/>
    <w:rsid w:val="71E76CD1"/>
    <w:rsid w:val="71E77614"/>
    <w:rsid w:val="721B4BCD"/>
    <w:rsid w:val="72347A3D"/>
    <w:rsid w:val="723637B5"/>
    <w:rsid w:val="726409AC"/>
    <w:rsid w:val="726522EC"/>
    <w:rsid w:val="72D60AF4"/>
    <w:rsid w:val="72EE0533"/>
    <w:rsid w:val="72EF21FF"/>
    <w:rsid w:val="72F316A6"/>
    <w:rsid w:val="72FF629D"/>
    <w:rsid w:val="731A1328"/>
    <w:rsid w:val="732301DD"/>
    <w:rsid w:val="73353A6C"/>
    <w:rsid w:val="734D7008"/>
    <w:rsid w:val="73594034"/>
    <w:rsid w:val="736A5E0C"/>
    <w:rsid w:val="73920EBF"/>
    <w:rsid w:val="73AF2DAD"/>
    <w:rsid w:val="73B13A3B"/>
    <w:rsid w:val="73CD48A4"/>
    <w:rsid w:val="73FB6A64"/>
    <w:rsid w:val="7452064E"/>
    <w:rsid w:val="745D0A0B"/>
    <w:rsid w:val="74B83AFD"/>
    <w:rsid w:val="74EB6AD9"/>
    <w:rsid w:val="74FF07D6"/>
    <w:rsid w:val="750D2EF3"/>
    <w:rsid w:val="752124FA"/>
    <w:rsid w:val="75247969"/>
    <w:rsid w:val="75293A89"/>
    <w:rsid w:val="75474B87"/>
    <w:rsid w:val="754C729D"/>
    <w:rsid w:val="755C79D6"/>
    <w:rsid w:val="757765BE"/>
    <w:rsid w:val="758918C0"/>
    <w:rsid w:val="759F4EC1"/>
    <w:rsid w:val="75AA7005"/>
    <w:rsid w:val="75BF3AC1"/>
    <w:rsid w:val="75C4734D"/>
    <w:rsid w:val="75D73501"/>
    <w:rsid w:val="764566BC"/>
    <w:rsid w:val="76487F5B"/>
    <w:rsid w:val="76683152"/>
    <w:rsid w:val="76826EE0"/>
    <w:rsid w:val="768371E5"/>
    <w:rsid w:val="7697757F"/>
    <w:rsid w:val="76A35191"/>
    <w:rsid w:val="76A42E74"/>
    <w:rsid w:val="76F93003"/>
    <w:rsid w:val="76FA74A7"/>
    <w:rsid w:val="77000835"/>
    <w:rsid w:val="770F2826"/>
    <w:rsid w:val="7721667E"/>
    <w:rsid w:val="774B1AB0"/>
    <w:rsid w:val="776C4A5C"/>
    <w:rsid w:val="77737D91"/>
    <w:rsid w:val="777C610E"/>
    <w:rsid w:val="779C4BC8"/>
    <w:rsid w:val="77A55067"/>
    <w:rsid w:val="77B43556"/>
    <w:rsid w:val="77EE068E"/>
    <w:rsid w:val="780F6184"/>
    <w:rsid w:val="781F4CEB"/>
    <w:rsid w:val="78361C89"/>
    <w:rsid w:val="783C764B"/>
    <w:rsid w:val="784D7AAA"/>
    <w:rsid w:val="786F2DB5"/>
    <w:rsid w:val="78767001"/>
    <w:rsid w:val="787F0939"/>
    <w:rsid w:val="78832145"/>
    <w:rsid w:val="78866B18"/>
    <w:rsid w:val="78992CEF"/>
    <w:rsid w:val="789B6A68"/>
    <w:rsid w:val="78A55021"/>
    <w:rsid w:val="78DB50B6"/>
    <w:rsid w:val="78E51A91"/>
    <w:rsid w:val="78F63C9E"/>
    <w:rsid w:val="79091C23"/>
    <w:rsid w:val="791B1956"/>
    <w:rsid w:val="79226841"/>
    <w:rsid w:val="793C6F37"/>
    <w:rsid w:val="793D18CD"/>
    <w:rsid w:val="7940316B"/>
    <w:rsid w:val="79520BA4"/>
    <w:rsid w:val="795A422D"/>
    <w:rsid w:val="79837AD1"/>
    <w:rsid w:val="79903AF5"/>
    <w:rsid w:val="79A454A8"/>
    <w:rsid w:val="79C8046E"/>
    <w:rsid w:val="79E625D0"/>
    <w:rsid w:val="7A081EDB"/>
    <w:rsid w:val="7A1F7224"/>
    <w:rsid w:val="7A227B3F"/>
    <w:rsid w:val="7A5C2227"/>
    <w:rsid w:val="7A6F3D08"/>
    <w:rsid w:val="7A891F2C"/>
    <w:rsid w:val="7A94376E"/>
    <w:rsid w:val="7AAF67FA"/>
    <w:rsid w:val="7AB6765F"/>
    <w:rsid w:val="7B000E04"/>
    <w:rsid w:val="7B0569BE"/>
    <w:rsid w:val="7B1448AF"/>
    <w:rsid w:val="7B147161"/>
    <w:rsid w:val="7B226FCC"/>
    <w:rsid w:val="7B29241F"/>
    <w:rsid w:val="7B93103E"/>
    <w:rsid w:val="7BEB3C37"/>
    <w:rsid w:val="7BFA73D4"/>
    <w:rsid w:val="7C1F5E30"/>
    <w:rsid w:val="7C460A98"/>
    <w:rsid w:val="7C4674E4"/>
    <w:rsid w:val="7C743857"/>
    <w:rsid w:val="7CD95DB0"/>
    <w:rsid w:val="7CDC4B3C"/>
    <w:rsid w:val="7CE17DF9"/>
    <w:rsid w:val="7CED7166"/>
    <w:rsid w:val="7D203F29"/>
    <w:rsid w:val="7D4274B2"/>
    <w:rsid w:val="7D9D3A60"/>
    <w:rsid w:val="7E156974"/>
    <w:rsid w:val="7E234ADE"/>
    <w:rsid w:val="7E4B73A6"/>
    <w:rsid w:val="7E62460F"/>
    <w:rsid w:val="7E8A0944"/>
    <w:rsid w:val="7EA83C8C"/>
    <w:rsid w:val="7EB919F5"/>
    <w:rsid w:val="7EBC7738"/>
    <w:rsid w:val="7EC733CA"/>
    <w:rsid w:val="7F0709B3"/>
    <w:rsid w:val="7F3D2627"/>
    <w:rsid w:val="7F4E1D30"/>
    <w:rsid w:val="7F5E434B"/>
    <w:rsid w:val="7F7818B1"/>
    <w:rsid w:val="7F8B4B17"/>
    <w:rsid w:val="7FC76394"/>
    <w:rsid w:val="7FCE14D1"/>
    <w:rsid w:val="7FD4460D"/>
    <w:rsid w:val="7FE5681A"/>
    <w:rsid w:val="7FE847D2"/>
    <w:rsid w:val="7FEE1B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1"/>
    <w:qFormat/>
    <w:uiPriority w:val="0"/>
    <w:pPr>
      <w:keepNext/>
      <w:keepLines/>
      <w:spacing w:before="340" w:after="330" w:line="578" w:lineRule="auto"/>
      <w:outlineLvl w:val="0"/>
    </w:pPr>
    <w:rPr>
      <w:b/>
      <w:bCs/>
      <w:kern w:val="44"/>
      <w:sz w:val="44"/>
      <w:szCs w:val="44"/>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3">
    <w:name w:val="Body Text"/>
    <w:basedOn w:val="1"/>
    <w:link w:val="23"/>
    <w:qFormat/>
    <w:uiPriority w:val="0"/>
    <w:pPr>
      <w:spacing w:after="120"/>
    </w:pPr>
  </w:style>
  <w:style w:type="paragraph" w:styleId="4">
    <w:name w:val="Balloon Text"/>
    <w:basedOn w:val="1"/>
    <w:link w:val="15"/>
    <w:qFormat/>
    <w:uiPriority w:val="0"/>
    <w:rPr>
      <w:sz w:val="18"/>
      <w:szCs w:val="18"/>
    </w:rPr>
  </w:style>
  <w:style w:type="paragraph" w:styleId="5">
    <w:name w:val="footer"/>
    <w:basedOn w:val="1"/>
    <w:link w:val="12"/>
    <w:qFormat/>
    <w:uiPriority w:val="0"/>
    <w:pPr>
      <w:tabs>
        <w:tab w:val="center" w:pos="4153"/>
        <w:tab w:val="right" w:pos="8306"/>
      </w:tabs>
      <w:snapToGrid w:val="0"/>
      <w:jc w:val="left"/>
    </w:pPr>
    <w:rPr>
      <w:sz w:val="18"/>
      <w:szCs w:val="18"/>
    </w:rPr>
  </w:style>
  <w:style w:type="paragraph" w:styleId="6">
    <w:name w:val="header"/>
    <w:basedOn w:val="1"/>
    <w:link w:val="13"/>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Body Text First Indent"/>
    <w:basedOn w:val="3"/>
    <w:link w:val="24"/>
    <w:qFormat/>
    <w:uiPriority w:val="0"/>
    <w:pPr>
      <w:ind w:firstLine="420" w:firstLineChars="100"/>
    </w:pPr>
  </w:style>
  <w:style w:type="table" w:styleId="9">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标题 1 Char"/>
    <w:basedOn w:val="10"/>
    <w:link w:val="2"/>
    <w:qFormat/>
    <w:uiPriority w:val="0"/>
    <w:rPr>
      <w:b/>
      <w:bCs/>
      <w:kern w:val="44"/>
      <w:sz w:val="44"/>
      <w:szCs w:val="44"/>
    </w:rPr>
  </w:style>
  <w:style w:type="character" w:customStyle="1" w:styleId="12">
    <w:name w:val="页脚 Char"/>
    <w:basedOn w:val="10"/>
    <w:link w:val="5"/>
    <w:qFormat/>
    <w:uiPriority w:val="99"/>
    <w:rPr>
      <w:sz w:val="18"/>
      <w:szCs w:val="18"/>
    </w:rPr>
  </w:style>
  <w:style w:type="character" w:customStyle="1" w:styleId="13">
    <w:name w:val="页眉 Char"/>
    <w:basedOn w:val="10"/>
    <w:link w:val="6"/>
    <w:qFormat/>
    <w:uiPriority w:val="0"/>
    <w:rPr>
      <w:sz w:val="18"/>
      <w:szCs w:val="18"/>
    </w:rPr>
  </w:style>
  <w:style w:type="paragraph" w:customStyle="1" w:styleId="14">
    <w:name w:val="No Spacing"/>
    <w:unhideWhenUsed/>
    <w:qFormat/>
    <w:uiPriority w:val="99"/>
    <w:pPr>
      <w:widowControl w:val="0"/>
      <w:jc w:val="both"/>
    </w:pPr>
    <w:rPr>
      <w:rFonts w:asciiTheme="minorHAnsi" w:hAnsiTheme="minorHAnsi" w:eastAsiaTheme="minorEastAsia" w:cstheme="minorBidi"/>
      <w:kern w:val="2"/>
      <w:sz w:val="21"/>
      <w:szCs w:val="22"/>
      <w:lang w:val="en-US" w:eastAsia="zh-CN" w:bidi="ar-SA"/>
    </w:rPr>
  </w:style>
  <w:style w:type="character" w:customStyle="1" w:styleId="15">
    <w:name w:val="批注框文本 Char"/>
    <w:basedOn w:val="10"/>
    <w:link w:val="4"/>
    <w:qFormat/>
    <w:uiPriority w:val="99"/>
    <w:rPr>
      <w:sz w:val="18"/>
      <w:szCs w:val="18"/>
    </w:rPr>
  </w:style>
  <w:style w:type="character" w:customStyle="1" w:styleId="16">
    <w:name w:val="font11"/>
    <w:basedOn w:val="10"/>
    <w:qFormat/>
    <w:uiPriority w:val="0"/>
    <w:rPr>
      <w:rFonts w:hint="eastAsia" w:ascii="宋体" w:hAnsi="宋体" w:eastAsia="宋体" w:cs="宋体"/>
      <w:color w:val="000000"/>
      <w:sz w:val="20"/>
      <w:szCs w:val="20"/>
      <w:u w:val="none"/>
    </w:rPr>
  </w:style>
  <w:style w:type="character" w:customStyle="1" w:styleId="17">
    <w:name w:val="font01"/>
    <w:basedOn w:val="10"/>
    <w:qFormat/>
    <w:uiPriority w:val="0"/>
    <w:rPr>
      <w:rFonts w:hint="eastAsia" w:ascii="宋体" w:hAnsi="宋体" w:eastAsia="宋体" w:cs="宋体"/>
      <w:color w:val="000000"/>
      <w:sz w:val="22"/>
      <w:szCs w:val="22"/>
      <w:u w:val="none"/>
    </w:rPr>
  </w:style>
  <w:style w:type="character" w:customStyle="1" w:styleId="18">
    <w:name w:val="font41"/>
    <w:basedOn w:val="10"/>
    <w:qFormat/>
    <w:uiPriority w:val="0"/>
    <w:rPr>
      <w:rFonts w:hint="eastAsia" w:ascii="宋体" w:hAnsi="宋体" w:eastAsia="宋体" w:cs="宋体"/>
      <w:color w:val="000000"/>
      <w:sz w:val="24"/>
      <w:szCs w:val="24"/>
      <w:u w:val="none"/>
    </w:rPr>
  </w:style>
  <w:style w:type="character" w:customStyle="1" w:styleId="19">
    <w:name w:val="font31"/>
    <w:basedOn w:val="10"/>
    <w:qFormat/>
    <w:uiPriority w:val="0"/>
    <w:rPr>
      <w:rFonts w:hint="eastAsia" w:ascii="华文中宋" w:hAnsi="华文中宋" w:eastAsia="华文中宋" w:cs="华文中宋"/>
      <w:color w:val="000000"/>
      <w:sz w:val="32"/>
      <w:szCs w:val="32"/>
      <w:u w:val="none"/>
    </w:rPr>
  </w:style>
  <w:style w:type="character" w:customStyle="1" w:styleId="20">
    <w:name w:val="font91"/>
    <w:basedOn w:val="10"/>
    <w:qFormat/>
    <w:uiPriority w:val="0"/>
    <w:rPr>
      <w:rFonts w:hint="eastAsia" w:ascii="华文中宋" w:hAnsi="华文中宋" w:eastAsia="华文中宋" w:cs="华文中宋"/>
      <w:color w:val="000000"/>
      <w:sz w:val="32"/>
      <w:szCs w:val="32"/>
      <w:u w:val="none"/>
    </w:rPr>
  </w:style>
  <w:style w:type="character" w:customStyle="1" w:styleId="21">
    <w:name w:val="font51"/>
    <w:basedOn w:val="10"/>
    <w:qFormat/>
    <w:uiPriority w:val="0"/>
    <w:rPr>
      <w:rFonts w:hint="eastAsia" w:ascii="宋体" w:hAnsi="宋体" w:eastAsia="宋体" w:cs="宋体"/>
      <w:color w:val="000000"/>
      <w:sz w:val="24"/>
      <w:szCs w:val="24"/>
      <w:u w:val="none"/>
    </w:rPr>
  </w:style>
  <w:style w:type="paragraph" w:customStyle="1" w:styleId="22">
    <w:name w:val="List Paragraph"/>
    <w:basedOn w:val="1"/>
    <w:unhideWhenUsed/>
    <w:qFormat/>
    <w:uiPriority w:val="99"/>
    <w:pPr>
      <w:ind w:firstLine="420" w:firstLineChars="200"/>
    </w:pPr>
  </w:style>
  <w:style w:type="character" w:customStyle="1" w:styleId="23">
    <w:name w:val="正文文本 Char"/>
    <w:basedOn w:val="10"/>
    <w:link w:val="3"/>
    <w:semiHidden/>
    <w:qFormat/>
    <w:uiPriority w:val="99"/>
  </w:style>
  <w:style w:type="character" w:customStyle="1" w:styleId="24">
    <w:name w:val="正文首行缩进 Char"/>
    <w:basedOn w:val="23"/>
    <w:link w:val="7"/>
    <w:qFormat/>
    <w:uiPriority w:val="99"/>
  </w:style>
  <w:style w:type="character" w:customStyle="1" w:styleId="25">
    <w:name w:val="font21"/>
    <w:basedOn w:val="10"/>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chart" Target="charts/chart6.xml"/><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7488.74</c:v>
                </c:pt>
                <c:pt idx="1">
                  <c:v>7833.62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77493088.54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5424901.06</c:v>
                </c:pt>
                <c:pt idx="1">
                  <c:v>72371630.59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7113.76</c:v>
                </c:pt>
                <c:pt idx="1">
                  <c:v>7337.61</c:v>
                </c:pt>
                <c:pt idx="2">
                  <c:v>6033.65</c:v>
                </c:pt>
                <c:pt idx="3">
                  <c:v>6257.56</c:v>
                </c:pt>
                <c:pt idx="4">
                  <c:v>1080.1</c:v>
                </c:pt>
                <c:pt idx="5">
                  <c:v>1080.05</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7749.31</c:v>
                </c:pt>
                <c:pt idx="1">
                  <c:v>7779.65</c:v>
                </c:pt>
                <c:pt idx="2">
                  <c:v>5689.68</c:v>
                </c:pt>
                <c:pt idx="3">
                  <c:v>5720.02</c:v>
                </c:pt>
                <c:pt idx="4">
                  <c:v>2059.63</c:v>
                </c:pt>
                <c:pt idx="5">
                  <c:v>2059.63</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4755.81</c:v>
                </c:pt>
                <c:pt idx="1">
                  <c:v>5263.03</c:v>
                </c:pt>
                <c:pt idx="2">
                  <c:v>4574.81</c:v>
                </c:pt>
                <c:pt idx="3">
                  <c:v>5082.03</c:v>
                </c:pt>
                <c:pt idx="4">
                  <c:v>181</c:v>
                </c:pt>
                <c:pt idx="5">
                  <c:v>181</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7749.31</c:v>
                </c:pt>
                <c:pt idx="1">
                  <c:v>7779.65</c:v>
                </c:pt>
                <c:pt idx="2">
                  <c:v>5689.68</c:v>
                </c:pt>
                <c:pt idx="3">
                  <c:v>5720.02</c:v>
                </c:pt>
                <c:pt idx="4">
                  <c:v>2059.63</c:v>
                </c:pt>
                <c:pt idx="5">
                  <c:v>2059.63</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5668.48</c:v>
                </c:pt>
                <c:pt idx="8">
                  <c:v>22.34</c:v>
                </c:pt>
                <c:pt idx="9">
                  <c:v>0</c:v>
                </c:pt>
                <c:pt idx="10">
                  <c:v>0</c:v>
                </c:pt>
                <c:pt idx="11">
                  <c:v>0</c:v>
                </c:pt>
                <c:pt idx="12">
                  <c:v>0</c:v>
                </c:pt>
                <c:pt idx="13">
                  <c:v>0</c:v>
                </c:pt>
                <c:pt idx="14">
                  <c:v>0</c:v>
                </c:pt>
                <c:pt idx="15">
                  <c:v>0</c:v>
                </c:pt>
                <c:pt idx="16">
                  <c:v>0</c:v>
                </c:pt>
                <c:pt idx="17">
                  <c:v>0</c:v>
                </c:pt>
                <c:pt idx="18">
                  <c:v>29.21</c:v>
                </c:pt>
                <c:pt idx="19">
                  <c:v>0</c:v>
                </c:pt>
                <c:pt idx="20">
                  <c:v>0</c:v>
                </c:pt>
                <c:pt idx="21">
                  <c:v>0</c:v>
                </c:pt>
                <c:pt idx="22">
                  <c:v>2059.63</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8"/>
    <customShpInfo spid="_x0000_s103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50</Pages>
  <Words>17834</Words>
  <Characters>21502</Characters>
  <Lines>88</Lines>
  <Paragraphs>24</Paragraphs>
  <TotalTime>0</TotalTime>
  <ScaleCrop>false</ScaleCrop>
  <LinksUpToDate>false</LinksUpToDate>
  <CharactersWithSpaces>22353</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2025-07-29T11:35:00Z</dcterms:created>
  <dc:creator>user</dc:creator>
  <cp:lastModifiedBy>申大侠</cp:lastModifiedBy>
  <cp:lastPrinted>2025-07-30T06:51:00Z</cp:lastPrinted>
  <dcterms:modified xsi:type="dcterms:W3CDTF">2025-09-23T02:55:57Z</dcterms:modified>
  <dc:title>附件1</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eyJoZGlkIjoiNWU2ZjI3MWI3ZDU4N2VhZTc1NDUwYjViYjNiNzI1ZjUiLCJ1c2VySWQiOiIyOTIyMTYyOTIifQ==</vt:lpwstr>
  </property>
  <property fmtid="{D5CDD505-2E9C-101B-9397-08002B2CF9AE}" pid="3" name="KSOProductBuildVer">
    <vt:lpwstr>2052-11.8.2.12085</vt:lpwstr>
  </property>
  <property fmtid="{D5CDD505-2E9C-101B-9397-08002B2CF9AE}" pid="4" name="ICV">
    <vt:lpwstr>B21D18FB37274BA8A00E3C6917B1CC0E_12</vt:lpwstr>
  </property>
</Properties>
</file>