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p>
    <w:p>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09.5pt;z-index:251660288;mso-width-relative:page;mso-height-relative:page;" filled="f" stroked="f" coordsize="21600,21600">
            <v:path/>
            <v:fill on="f" focussize="0,0"/>
            <v:stroke on="f" joinstyle="miter"/>
            <v:imagedata o:title=""/>
            <o:lock v:ext="edit"/>
            <v:textbox>
              <w:txbxContent>
                <w:p>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00000"/>
                      <w:sz w:val="40"/>
                      <w:szCs w:val="40"/>
                    </w:rPr>
                    <w:t>石家庄市桥西区民政局</w:t>
                  </w:r>
                </w:p>
                <w:p>
                  <w:pPr>
                    <w:jc w:val="center"/>
                    <w:rPr>
                      <w:rFonts w:ascii="楷体_GB2312" w:hAnsi="楷体_GB2312" w:eastAsia="楷体_GB2312" w:cs="楷体_GB2312"/>
                      <w:b w:val="0"/>
                      <w:bCs w:val="0"/>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val="0"/>
                      <w:bCs w:val="0"/>
                      <w:color w:val="000000"/>
                      <w:sz w:val="40"/>
                      <w:szCs w:val="40"/>
                      <w:lang w:val="en-US" w:eastAsia="zh-CN"/>
                    </w:rPr>
                    <w:t>314</w:t>
                  </w:r>
                </w:p>
                <w:p>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九</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stretch>
                      <a:fillRect/>
                    </a:stretch>
                  </pic:blipFill>
                  <pic:spPr>
                    <a:xfrm>
                      <a:off x="0" y="0"/>
                      <a:ext cx="1295400" cy="1295400"/>
                    </a:xfrm>
                    <a:prstGeom prst="rect">
                      <a:avLst/>
                    </a:prstGeom>
                  </pic:spPr>
                </pic:pic>
              </a:graphicData>
            </a:graphic>
          </wp:anchor>
        </w:drawing>
      </w:r>
    </w:p>
    <w:p>
      <w:pPr>
        <w:rPr>
          <w:rFonts w:ascii="Times New Roman" w:hAnsi="Times New Roman" w:eastAsia="黑体" w:cs="Times New Roman"/>
          <w:b/>
          <w:bCs/>
          <w:sz w:val="72"/>
          <w:szCs w:val="96"/>
        </w:rPr>
      </w:pPr>
    </w:p>
    <w:p>
      <w:pPr>
        <w:jc w:val="center"/>
        <w:rPr>
          <w:rFonts w:hint="eastAsia" w:ascii="方正小标宋_GBK" w:hAnsi="方正小标宋_GBK" w:eastAsia="方正小标宋_GBK" w:cs="方正小标宋_GBK"/>
          <w:sz w:val="72"/>
          <w:szCs w:val="96"/>
          <w:lang w:eastAsia="zh-CN"/>
        </w:rPr>
      </w:pPr>
      <w:r>
        <w:rPr>
          <w:rFonts w:hint="eastAsia" w:ascii="方正小标宋_GBK" w:hAnsi="方正小标宋_GBK" w:eastAsia="方正小标宋_GBK" w:cs="方正小标宋_GBK"/>
          <w:sz w:val="72"/>
          <w:szCs w:val="96"/>
          <w:lang w:val="en-US" w:eastAsia="zh-CN"/>
        </w:rPr>
        <w:t>石家庄市桥西区民政局</w:t>
      </w:r>
    </w:p>
    <w:p>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2024年度部门决算公开文本</w:t>
      </w:r>
    </w:p>
    <w:p>
      <w:pPr>
        <w:spacing w:line="36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480" w:lineRule="auto"/>
        <w:jc w:val="center"/>
        <w:rPr>
          <w:rFonts w:ascii="Times New Roman" w:hAnsi="Times New Roman" w:eastAsia="黑体" w:cs="Times New Roman"/>
          <w:sz w:val="56"/>
          <w:szCs w:val="72"/>
        </w:rPr>
      </w:pPr>
    </w:p>
    <w:p>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eastAsia="楷体_GB2312"/>
          <w:b w:val="0"/>
          <w:sz w:val="44"/>
          <w:szCs w:val="44"/>
        </w:rPr>
        <w:t>石家庄市桥西区民政局</w:t>
      </w:r>
    </w:p>
    <w:p>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jc w:val="center"/>
        <w:rPr>
          <w:rFonts w:hint="eastAsia" w:ascii="方正小标宋简体" w:hAnsi="Times New Roman" w:eastAsia="方正小标宋简体" w:cs="Times New Roman"/>
          <w:sz w:val="44"/>
          <w:szCs w:val="44"/>
        </w:rPr>
      </w:pPr>
    </w:p>
    <w:p>
      <w:pPr>
        <w:jc w:val="center"/>
        <w:rPr>
          <w:rFonts w:hint="eastAsia" w:ascii="方正小标宋简体" w:hAnsi="Times New Roman" w:eastAsia="方正小标宋简体" w:cs="Times New Roman"/>
          <w:sz w:val="44"/>
          <w:szCs w:val="44"/>
        </w:rPr>
      </w:pPr>
    </w:p>
    <w:p>
      <w:pPr>
        <w:jc w:val="center"/>
        <w:rPr>
          <w:rFonts w:hint="eastAsia" w:ascii="方正小标宋简体" w:hAnsi="Times New Roman" w:eastAsia="方正小标宋简体" w:cs="Times New Roman"/>
          <w:sz w:val="44"/>
          <w:szCs w:val="44"/>
        </w:rPr>
      </w:pPr>
    </w:p>
    <w:p>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    录</w:t>
      </w: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九、关于2024年度绩效评价情况的说明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根据《石家庄市桥西区民政局职能配置、内设机构和人员编制规定》，石家庄市桥西区民政局的主要职责是：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贯彻执行国家和省、市民政事业发展法律法规、政策规划;拟订民政事业发展规划并组织实施。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拟订社会团体、社会服务机构等社会组织监督管理办法并组织实施，依法对全区社会组织进行管理和监督检查。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牵头拟订全区社会救助有关政策和标准，统筹社会救助体系建设，负责城乡居民最低生活保障、特困人员救助供养临时救助、承担的老龄及生活无着流浪乞讨人员救助工作。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落实行政区划、行政区域界线管理和地名管理办法负责区行政区划调整及街道办事处的设立、命名、撒销、更名和政府驻地迁移的初审报批工作，负责行政区域界线勘察和管理工作，负责地名档案管理工作。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负责婚姻登记管理工作。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落实市殡葬管理政策法规、殡葬服务规范，推进殡葬改革。 </w:t>
      </w:r>
      <w:bookmarkStart w:id="0" w:name="_GoBack"/>
      <w:bookmarkEnd w:id="0"/>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统筹推进、督促指导、监督管理全区养老服务工作，拟订全区养老服务体系建设规划、政策、标准并组织实施，承担老年人福利和特殊困难老年人救助工作。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会同相关部门做好残疾人权益保护相关工作，统筹推进残疾人福利制度建设。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落实市儿童福利、儿童救助相关政策和标准，负责儿童收养登记管理工作，负责困境儿童保障工作。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负责促进全区慈善事业发展，落实慈善信托、慈善组织活动管理办法，组织开展慈善捐助工作。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拟订全区推动老龄工作向主动应对和统筹协调转变，健全工作机制、强化综合协调、督促指导，组织推进者龄事业发展职能，协调有关部门不断完善老年人救助、社会福利、社会优待、宜居环境、社会参与等政策，增强政策制度的针对性、协调性、体系性。推动养老服务向全面提升老年人生活质量转变，加快建设居家社区机构相协调、医养康养相结合的养老服务体系，大力发展普惠型养老服务，促进资源均衡配置，推动实现全体老年人享有基本养老服务，努力实现老有所养、老有所医、老有所为老有所学、老有所乐。强化基本民生保障，健全分层分类、城乡统筹的社会救助体系,聚焦困难群众、孤老孤残孤儿等特殊群体:促进资源向薄弱区域、领域和环节倾斜，兜牢民生底线。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负责民政系统综合执法工作。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完成区委、区政府交办的其他任务。</w:t>
      </w:r>
    </w:p>
    <w:p>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从决算编报单位构成看，纳入2024年度本部门决算汇编范围的独立核算单位（以下简称“单位”）共</w:t>
      </w:r>
      <w:r>
        <w:rPr>
          <w:rFonts w:hint="eastAsia" w:ascii="Times New Roman" w:hAnsi="Times New Roman" w:eastAsia="仿宋_GB2312" w:cs="Times New Roman"/>
          <w:kern w:val="0"/>
          <w:sz w:val="32"/>
          <w:szCs w:val="32"/>
          <w:lang w:val="en-US" w:eastAsia="zh-CN"/>
        </w:rPr>
        <w:t>1</w:t>
      </w:r>
      <w:r>
        <w:rPr>
          <w:rFonts w:ascii="Times New Roman" w:hAnsi="Times New Roman" w:eastAsia="仿宋_GB2312" w:cs="Times New Roman"/>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3940"/>
        <w:gridCol w:w="2160"/>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15"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3940"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160"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15" w:type="dxa"/>
          </w:tcPr>
          <w:p>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3940" w:type="dxa"/>
          </w:tcPr>
          <w:p>
            <w:pPr>
              <w:spacing w:line="560" w:lineRule="exac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lang w:val="en-US" w:eastAsia="zh-CN"/>
              </w:rPr>
              <w:t>石家庄市桥西区民政局（</w:t>
            </w:r>
            <w:r>
              <w:rPr>
                <w:rFonts w:ascii="Times New Roman" w:hAnsi="Times New Roman" w:eastAsia="仿宋_GB2312" w:cs="Times New Roman"/>
                <w:kern w:val="0"/>
                <w:sz w:val="32"/>
                <w:szCs w:val="32"/>
              </w:rPr>
              <w:t>本级</w:t>
            </w:r>
            <w:r>
              <w:rPr>
                <w:rFonts w:hint="eastAsia" w:ascii="Times New Roman" w:hAnsi="Times New Roman" w:eastAsia="仿宋_GB2312" w:cs="Times New Roman"/>
                <w:kern w:val="0"/>
                <w:sz w:val="28"/>
                <w:szCs w:val="28"/>
                <w:lang w:val="en-US" w:eastAsia="zh-CN"/>
              </w:rPr>
              <w:t>）</w:t>
            </w:r>
          </w:p>
        </w:tc>
        <w:tc>
          <w:tcPr>
            <w:tcW w:w="2160" w:type="dxa"/>
          </w:tcPr>
          <w:p>
            <w:pPr>
              <w:spacing w:line="560" w:lineRule="exact"/>
              <w:jc w:val="center"/>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lang w:val="en-US" w:eastAsia="zh-CN"/>
              </w:rPr>
              <w:t>财政拨款</w:t>
            </w:r>
          </w:p>
        </w:tc>
      </w:tr>
    </w:tbl>
    <w:p>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我部门无二级预算单位，因此</w:t>
      </w:r>
      <w:r>
        <w:rPr>
          <w:rFonts w:hint="eastAsia" w:ascii="Times New Roman" w:hAnsi="Times New Roman" w:eastAsia="仿宋_GB2312" w:cs="Times New Roman"/>
          <w:kern w:val="0"/>
          <w:sz w:val="28"/>
          <w:szCs w:val="28"/>
          <w:lang w:val="en-US" w:eastAsia="zh-CN"/>
        </w:rPr>
        <w:t>石家庄市桥西区民政局</w:t>
      </w:r>
      <w:r>
        <w:rPr>
          <w:rFonts w:ascii="Times New Roman" w:hAnsi="Times New Roman" w:eastAsia="仿宋_GB2312" w:cs="Times New Roman"/>
          <w:kern w:val="0"/>
          <w:sz w:val="32"/>
          <w:szCs w:val="32"/>
        </w:rPr>
        <w:t>2024年度部门决算即</w:t>
      </w:r>
      <w:r>
        <w:rPr>
          <w:rFonts w:hint="eastAsia" w:ascii="Times New Roman" w:hAnsi="Times New Roman" w:eastAsia="仿宋_GB2312" w:cs="Times New Roman"/>
          <w:kern w:val="0"/>
          <w:sz w:val="28"/>
          <w:szCs w:val="28"/>
          <w:lang w:val="en-US" w:eastAsia="zh-CN"/>
        </w:rPr>
        <w:t>石家庄市桥西区民政局</w:t>
      </w:r>
      <w:r>
        <w:rPr>
          <w:rFonts w:ascii="Times New Roman" w:hAnsi="Times New Roman" w:eastAsia="仿宋_GB2312" w:cs="Times New Roman"/>
          <w:kern w:val="0"/>
          <w:sz w:val="32"/>
          <w:szCs w:val="32"/>
        </w:rPr>
        <w:t>本级2024年度决算。</w:t>
      </w: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bl>
      <w:tblPr>
        <w:tblStyle w:val="8"/>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tblPrEx>
          <w:tblCellMar>
            <w:top w:w="15" w:type="dxa"/>
            <w:left w:w="15" w:type="dxa"/>
            <w:bottom w:w="15" w:type="dxa"/>
            <w:right w:w="15" w:type="dxa"/>
          </w:tblCellMar>
        </w:tblPrEx>
        <w:trPr>
          <w:trHeight w:val="1350" w:hRule="exact"/>
          <w:jc w:val="center"/>
        </w:trPr>
        <w:tc>
          <w:tcPr>
            <w:tcW w:w="10260" w:type="dxa"/>
            <w:gridSpan w:val="8"/>
            <w:tcBorders>
              <w:top w:val="nil"/>
              <w:left w:val="nil"/>
              <w:bottom w:val="nil"/>
              <w:right w:val="nil"/>
            </w:tcBorders>
            <w:shd w:val="clear" w:color="auto" w:fill="FFFFFF"/>
            <w:vAlign w:val="bottom"/>
          </w:tcPr>
          <w:p>
            <w:pPr>
              <w:pStyle w:val="22"/>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第二部分2024年度部门决算表</w:t>
            </w:r>
          </w:p>
          <w:p>
            <w:pPr>
              <w:pStyle w:val="22"/>
              <w:widowControl/>
              <w:spacing w:line="500" w:lineRule="exact"/>
              <w:ind w:left="1760" w:firstLine="1446" w:firstLineChars="400"/>
              <w:textAlignment w:val="center"/>
              <w:rPr>
                <w:rFonts w:ascii="Times New Roman" w:hAnsi="Times New Roman" w:eastAsia="仿宋_GB2312" w:cs="Times New Roman"/>
                <w:b/>
                <w:bCs/>
                <w:sz w:val="36"/>
                <w:szCs w:val="36"/>
              </w:rPr>
            </w:pPr>
            <w:r>
              <w:rPr>
                <w:rFonts w:ascii="Times New Roman" w:hAnsi="Times New Roman" w:eastAsia="仿宋_GB2312" w:cs="Times New Roman"/>
                <w:b/>
                <w:bCs/>
                <w:sz w:val="36"/>
                <w:szCs w:val="36"/>
              </w:rPr>
              <w:t>收入支出决算总表</w:t>
            </w:r>
          </w:p>
          <w:p>
            <w:pPr>
              <w:pStyle w:val="22"/>
              <w:widowControl/>
              <w:ind w:left="1760" w:firstLine="0" w:firstLineChars="0"/>
              <w:textAlignment w:val="center"/>
              <w:rPr>
                <w:rFonts w:ascii="Times New Roman" w:hAnsi="Times New Roman" w:eastAsia="仿宋_GB2312" w:cs="Times New Roman"/>
                <w:b/>
                <w:bCs/>
                <w:sz w:val="32"/>
                <w:szCs w:val="32"/>
              </w:rPr>
            </w:pPr>
          </w:p>
        </w:tc>
      </w:tr>
      <w:tr>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color w:val="000000"/>
                <w:kern w:val="0"/>
                <w:sz w:val="20"/>
                <w:szCs w:val="20"/>
                <w:lang w:bidi="ar"/>
              </w:rPr>
              <w:t>公开01表</w:t>
            </w:r>
          </w:p>
        </w:tc>
      </w:tr>
      <w:tr>
        <w:tblPrEx>
          <w:tblCellMar>
            <w:top w:w="15" w:type="dxa"/>
            <w:left w:w="15" w:type="dxa"/>
            <w:bottom w:w="15" w:type="dxa"/>
            <w:right w:w="15" w:type="dxa"/>
          </w:tblCellMar>
        </w:tblPrEx>
        <w:trPr>
          <w:trHeight w:val="350" w:hRule="exact"/>
          <w:jc w:val="center"/>
        </w:trPr>
        <w:tc>
          <w:tcPr>
            <w:tcW w:w="4052" w:type="dxa"/>
            <w:gridSpan w:val="3"/>
            <w:tcBorders>
              <w:top w:val="nil"/>
              <w:left w:val="nil"/>
              <w:bottom w:val="single" w:color="auto" w:sz="4" w:space="0"/>
              <w:right w:val="nil"/>
            </w:tcBorders>
            <w:shd w:val="clear" w:color="auto" w:fill="FFFFFF"/>
            <w:vAlign w:val="center"/>
          </w:tcPr>
          <w:p>
            <w:pPr>
              <w:widowControl/>
              <w:jc w:val="lef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石家庄市桥西区民政局</w:t>
            </w:r>
            <w:r>
              <w:rPr>
                <w:rFonts w:ascii="Times New Roman" w:hAnsi="Times New Roman" w:eastAsia="仿宋_GB2312" w:cs="Times New Roman"/>
                <w:color w:val="000000"/>
                <w:kern w:val="0"/>
                <w:sz w:val="20"/>
                <w:szCs w:val="20"/>
                <w:lang w:bidi="ar"/>
              </w:rPr>
              <w:t xml:space="preserve">                     </w:t>
            </w:r>
          </w:p>
        </w:tc>
        <w:tc>
          <w:tcPr>
            <w:tcW w:w="2138" w:type="dxa"/>
            <w:gridSpan w:val="2"/>
            <w:tcBorders>
              <w:top w:val="nil"/>
              <w:left w:val="nil"/>
              <w:bottom w:val="single" w:color="auto" w:sz="4" w:space="0"/>
              <w:right w:val="nil"/>
            </w:tcBorders>
            <w:shd w:val="clear" w:color="auto" w:fill="FFFFFF"/>
            <w:vAlign w:val="center"/>
          </w:tcPr>
          <w:p>
            <w:pPr>
              <w:widowControl/>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2024年度</w:t>
            </w:r>
          </w:p>
        </w:tc>
        <w:tc>
          <w:tcPr>
            <w:tcW w:w="4070" w:type="dxa"/>
            <w:gridSpan w:val="3"/>
            <w:tcBorders>
              <w:top w:val="nil"/>
              <w:left w:val="nil"/>
              <w:bottom w:val="single" w:color="auto" w:sz="4" w:space="0"/>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r>
      <w:tr>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r>
      <w:tr>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bidi w:val="0"/>
              <w:jc w:val="center"/>
              <w:rPr>
                <w:rFonts w:hint="eastAsia" w:cs="宋体" w:asciiTheme="minorHAnsi" w:hAnsiTheme="minorHAnsi" w:eastAsiaTheme="minorEastAsia"/>
                <w:color w:val="auto"/>
                <w:kern w:val="0"/>
                <w:sz w:val="24"/>
                <w:szCs w:val="24"/>
                <w:lang w:val="en-US" w:eastAsia="zh-CN" w:bidi="ar-SA"/>
              </w:rPr>
            </w:pPr>
            <w:r>
              <w:rPr>
                <w:rFonts w:hint="default"/>
              </w:rPr>
              <w:t>5689.68</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2059.63</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5668.48</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22.34</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29.21</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2059.63</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eastAsia" w:cs="宋体" w:asciiTheme="minorHAnsi" w:hAnsiTheme="minorHAnsi" w:eastAsiaTheme="minorEastAsia"/>
                <w:color w:val="auto"/>
                <w:kern w:val="0"/>
                <w:sz w:val="24"/>
                <w:szCs w:val="24"/>
                <w:lang w:val="en-US" w:eastAsia="zh-CN" w:bidi="ar-SA"/>
              </w:rPr>
            </w:pPr>
            <w:r>
              <w:rPr>
                <w:rFonts w:hint="default"/>
              </w:rPr>
              <w:t>7749.31</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7779.65</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84.31</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53.96</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7833.62</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7833.62</w:t>
            </w:r>
          </w:p>
        </w:tc>
      </w:tr>
    </w:tbl>
    <w:p>
      <w:pPr>
        <w:widowControl/>
        <w:jc w:val="lef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注：1.本表反映部门本年度的总收支和年末结转结余情况。</w:t>
      </w:r>
    </w:p>
    <w:p>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 xml:space="preserve">    2.本套报表金额单位转换时可能存在尾数误差。</w:t>
      </w:r>
    </w:p>
    <w:tbl>
      <w:tblPr>
        <w:tblStyle w:val="8"/>
        <w:tblW w:w="10040" w:type="dxa"/>
        <w:jc w:val="center"/>
        <w:tblLayout w:type="fixed"/>
        <w:tblCellMar>
          <w:top w:w="15" w:type="dxa"/>
          <w:left w:w="15" w:type="dxa"/>
          <w:bottom w:w="15" w:type="dxa"/>
          <w:right w:w="15" w:type="dxa"/>
        </w:tblCellMar>
      </w:tblPr>
      <w:tblGrid>
        <w:gridCol w:w="793"/>
        <w:gridCol w:w="240"/>
        <w:gridCol w:w="1732"/>
        <w:gridCol w:w="1382"/>
        <w:gridCol w:w="982"/>
        <w:gridCol w:w="982"/>
        <w:gridCol w:w="982"/>
        <w:gridCol w:w="982"/>
        <w:gridCol w:w="982"/>
        <w:gridCol w:w="983"/>
      </w:tblGrid>
      <w:tr>
        <w:tblPrEx>
          <w:tblCellMar>
            <w:top w:w="15" w:type="dxa"/>
            <w:left w:w="15" w:type="dxa"/>
            <w:bottom w:w="15" w:type="dxa"/>
            <w:right w:w="15" w:type="dxa"/>
          </w:tblCellMar>
        </w:tblPrEx>
        <w:trPr>
          <w:trHeight w:val="666" w:hRule="atLeast"/>
          <w:jc w:val="center"/>
        </w:trPr>
        <w:tc>
          <w:tcPr>
            <w:tcW w:w="10040" w:type="dxa"/>
            <w:gridSpan w:val="10"/>
            <w:shd w:val="clear" w:color="auto" w:fill="auto"/>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收入决算表</w:t>
            </w:r>
          </w:p>
        </w:tc>
      </w:tr>
      <w:tr>
        <w:tblPrEx>
          <w:tblCellMar>
            <w:top w:w="15" w:type="dxa"/>
            <w:left w:w="15" w:type="dxa"/>
            <w:bottom w:w="15" w:type="dxa"/>
            <w:right w:w="15" w:type="dxa"/>
          </w:tblCellMar>
        </w:tblPrEx>
        <w:trPr>
          <w:trHeight w:val="348" w:hRule="atLeast"/>
          <w:jc w:val="center"/>
        </w:trPr>
        <w:tc>
          <w:tcPr>
            <w:tcW w:w="793" w:type="dxa"/>
            <w:shd w:val="clear" w:color="auto" w:fill="FFFFFF"/>
            <w:vAlign w:val="center"/>
          </w:tcPr>
          <w:p>
            <w:pPr>
              <w:jc w:val="right"/>
              <w:rPr>
                <w:rFonts w:ascii="Times New Roman" w:hAnsi="Times New Roman" w:eastAsia="仿宋_GB2312" w:cs="Times New Roman"/>
                <w:color w:val="000000"/>
                <w:sz w:val="24"/>
              </w:rPr>
            </w:pPr>
          </w:p>
        </w:tc>
        <w:tc>
          <w:tcPr>
            <w:tcW w:w="240" w:type="dxa"/>
            <w:shd w:val="clear" w:color="auto" w:fill="FFFFFF"/>
            <w:vAlign w:val="center"/>
          </w:tcPr>
          <w:p>
            <w:pPr>
              <w:jc w:val="right"/>
              <w:rPr>
                <w:rFonts w:ascii="Times New Roman" w:hAnsi="Times New Roman" w:eastAsia="仿宋_GB2312" w:cs="Times New Roman"/>
                <w:color w:val="000000"/>
                <w:sz w:val="24"/>
              </w:rPr>
            </w:pPr>
          </w:p>
        </w:tc>
        <w:tc>
          <w:tcPr>
            <w:tcW w:w="1732" w:type="dxa"/>
            <w:shd w:val="clear" w:color="auto" w:fill="FFFFFF"/>
            <w:vAlign w:val="center"/>
          </w:tcPr>
          <w:p>
            <w:pPr>
              <w:jc w:val="right"/>
              <w:rPr>
                <w:rFonts w:ascii="Times New Roman" w:hAnsi="Times New Roman" w:eastAsia="仿宋_GB2312" w:cs="Times New Roman"/>
                <w:color w:val="000000"/>
                <w:sz w:val="24"/>
              </w:rPr>
            </w:pPr>
          </w:p>
        </w:tc>
        <w:tc>
          <w:tcPr>
            <w:tcW w:w="13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3"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公开02表</w:t>
            </w:r>
          </w:p>
        </w:tc>
      </w:tr>
      <w:tr>
        <w:tblPrEx>
          <w:tblCellMar>
            <w:top w:w="15" w:type="dxa"/>
            <w:left w:w="15" w:type="dxa"/>
            <w:bottom w:w="15" w:type="dxa"/>
            <w:right w:w="15" w:type="dxa"/>
          </w:tblCellMar>
        </w:tblPrEx>
        <w:trPr>
          <w:trHeight w:val="348" w:hRule="atLeast"/>
          <w:jc w:val="center"/>
        </w:trPr>
        <w:tc>
          <w:tcPr>
            <w:tcW w:w="2765" w:type="dxa"/>
            <w:gridSpan w:val="3"/>
            <w:shd w:val="clear" w:color="auto" w:fill="FFFFFF"/>
            <w:vAlign w:val="center"/>
          </w:tcPr>
          <w:p>
            <w:pPr>
              <w:jc w:val="left"/>
              <w:rPr>
                <w:rFonts w:hint="eastAsia" w:ascii="Times New Roman" w:hAnsi="Times New Roman" w:eastAsia="仿宋_GB2312" w:cs="Times New Roman"/>
                <w:color w:val="000000"/>
                <w:sz w:val="24"/>
                <w:lang w:val="en-US" w:eastAsia="zh-CN"/>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石家庄市桥西区民政局</w:t>
            </w:r>
          </w:p>
        </w:tc>
        <w:tc>
          <w:tcPr>
            <w:tcW w:w="1382" w:type="dxa"/>
            <w:shd w:val="clear" w:color="auto" w:fill="FFFFFF"/>
            <w:vAlign w:val="center"/>
          </w:tcPr>
          <w:p>
            <w:pPr>
              <w:jc w:val="right"/>
              <w:rPr>
                <w:rFonts w:ascii="Times New Roman" w:hAnsi="Times New Roman" w:eastAsia="仿宋_GB2312" w:cs="Times New Roman"/>
                <w:color w:val="000000"/>
                <w:sz w:val="24"/>
              </w:rPr>
            </w:pPr>
          </w:p>
        </w:tc>
        <w:tc>
          <w:tcPr>
            <w:tcW w:w="1964" w:type="dxa"/>
            <w:gridSpan w:val="2"/>
            <w:shd w:val="clear" w:color="auto" w:fill="FFFFFF"/>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4"/>
                <w:szCs w:val="24"/>
              </w:rPr>
              <w:t>2024年度</w:t>
            </w: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3"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499" w:hRule="atLeast"/>
          <w:jc w:val="center"/>
        </w:trPr>
        <w:tc>
          <w:tcPr>
            <w:tcW w:w="276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3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本年收入合计</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财政拨款收入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上级补助收入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事业收入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附属单位上缴收入</w:t>
            </w: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其他收入</w:t>
            </w:r>
          </w:p>
        </w:tc>
      </w:tr>
      <w:tr>
        <w:tblPrEx>
          <w:tblCellMar>
            <w:top w:w="15" w:type="dxa"/>
            <w:left w:w="15" w:type="dxa"/>
            <w:bottom w:w="15" w:type="dxa"/>
            <w:right w:w="15" w:type="dxa"/>
          </w:tblCellMar>
        </w:tblPrEx>
        <w:trPr>
          <w:trHeight w:val="499" w:hRule="atLeast"/>
          <w:jc w:val="center"/>
        </w:trPr>
        <w:tc>
          <w:tcPr>
            <w:tcW w:w="1033"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73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trHeight w:val="499" w:hRule="atLeast"/>
          <w:jc w:val="center"/>
        </w:trPr>
        <w:tc>
          <w:tcPr>
            <w:tcW w:w="103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73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99" w:hRule="atLeast"/>
          <w:jc w:val="center"/>
        </w:trPr>
        <w:tc>
          <w:tcPr>
            <w:tcW w:w="276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3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c>
          <w:tcPr>
            <w:tcW w:w="9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7</w:t>
            </w:r>
          </w:p>
        </w:tc>
      </w:tr>
      <w:tr>
        <w:tblPrEx>
          <w:tblCellMar>
            <w:top w:w="15" w:type="dxa"/>
            <w:left w:w="15" w:type="dxa"/>
            <w:bottom w:w="15" w:type="dxa"/>
            <w:right w:w="15" w:type="dxa"/>
          </w:tblCellMar>
        </w:tblPrEx>
        <w:trPr>
          <w:trHeight w:val="499" w:hRule="atLeast"/>
          <w:jc w:val="center"/>
        </w:trPr>
        <w:tc>
          <w:tcPr>
            <w:tcW w:w="27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7749.31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7749.31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社会保障和就业支出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5638.13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5638.13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民政管理事务</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行政运行</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334.32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334.32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一般行政管理事务</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2080208</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基层政权建设和社区治理</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10.99</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10.99</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2080299</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其他民政管理事务支出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148.41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148.41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行政单位离退休</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社会福利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2896.46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2896.46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儿童福利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85.96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85.96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老年福利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2810.50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2810.50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残疾人事业</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540.26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540.26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2081107</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残疾人生活和护理补贴</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531.32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531.32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2081199</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其他残疾人事业支出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最低生活保障</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城市最低生活保障金支出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特困人员救助供养</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174.16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174.16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城市特困人员救助供养支出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174.16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174.16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其他生活救助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其他城市生活救助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彩票公益金安排的支出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用于社会福利的彩票公益金支出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657" w:hRule="atLeast"/>
          <w:jc w:val="center"/>
        </w:trPr>
        <w:tc>
          <w:tcPr>
            <w:tcW w:w="10040" w:type="dxa"/>
            <w:gridSpan w:val="10"/>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注：本表反映部门本年度取得的各项收入情况。</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286" w:type="dxa"/>
        <w:jc w:val="center"/>
        <w:tblLayout w:type="fixed"/>
        <w:tblCellMar>
          <w:top w:w="15" w:type="dxa"/>
          <w:left w:w="15" w:type="dxa"/>
          <w:bottom w:w="15" w:type="dxa"/>
          <w:right w:w="15" w:type="dxa"/>
        </w:tblCellMar>
      </w:tblPr>
      <w:tblGrid>
        <w:gridCol w:w="671"/>
        <w:gridCol w:w="227"/>
        <w:gridCol w:w="440"/>
        <w:gridCol w:w="1630"/>
        <w:gridCol w:w="1490"/>
        <w:gridCol w:w="1556"/>
        <w:gridCol w:w="1069"/>
        <w:gridCol w:w="1069"/>
        <w:gridCol w:w="1069"/>
        <w:gridCol w:w="1065"/>
      </w:tblGrid>
      <w:tr>
        <w:tblPrEx>
          <w:tblCellMar>
            <w:top w:w="15" w:type="dxa"/>
            <w:left w:w="15" w:type="dxa"/>
            <w:bottom w:w="15" w:type="dxa"/>
            <w:right w:w="15" w:type="dxa"/>
          </w:tblCellMar>
        </w:tblPrEx>
        <w:trPr>
          <w:trHeight w:val="435" w:hRule="atLeast"/>
          <w:jc w:val="center"/>
        </w:trPr>
        <w:tc>
          <w:tcPr>
            <w:tcW w:w="10286" w:type="dxa"/>
            <w:gridSpan w:val="10"/>
            <w:shd w:val="clear" w:color="auto" w:fill="auto"/>
            <w:vAlign w:val="center"/>
          </w:tcPr>
          <w:p>
            <w:pPr>
              <w:widowControl/>
              <w:jc w:val="center"/>
              <w:textAlignment w:val="center"/>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kern w:val="0"/>
                <w:sz w:val="32"/>
                <w:szCs w:val="32"/>
                <w:lang w:bidi="ar"/>
              </w:rPr>
              <w:t>支出决算表</w:t>
            </w:r>
          </w:p>
        </w:tc>
      </w:tr>
      <w:tr>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pPr>
              <w:jc w:val="right"/>
              <w:rPr>
                <w:rFonts w:ascii="Times New Roman" w:hAnsi="Times New Roman" w:eastAsia="仿宋_GB2312" w:cs="Times New Roman"/>
                <w:color w:val="000000"/>
                <w:sz w:val="24"/>
              </w:rPr>
            </w:pPr>
          </w:p>
        </w:tc>
        <w:tc>
          <w:tcPr>
            <w:tcW w:w="667" w:type="dxa"/>
            <w:gridSpan w:val="2"/>
            <w:shd w:val="clear" w:color="auto" w:fill="FFFFFF"/>
            <w:vAlign w:val="center"/>
          </w:tcPr>
          <w:p>
            <w:pPr>
              <w:jc w:val="right"/>
              <w:rPr>
                <w:rFonts w:ascii="Times New Roman" w:hAnsi="Times New Roman" w:eastAsia="仿宋_GB2312" w:cs="Times New Roman"/>
                <w:color w:val="000000"/>
                <w:sz w:val="24"/>
              </w:rPr>
            </w:pPr>
          </w:p>
        </w:tc>
        <w:tc>
          <w:tcPr>
            <w:tcW w:w="1630" w:type="dxa"/>
            <w:shd w:val="clear" w:color="auto" w:fill="FFFFFF"/>
            <w:vAlign w:val="center"/>
          </w:tcPr>
          <w:p>
            <w:pPr>
              <w:jc w:val="right"/>
              <w:rPr>
                <w:rFonts w:ascii="Times New Roman" w:hAnsi="Times New Roman" w:eastAsia="仿宋_GB2312" w:cs="Times New Roman"/>
                <w:color w:val="000000"/>
                <w:sz w:val="24"/>
              </w:rPr>
            </w:pPr>
          </w:p>
        </w:tc>
        <w:tc>
          <w:tcPr>
            <w:tcW w:w="1490" w:type="dxa"/>
            <w:shd w:val="clear" w:color="auto" w:fill="FFFFFF"/>
            <w:vAlign w:val="center"/>
          </w:tcPr>
          <w:p>
            <w:pPr>
              <w:jc w:val="right"/>
              <w:rPr>
                <w:rFonts w:ascii="Times New Roman" w:hAnsi="Times New Roman" w:eastAsia="仿宋_GB2312" w:cs="Times New Roman"/>
                <w:color w:val="000000"/>
                <w:sz w:val="24"/>
              </w:rPr>
            </w:pPr>
          </w:p>
        </w:tc>
        <w:tc>
          <w:tcPr>
            <w:tcW w:w="1556"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5"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公开03表</w:t>
            </w:r>
          </w:p>
        </w:tc>
      </w:tr>
      <w:tr>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3787" w:type="dxa"/>
            <w:gridSpan w:val="4"/>
            <w:shd w:val="clear" w:color="auto" w:fill="FFFFFF"/>
            <w:vAlign w:val="center"/>
          </w:tcPr>
          <w:p>
            <w:pPr>
              <w:wordWrap/>
              <w:jc w:val="left"/>
              <w:rPr>
                <w:rFonts w:hint="default" w:ascii="Times New Roman" w:hAnsi="Times New Roman" w:eastAsia="仿宋_GB2312" w:cs="Times New Roman"/>
                <w:color w:val="000000"/>
                <w:sz w:val="24"/>
                <w:lang w:val="en-US" w:eastAsia="zh-CN"/>
              </w:rPr>
            </w:pPr>
            <w:r>
              <w:rPr>
                <w:rFonts w:ascii="Times New Roman" w:hAnsi="Times New Roman" w:eastAsia="仿宋_GB2312" w:cs="Times New Roman"/>
                <w:color w:val="000000"/>
                <w:sz w:val="24"/>
                <w:szCs w:val="24"/>
              </w:rPr>
              <w:t xml:space="preserve"> </w:t>
            </w:r>
            <w:r>
              <w:rPr>
                <w:rFonts w:hint="eastAsia" w:ascii="Times New Roman" w:hAnsi="Times New Roman" w:eastAsia="仿宋_GB2312" w:cs="Times New Roman"/>
                <w:color w:val="000000"/>
                <w:sz w:val="24"/>
                <w:szCs w:val="24"/>
                <w:lang w:val="en-US" w:eastAsia="zh-CN"/>
              </w:rPr>
              <w:t>石家庄市桥西区民政局</w:t>
            </w:r>
          </w:p>
        </w:tc>
        <w:tc>
          <w:tcPr>
            <w:tcW w:w="1556" w:type="dxa"/>
            <w:shd w:val="clear" w:color="auto" w:fill="FFFFFF"/>
            <w:vAlign w:val="center"/>
          </w:tcPr>
          <w:p>
            <w:pPr>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2024年度</w:t>
            </w:r>
          </w:p>
        </w:tc>
        <w:tc>
          <w:tcPr>
            <w:tcW w:w="1069" w:type="dxa"/>
            <w:shd w:val="clear" w:color="auto" w:fill="FFFFFF"/>
            <w:vAlign w:val="center"/>
          </w:tcPr>
          <w:p>
            <w:pPr>
              <w:jc w:val="center"/>
              <w:rPr>
                <w:rFonts w:ascii="Times New Roman" w:hAnsi="Times New Roman" w:eastAsia="仿宋_GB2312" w:cs="Times New Roman"/>
                <w:color w:val="000000"/>
                <w:sz w:val="20"/>
                <w:szCs w:val="20"/>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5"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450" w:hRule="atLeast"/>
          <w:jc w:val="center"/>
        </w:trPr>
        <w:tc>
          <w:tcPr>
            <w:tcW w:w="296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49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本年支出合计</w:t>
            </w:r>
          </w:p>
        </w:tc>
        <w:tc>
          <w:tcPr>
            <w:tcW w:w="155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对附属单位补助支出</w:t>
            </w:r>
          </w:p>
        </w:tc>
      </w:tr>
      <w:tr>
        <w:tblPrEx>
          <w:tblCellMar>
            <w:top w:w="15" w:type="dxa"/>
            <w:left w:w="15" w:type="dxa"/>
            <w:bottom w:w="15" w:type="dxa"/>
            <w:right w:w="15" w:type="dxa"/>
          </w:tblCellMar>
        </w:tblPrEx>
        <w:trPr>
          <w:trHeight w:val="450" w:hRule="atLeast"/>
          <w:jc w:val="center"/>
        </w:trPr>
        <w:tc>
          <w:tcPr>
            <w:tcW w:w="1338"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63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49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5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trHeight w:val="450" w:hRule="atLeast"/>
          <w:jc w:val="center"/>
        </w:trPr>
        <w:tc>
          <w:tcPr>
            <w:tcW w:w="1338"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63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49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5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50" w:hRule="atLeast"/>
          <w:jc w:val="center"/>
        </w:trPr>
        <w:tc>
          <w:tcPr>
            <w:tcW w:w="296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155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r>
      <w:tr>
        <w:tblPrEx>
          <w:tblCellMar>
            <w:top w:w="15" w:type="dxa"/>
            <w:left w:w="15" w:type="dxa"/>
            <w:bottom w:w="15" w:type="dxa"/>
            <w:right w:w="15" w:type="dxa"/>
          </w:tblCellMar>
        </w:tblPrEx>
        <w:trPr>
          <w:trHeight w:val="450" w:hRule="atLeast"/>
          <w:jc w:val="center"/>
        </w:trPr>
        <w:tc>
          <w:tcPr>
            <w:tcW w:w="296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7779.65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542.49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7237.16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5668.48</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490.94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5177.53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435.90</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101.59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85.86</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85.86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10.99</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10.99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156.63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156.63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105.72</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105.72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35.43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35.43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15.48</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15.48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社会福利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2879.71</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2879.71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儿童福利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85.96</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85.96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老年福利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2793.75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2793.75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540.27</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540.27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531.32</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531.32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2081199</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其他残疾人事业支出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最低生活保障</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城市最低生活保障金支出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特困人员救助供养</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城市特困人员救助供养支出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其他城市生活救助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彩票公益金安排的支出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用于社会福利的彩票公益金支出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630" w:hRule="atLeast"/>
          <w:jc w:val="center"/>
        </w:trPr>
        <w:tc>
          <w:tcPr>
            <w:tcW w:w="10286" w:type="dxa"/>
            <w:gridSpan w:val="10"/>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注：本表反映部门本年度各项支出情况。</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653" w:type="dxa"/>
        <w:jc w:val="center"/>
        <w:tblLayout w:type="fixed"/>
        <w:tblCellMar>
          <w:top w:w="15" w:type="dxa"/>
          <w:left w:w="15" w:type="dxa"/>
          <w:bottom w:w="15" w:type="dxa"/>
          <w:right w:w="15" w:type="dxa"/>
        </w:tblCellMar>
      </w:tblPr>
      <w:tblGrid>
        <w:gridCol w:w="2390"/>
        <w:gridCol w:w="586"/>
        <w:gridCol w:w="839"/>
        <w:gridCol w:w="2468"/>
        <w:gridCol w:w="494"/>
        <w:gridCol w:w="670"/>
        <w:gridCol w:w="198"/>
        <w:gridCol w:w="970"/>
        <w:gridCol w:w="1028"/>
        <w:gridCol w:w="1010"/>
      </w:tblGrid>
      <w:tr>
        <w:tblPrEx>
          <w:tblCellMar>
            <w:top w:w="15" w:type="dxa"/>
            <w:left w:w="15" w:type="dxa"/>
            <w:bottom w:w="15" w:type="dxa"/>
            <w:right w:w="15" w:type="dxa"/>
          </w:tblCellMar>
        </w:tblPrEx>
        <w:trPr>
          <w:trHeight w:val="1069" w:hRule="atLeast"/>
          <w:jc w:val="center"/>
        </w:trPr>
        <w:tc>
          <w:tcPr>
            <w:tcW w:w="10653" w:type="dxa"/>
            <w:gridSpan w:val="10"/>
            <w:tcBorders>
              <w:top w:val="nil"/>
              <w:left w:val="nil"/>
              <w:bottom w:val="nil"/>
              <w:right w:val="nil"/>
            </w:tcBorders>
            <w:shd w:val="clear" w:color="auto" w:fill="FFFFFF"/>
            <w:vAlign w:val="bottom"/>
          </w:tcPr>
          <w:p>
            <w:pPr>
              <w:widowControl/>
              <w:ind w:firstLine="3534" w:firstLineChars="1100"/>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b/>
                <w:bCs/>
                <w:color w:val="000000"/>
                <w:kern w:val="0"/>
                <w:sz w:val="32"/>
                <w:szCs w:val="32"/>
                <w:lang w:bidi="ar"/>
              </w:rPr>
              <w:t>财政拨款收入支出决算总表</w:t>
            </w:r>
          </w:p>
        </w:tc>
      </w:tr>
      <w:tr>
        <w:tblPrEx>
          <w:tblCellMar>
            <w:top w:w="15" w:type="dxa"/>
            <w:left w:w="15" w:type="dxa"/>
            <w:bottom w:w="15" w:type="dxa"/>
            <w:right w:w="15" w:type="dxa"/>
          </w:tblCellMar>
        </w:tblPrEx>
        <w:trPr>
          <w:trHeight w:val="347" w:hRule="atLeast"/>
          <w:jc w:val="center"/>
        </w:trPr>
        <w:tc>
          <w:tcPr>
            <w:tcW w:w="3815" w:type="dxa"/>
            <w:gridSpan w:val="3"/>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4"/>
                <w:szCs w:val="24"/>
                <w:lang w:bidi="ar"/>
              </w:rPr>
            </w:pPr>
          </w:p>
        </w:tc>
        <w:tc>
          <w:tcPr>
            <w:tcW w:w="6838" w:type="dxa"/>
            <w:gridSpan w:val="7"/>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0"/>
                <w:szCs w:val="20"/>
                <w:lang w:bidi="ar"/>
              </w:rPr>
              <w:t>公开04表</w:t>
            </w:r>
          </w:p>
        </w:tc>
      </w:tr>
      <w:tr>
        <w:tblPrEx>
          <w:tblCellMar>
            <w:top w:w="15" w:type="dxa"/>
            <w:left w:w="15" w:type="dxa"/>
            <w:bottom w:w="15" w:type="dxa"/>
            <w:right w:w="15" w:type="dxa"/>
          </w:tblCellMar>
        </w:tblPrEx>
        <w:trPr>
          <w:trHeight w:val="388" w:hRule="atLeast"/>
          <w:jc w:val="center"/>
        </w:trPr>
        <w:tc>
          <w:tcPr>
            <w:tcW w:w="3815" w:type="dxa"/>
            <w:gridSpan w:val="3"/>
            <w:tcBorders>
              <w:top w:val="nil"/>
              <w:left w:val="nil"/>
              <w:bottom w:val="nil"/>
              <w:right w:val="nil"/>
            </w:tcBorders>
            <w:shd w:val="clear" w:color="auto" w:fill="FFFFFF"/>
            <w:vAlign w:val="center"/>
          </w:tcPr>
          <w:p>
            <w:pPr>
              <w:widowControl/>
              <w:jc w:val="lef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石家庄市桥西区民政局</w:t>
            </w:r>
            <w:r>
              <w:rPr>
                <w:rFonts w:ascii="Times New Roman" w:hAnsi="Times New Roman" w:eastAsia="仿宋_GB2312" w:cs="Times New Roman"/>
                <w:color w:val="000000"/>
                <w:kern w:val="0"/>
                <w:sz w:val="20"/>
                <w:szCs w:val="20"/>
                <w:lang w:bidi="ar"/>
              </w:rPr>
              <w:t xml:space="preserve">                    </w:t>
            </w:r>
          </w:p>
        </w:tc>
        <w:tc>
          <w:tcPr>
            <w:tcW w:w="3632" w:type="dxa"/>
            <w:gridSpan w:val="3"/>
            <w:tcBorders>
              <w:top w:val="nil"/>
              <w:left w:val="nil"/>
              <w:bottom w:val="nil"/>
              <w:right w:val="nil"/>
            </w:tcBorders>
            <w:shd w:val="clear" w:color="auto" w:fill="FFFFFF"/>
            <w:vAlign w:val="center"/>
          </w:tcPr>
          <w:p>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2024年度</w:t>
            </w:r>
          </w:p>
        </w:tc>
        <w:tc>
          <w:tcPr>
            <w:tcW w:w="3206" w:type="dxa"/>
            <w:gridSpan w:val="4"/>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535" w:hRule="atLeast"/>
          <w:jc w:val="center"/>
        </w:trPr>
        <w:tc>
          <w:tcPr>
            <w:tcW w:w="381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6838"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tblPrEx>
          <w:tblCellMar>
            <w:top w:w="15" w:type="dxa"/>
            <w:left w:w="15" w:type="dxa"/>
            <w:bottom w:w="15" w:type="dxa"/>
            <w:right w:w="15" w:type="dxa"/>
          </w:tblCellMar>
        </w:tblPrEx>
        <w:trPr>
          <w:trHeight w:val="997"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金额</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合计</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一般公共预算财政拨款</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政府性基金预算财政拨款</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国有资本经营预算财政拨款</w:t>
            </w:r>
          </w:p>
        </w:tc>
      </w:tr>
      <w:tr>
        <w:tblPrEx>
          <w:tblCellMar>
            <w:top w:w="15" w:type="dxa"/>
            <w:left w:w="15" w:type="dxa"/>
            <w:bottom w:w="15" w:type="dxa"/>
            <w:right w:w="15" w:type="dxa"/>
          </w:tblCellMar>
        </w:tblPrEx>
        <w:trPr>
          <w:trHeight w:val="535"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5689.68</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18"/>
                <w:szCs w:val="18"/>
              </w:rPr>
              <w:t>七、文化旅游体育与传媒支出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5668.48</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5668.48</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22.34</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22.34</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十五、商业服务业等支出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47</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十六、金融支出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48</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十七、援助其他地区支出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49</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十八、自然资源海洋气象等支出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50</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十九、住房保障支出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51</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29.21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29.21</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二十、粮油物资储备支出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52</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140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二十一、国有资本经营预算支出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53</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二十二、灾害防治及应急管理支出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54</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二十三、其他支出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55</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二十四、债务还本支出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56</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二十五、债务付息支出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57</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二十六、抗疫特别国债安排的支出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58</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本年收入合计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7749.31</w:t>
            </w: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本年支出合计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59</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7779.65</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5720.02</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年初财政拨款结转和结余</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84.31</w:t>
            </w: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年末财政拨款结转和结余</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60</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53.96</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53.96</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 w:val="20"/>
                <w:szCs w:val="20"/>
                <w:lang w:bidi="ar"/>
              </w:rPr>
            </w:pPr>
            <w:r>
              <w:rPr>
                <w:rFonts w:hint="eastAsia" w:ascii="Times New Roman" w:hAnsi="Times New Roman" w:eastAsia="仿宋_GB2312" w:cs="Times New Roman"/>
                <w:sz w:val="18"/>
                <w:szCs w:val="21"/>
                <w:lang w:val="en-US" w:eastAsia="zh-CN"/>
              </w:rPr>
              <w:t>一、</w:t>
            </w:r>
            <w:r>
              <w:rPr>
                <w:rFonts w:ascii="Times New Roman" w:hAnsi="Times New Roman" w:eastAsia="仿宋_GB2312" w:cs="Times New Roman"/>
                <w:sz w:val="18"/>
                <w:szCs w:val="21"/>
              </w:rPr>
              <w:t>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84.31</w:t>
            </w: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61</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 w:val="20"/>
                <w:szCs w:val="20"/>
                <w:lang w:bidi="ar"/>
              </w:rPr>
            </w:pPr>
            <w:r>
              <w:rPr>
                <w:rFonts w:hint="eastAsia" w:ascii="Times New Roman" w:hAnsi="Times New Roman" w:eastAsia="仿宋_GB2312" w:cs="Times New Roman"/>
                <w:sz w:val="18"/>
                <w:szCs w:val="21"/>
                <w:lang w:val="en-US" w:eastAsia="zh-CN"/>
              </w:rPr>
              <w:t>二、</w:t>
            </w:r>
            <w:r>
              <w:rPr>
                <w:rFonts w:ascii="Times New Roman" w:hAnsi="Times New Roman" w:eastAsia="仿宋_GB2312" w:cs="Times New Roman"/>
                <w:sz w:val="18"/>
                <w:szCs w:val="21"/>
              </w:rPr>
              <w:t>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62</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Times New Roman" w:hAnsi="Times New Roman" w:eastAsia="仿宋_GB2312" w:cs="Times New Roman"/>
                <w:b/>
                <w:color w:val="000000"/>
                <w:kern w:val="0"/>
                <w:sz w:val="20"/>
                <w:szCs w:val="20"/>
                <w:lang w:bidi="ar"/>
              </w:rPr>
            </w:pPr>
            <w:r>
              <w:rPr>
                <w:rFonts w:hint="eastAsia" w:ascii="Times New Roman" w:hAnsi="Times New Roman" w:eastAsia="仿宋_GB2312" w:cs="Times New Roman"/>
                <w:sz w:val="16"/>
                <w:szCs w:val="20"/>
                <w:lang w:val="en-US" w:eastAsia="zh-CN"/>
              </w:rPr>
              <w:t>三、</w:t>
            </w:r>
            <w:r>
              <w:rPr>
                <w:rFonts w:ascii="Times New Roman" w:hAnsi="Times New Roman" w:eastAsia="仿宋_GB2312" w:cs="Times New Roman"/>
                <w:sz w:val="16"/>
                <w:szCs w:val="20"/>
              </w:rPr>
              <w:t>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31</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63</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总计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rPr>
            </w:pPr>
            <w:r>
              <w:rPr>
                <w:rFonts w:ascii="Times New Roman" w:hAnsi="Times New Roman" w:eastAsia="仿宋_GB2312" w:cs="Times New Roman"/>
              </w:rPr>
              <w:t>32</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7833.62</w:t>
            </w: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总计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64</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7833.62</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eastAsia" w:ascii="Times New Roman" w:hAnsi="Times New Roman" w:eastAsia="宋体" w:cs="Times New Roman"/>
                <w:i w:val="0"/>
                <w:iCs w:val="0"/>
                <w:color w:val="000000"/>
                <w:kern w:val="2"/>
                <w:sz w:val="20"/>
                <w:szCs w:val="20"/>
                <w:highlight w:val="none"/>
                <w:u w:val="none"/>
                <w:lang w:val="en-US" w:eastAsia="zh-CN" w:bidi="ar-SA"/>
              </w:rPr>
              <w:t>5773.99</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843" w:hRule="atLeast"/>
          <w:jc w:val="center"/>
        </w:trPr>
        <w:tc>
          <w:tcPr>
            <w:tcW w:w="10653" w:type="dxa"/>
            <w:gridSpan w:val="10"/>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注：本表反映部门本年度一般公共预算财政拨款、政府性基金预算财政拨款和国有资本经营预算财政拨款的总收支和年末结转结余情况。</w:t>
            </w:r>
          </w:p>
        </w:tc>
      </w:tr>
    </w:tbl>
    <w:p>
      <w:pPr>
        <w:widowControl/>
        <w:jc w:val="center"/>
        <w:textAlignment w:val="center"/>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color w:val="000000"/>
          <w:kern w:val="0"/>
          <w:sz w:val="32"/>
          <w:szCs w:val="32"/>
          <w:lang w:bidi="ar"/>
        </w:rPr>
        <w:br w:type="page"/>
      </w:r>
    </w:p>
    <w:tbl>
      <w:tblPr>
        <w:tblStyle w:val="8"/>
        <w:tblW w:w="9959" w:type="dxa"/>
        <w:jc w:val="center"/>
        <w:tblLayout w:type="fixed"/>
        <w:tblCellMar>
          <w:top w:w="15" w:type="dxa"/>
          <w:left w:w="15" w:type="dxa"/>
          <w:bottom w:w="15" w:type="dxa"/>
          <w:right w:w="15" w:type="dxa"/>
        </w:tblCellMar>
      </w:tblPr>
      <w:tblGrid>
        <w:gridCol w:w="602"/>
        <w:gridCol w:w="1085"/>
        <w:gridCol w:w="2337"/>
        <w:gridCol w:w="1925"/>
        <w:gridCol w:w="1980"/>
        <w:gridCol w:w="2030"/>
      </w:tblGrid>
      <w:tr>
        <w:tblPrEx>
          <w:tblCellMar>
            <w:top w:w="15" w:type="dxa"/>
            <w:left w:w="15" w:type="dxa"/>
            <w:bottom w:w="15" w:type="dxa"/>
            <w:right w:w="15" w:type="dxa"/>
          </w:tblCellMar>
        </w:tblPrEx>
        <w:trPr>
          <w:trHeight w:val="628" w:hRule="atLeast"/>
          <w:jc w:val="center"/>
        </w:trPr>
        <w:tc>
          <w:tcPr>
            <w:tcW w:w="9959" w:type="dxa"/>
            <w:gridSpan w:val="6"/>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一般公共预算财政拨款支出决算表</w:t>
            </w:r>
          </w:p>
        </w:tc>
      </w:tr>
      <w:tr>
        <w:tblPrEx>
          <w:tblCellMar>
            <w:top w:w="15" w:type="dxa"/>
            <w:left w:w="15" w:type="dxa"/>
            <w:bottom w:w="15" w:type="dxa"/>
            <w:right w:w="15" w:type="dxa"/>
          </w:tblCellMar>
        </w:tblPrEx>
        <w:trPr>
          <w:trHeight w:val="286" w:hRule="atLeast"/>
          <w:jc w:val="center"/>
        </w:trPr>
        <w:tc>
          <w:tcPr>
            <w:tcW w:w="602" w:type="dxa"/>
            <w:shd w:val="clear" w:color="auto" w:fill="FFFFFF"/>
            <w:vAlign w:val="center"/>
          </w:tcPr>
          <w:p>
            <w:pPr>
              <w:jc w:val="center"/>
              <w:rPr>
                <w:rFonts w:ascii="Times New Roman" w:hAnsi="Times New Roman" w:eastAsia="仿宋_GB2312" w:cs="Times New Roman"/>
                <w:color w:val="000000"/>
                <w:sz w:val="20"/>
                <w:szCs w:val="20"/>
              </w:rPr>
            </w:pPr>
          </w:p>
        </w:tc>
        <w:tc>
          <w:tcPr>
            <w:tcW w:w="1085" w:type="dxa"/>
            <w:shd w:val="clear" w:color="auto" w:fill="FFFFFF"/>
            <w:vAlign w:val="center"/>
          </w:tcPr>
          <w:p>
            <w:pPr>
              <w:jc w:val="center"/>
              <w:rPr>
                <w:rFonts w:ascii="Times New Roman" w:hAnsi="Times New Roman" w:eastAsia="仿宋_GB2312" w:cs="Times New Roman"/>
                <w:color w:val="000000"/>
                <w:sz w:val="20"/>
                <w:szCs w:val="20"/>
              </w:rPr>
            </w:pPr>
          </w:p>
        </w:tc>
        <w:tc>
          <w:tcPr>
            <w:tcW w:w="2337" w:type="dxa"/>
            <w:shd w:val="clear" w:color="auto" w:fill="FFFFFF"/>
            <w:vAlign w:val="center"/>
          </w:tcPr>
          <w:p>
            <w:pPr>
              <w:jc w:val="center"/>
              <w:rPr>
                <w:rFonts w:ascii="Times New Roman" w:hAnsi="Times New Roman" w:eastAsia="仿宋_GB2312" w:cs="Times New Roman"/>
                <w:color w:val="000000"/>
                <w:sz w:val="20"/>
                <w:szCs w:val="20"/>
              </w:rPr>
            </w:pPr>
          </w:p>
        </w:tc>
        <w:tc>
          <w:tcPr>
            <w:tcW w:w="1925" w:type="dxa"/>
            <w:shd w:val="clear" w:color="auto" w:fill="FFFFFF"/>
            <w:vAlign w:val="center"/>
          </w:tcPr>
          <w:p>
            <w:pPr>
              <w:rPr>
                <w:rFonts w:ascii="Times New Roman" w:hAnsi="Times New Roman" w:eastAsia="仿宋_GB2312" w:cs="Times New Roman"/>
                <w:color w:val="000000"/>
                <w:sz w:val="20"/>
                <w:szCs w:val="20"/>
              </w:rPr>
            </w:pPr>
          </w:p>
        </w:tc>
        <w:tc>
          <w:tcPr>
            <w:tcW w:w="1980" w:type="dxa"/>
            <w:shd w:val="clear" w:color="auto" w:fill="FFFFFF"/>
            <w:vAlign w:val="center"/>
          </w:tcPr>
          <w:p>
            <w:pPr>
              <w:rPr>
                <w:rFonts w:ascii="Times New Roman" w:hAnsi="Times New Roman" w:eastAsia="仿宋_GB2312" w:cs="Times New Roman"/>
                <w:color w:val="000000"/>
                <w:sz w:val="20"/>
                <w:szCs w:val="20"/>
              </w:rPr>
            </w:pPr>
          </w:p>
        </w:tc>
        <w:tc>
          <w:tcPr>
            <w:tcW w:w="203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w:t>
            </w:r>
            <w:r>
              <w:rPr>
                <w:rStyle w:val="16"/>
                <w:rFonts w:hint="default" w:ascii="Times New Roman" w:hAnsi="Times New Roman" w:eastAsia="仿宋_GB2312" w:cs="Times New Roman"/>
                <w:lang w:bidi="ar"/>
              </w:rPr>
              <w:t>5表</w:t>
            </w:r>
          </w:p>
        </w:tc>
      </w:tr>
      <w:tr>
        <w:tblPrEx>
          <w:tblCellMar>
            <w:top w:w="15" w:type="dxa"/>
            <w:left w:w="15" w:type="dxa"/>
            <w:bottom w:w="15" w:type="dxa"/>
            <w:right w:w="15" w:type="dxa"/>
          </w:tblCellMar>
        </w:tblPrEx>
        <w:trPr>
          <w:trHeight w:val="327" w:hRule="atLeast"/>
          <w:jc w:val="center"/>
        </w:trPr>
        <w:tc>
          <w:tcPr>
            <w:tcW w:w="602" w:type="dxa"/>
            <w:shd w:val="clear" w:color="auto" w:fill="FFFFFF"/>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3422" w:type="dxa"/>
            <w:gridSpan w:val="2"/>
            <w:shd w:val="clear" w:color="auto" w:fill="FFFFFF"/>
            <w:vAlign w:val="center"/>
          </w:tcPr>
          <w:p>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0"/>
                <w:szCs w:val="20"/>
                <w:lang w:val="en-US" w:eastAsia="zh-CN"/>
              </w:rPr>
              <w:t>石家庄市桥西区民政局</w:t>
            </w:r>
            <w:r>
              <w:rPr>
                <w:rFonts w:ascii="Times New Roman" w:hAnsi="Times New Roman" w:eastAsia="仿宋_GB2312" w:cs="Times New Roman"/>
                <w:color w:val="000000"/>
                <w:sz w:val="20"/>
                <w:szCs w:val="20"/>
              </w:rPr>
              <w:t xml:space="preserve">             </w:t>
            </w:r>
          </w:p>
        </w:tc>
        <w:tc>
          <w:tcPr>
            <w:tcW w:w="1925" w:type="dxa"/>
            <w:shd w:val="clear" w:color="auto" w:fill="FFFFFF"/>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980" w:type="dxa"/>
            <w:shd w:val="clear" w:color="auto" w:fill="FFFFFF"/>
            <w:vAlign w:val="center"/>
          </w:tcPr>
          <w:p>
            <w:pPr>
              <w:rPr>
                <w:rFonts w:ascii="Times New Roman" w:hAnsi="Times New Roman" w:eastAsia="仿宋_GB2312" w:cs="Times New Roman"/>
                <w:color w:val="000000"/>
                <w:sz w:val="20"/>
                <w:szCs w:val="20"/>
              </w:rPr>
            </w:pPr>
          </w:p>
        </w:tc>
        <w:tc>
          <w:tcPr>
            <w:tcW w:w="203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38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项 </w:t>
            </w:r>
            <w:r>
              <w:rPr>
                <w:rStyle w:val="17"/>
                <w:rFonts w:hint="default" w:ascii="Times New Roman" w:hAnsi="Times New Roman" w:eastAsia="仿宋_GB2312" w:cs="Times New Roman"/>
                <w:b/>
                <w:lang w:bidi="ar"/>
              </w:rPr>
              <w:t xml:space="preserve">   </w:t>
            </w:r>
            <w:r>
              <w:rPr>
                <w:rStyle w:val="18"/>
                <w:rFonts w:hint="default" w:ascii="Times New Roman" w:hAnsi="Times New Roman" w:eastAsia="仿宋_GB2312" w:cs="Times New Roman"/>
                <w:b/>
                <w:sz w:val="22"/>
                <w:szCs w:val="22"/>
                <w:lang w:bidi="ar"/>
              </w:rPr>
              <w:t>目</w:t>
            </w:r>
          </w:p>
        </w:tc>
        <w:tc>
          <w:tcPr>
            <w:tcW w:w="59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本年支出</w:t>
            </w:r>
          </w:p>
        </w:tc>
      </w:tr>
      <w:tr>
        <w:tblPrEx>
          <w:tblCellMar>
            <w:top w:w="15" w:type="dxa"/>
            <w:left w:w="15" w:type="dxa"/>
            <w:bottom w:w="15" w:type="dxa"/>
            <w:right w:w="15" w:type="dxa"/>
          </w:tblCellMar>
        </w:tblPrEx>
        <w:trPr>
          <w:trHeight w:val="360" w:hRule="atLeast"/>
          <w:jc w:val="center"/>
        </w:trPr>
        <w:tc>
          <w:tcPr>
            <w:tcW w:w="16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3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19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小计</w:t>
            </w:r>
          </w:p>
        </w:tc>
        <w:tc>
          <w:tcPr>
            <w:tcW w:w="19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基本支出  </w:t>
            </w:r>
          </w:p>
        </w:tc>
        <w:tc>
          <w:tcPr>
            <w:tcW w:w="20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项目支出</w:t>
            </w:r>
          </w:p>
        </w:tc>
      </w:tr>
      <w:tr>
        <w:tblPrEx>
          <w:tblCellMar>
            <w:top w:w="15" w:type="dxa"/>
            <w:left w:w="15" w:type="dxa"/>
            <w:bottom w:w="15" w:type="dxa"/>
            <w:right w:w="15" w:type="dxa"/>
          </w:tblCellMar>
        </w:tblPrEx>
        <w:trPr>
          <w:trHeight w:val="360"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9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0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12"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9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0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5720.02</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542.49</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5177.53</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5668.48</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490.94</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5177.53</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435.90</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101.59</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85.86</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85.86</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10.99</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10.99</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4.73</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156.63</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156.63</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105.72</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105.72</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35.43</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35.43</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15.48</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15.48</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社会福利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2879.71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2879.71</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儿童福利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85.96</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85.96</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老年福利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2793.75</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2793.75</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540.27</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540.27</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531.32</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531.32</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其他残疾人事业支出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8.95</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最低生活保障</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城市最低生活保障金支出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特困人员救助供养</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城市特困人员救助供养支出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其他城市生活救助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803" w:hRule="atLeast"/>
          <w:jc w:val="center"/>
        </w:trPr>
        <w:tc>
          <w:tcPr>
            <w:tcW w:w="9959" w:type="dxa"/>
            <w:gridSpan w:val="6"/>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注：本表反映部门本年度一般公共预算财政拨款支出情况。</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760" w:type="dxa"/>
        <w:jc w:val="center"/>
        <w:tblLayout w:type="fixed"/>
        <w:tblCellMar>
          <w:top w:w="15" w:type="dxa"/>
          <w:left w:w="15" w:type="dxa"/>
          <w:bottom w:w="15" w:type="dxa"/>
          <w:right w:w="15" w:type="dxa"/>
        </w:tblCellMar>
      </w:tblPr>
      <w:tblGrid>
        <w:gridCol w:w="663"/>
        <w:gridCol w:w="2202"/>
        <w:gridCol w:w="782"/>
        <w:gridCol w:w="634"/>
        <w:gridCol w:w="1871"/>
        <w:gridCol w:w="721"/>
        <w:gridCol w:w="615"/>
        <w:gridCol w:w="2543"/>
        <w:gridCol w:w="729"/>
      </w:tblGrid>
      <w:tr>
        <w:tblPrEx>
          <w:tblCellMar>
            <w:top w:w="15" w:type="dxa"/>
            <w:left w:w="15" w:type="dxa"/>
            <w:bottom w:w="15" w:type="dxa"/>
            <w:right w:w="15" w:type="dxa"/>
          </w:tblCellMar>
        </w:tblPrEx>
        <w:trPr>
          <w:trHeight w:val="619" w:hRule="atLeast"/>
          <w:jc w:val="center"/>
        </w:trPr>
        <w:tc>
          <w:tcPr>
            <w:tcW w:w="10760" w:type="dxa"/>
            <w:gridSpan w:val="9"/>
            <w:shd w:val="clear" w:color="auto" w:fill="FFFFFF"/>
            <w:vAlign w:val="center"/>
          </w:tcPr>
          <w:p>
            <w:pPr>
              <w:widowControl/>
              <w:tabs>
                <w:tab w:val="left" w:pos="3809"/>
              </w:tabs>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b/>
                <w:bCs/>
                <w:color w:val="000000"/>
                <w:kern w:val="0"/>
                <w:sz w:val="32"/>
                <w:szCs w:val="32"/>
                <w:lang w:bidi="ar"/>
              </w:rPr>
              <w:t>一般公共预算财政拨款基本支出决算</w:t>
            </w:r>
            <w:r>
              <w:rPr>
                <w:rStyle w:val="19"/>
                <w:rFonts w:hint="default" w:ascii="Times New Roman" w:hAnsi="Times New Roman" w:eastAsia="仿宋_GB2312" w:cs="Times New Roman"/>
                <w:b/>
                <w:bCs/>
                <w:lang w:bidi="ar"/>
              </w:rPr>
              <w:t>明细</w:t>
            </w:r>
            <w:r>
              <w:rPr>
                <w:rStyle w:val="20"/>
                <w:rFonts w:hint="default" w:ascii="Times New Roman" w:hAnsi="Times New Roman" w:eastAsia="仿宋_GB2312" w:cs="Times New Roman"/>
                <w:b/>
                <w:bCs/>
                <w:lang w:bidi="ar"/>
              </w:rPr>
              <w:t>表</w:t>
            </w:r>
          </w:p>
        </w:tc>
      </w:tr>
      <w:tr>
        <w:tblPrEx>
          <w:tblCellMar>
            <w:top w:w="15" w:type="dxa"/>
            <w:left w:w="15" w:type="dxa"/>
            <w:bottom w:w="15" w:type="dxa"/>
            <w:right w:w="15" w:type="dxa"/>
          </w:tblCellMar>
        </w:tblPrEx>
        <w:trPr>
          <w:trHeight w:val="211" w:hRule="atLeast"/>
          <w:jc w:val="center"/>
        </w:trPr>
        <w:tc>
          <w:tcPr>
            <w:tcW w:w="663" w:type="dxa"/>
            <w:shd w:val="clear" w:color="auto" w:fill="FFFFFF"/>
            <w:vAlign w:val="center"/>
          </w:tcPr>
          <w:p>
            <w:pPr>
              <w:jc w:val="center"/>
              <w:rPr>
                <w:rFonts w:ascii="Times New Roman" w:hAnsi="Times New Roman" w:eastAsia="仿宋_GB2312" w:cs="Times New Roman"/>
                <w:color w:val="000000"/>
                <w:sz w:val="20"/>
                <w:szCs w:val="20"/>
              </w:rPr>
            </w:pPr>
          </w:p>
        </w:tc>
        <w:tc>
          <w:tcPr>
            <w:tcW w:w="2202" w:type="dxa"/>
            <w:shd w:val="clear" w:color="auto" w:fill="FFFFFF"/>
            <w:vAlign w:val="center"/>
          </w:tcPr>
          <w:p>
            <w:pPr>
              <w:jc w:val="center"/>
              <w:rPr>
                <w:rFonts w:ascii="Times New Roman" w:hAnsi="Times New Roman" w:eastAsia="仿宋_GB2312" w:cs="Times New Roman"/>
                <w:color w:val="000000"/>
                <w:sz w:val="20"/>
                <w:szCs w:val="20"/>
              </w:rPr>
            </w:pPr>
          </w:p>
        </w:tc>
        <w:tc>
          <w:tcPr>
            <w:tcW w:w="782" w:type="dxa"/>
            <w:shd w:val="clear" w:color="auto" w:fill="FFFFFF"/>
            <w:vAlign w:val="center"/>
          </w:tcPr>
          <w:p>
            <w:pPr>
              <w:jc w:val="center"/>
              <w:rPr>
                <w:rFonts w:ascii="Times New Roman" w:hAnsi="Times New Roman" w:eastAsia="仿宋_GB2312" w:cs="Times New Roman"/>
                <w:color w:val="000000"/>
                <w:sz w:val="20"/>
                <w:szCs w:val="20"/>
              </w:rPr>
            </w:pPr>
          </w:p>
        </w:tc>
        <w:tc>
          <w:tcPr>
            <w:tcW w:w="634" w:type="dxa"/>
            <w:shd w:val="clear" w:color="auto" w:fill="FFFFFF"/>
            <w:vAlign w:val="center"/>
          </w:tcPr>
          <w:p>
            <w:pPr>
              <w:rPr>
                <w:rFonts w:ascii="Times New Roman" w:hAnsi="Times New Roman" w:eastAsia="仿宋_GB2312" w:cs="Times New Roman"/>
                <w:color w:val="000000"/>
                <w:sz w:val="20"/>
                <w:szCs w:val="20"/>
              </w:rPr>
            </w:pPr>
          </w:p>
        </w:tc>
        <w:tc>
          <w:tcPr>
            <w:tcW w:w="1871" w:type="dxa"/>
            <w:shd w:val="clear" w:color="auto" w:fill="FFFFFF"/>
            <w:vAlign w:val="center"/>
          </w:tcPr>
          <w:p>
            <w:pPr>
              <w:rPr>
                <w:rFonts w:ascii="Times New Roman" w:hAnsi="Times New Roman" w:eastAsia="仿宋_GB2312" w:cs="Times New Roman"/>
                <w:color w:val="000000"/>
                <w:sz w:val="20"/>
                <w:szCs w:val="20"/>
              </w:rPr>
            </w:pPr>
          </w:p>
        </w:tc>
        <w:tc>
          <w:tcPr>
            <w:tcW w:w="721" w:type="dxa"/>
            <w:shd w:val="clear" w:color="auto" w:fill="FFFFFF"/>
            <w:vAlign w:val="center"/>
          </w:tcPr>
          <w:p>
            <w:pPr>
              <w:rPr>
                <w:rFonts w:ascii="Times New Roman" w:hAnsi="Times New Roman" w:eastAsia="仿宋_GB2312" w:cs="Times New Roman"/>
                <w:color w:val="000000"/>
                <w:sz w:val="20"/>
                <w:szCs w:val="20"/>
              </w:rPr>
            </w:pPr>
          </w:p>
        </w:tc>
        <w:tc>
          <w:tcPr>
            <w:tcW w:w="615" w:type="dxa"/>
            <w:shd w:val="clear" w:color="auto" w:fill="FFFFFF"/>
            <w:vAlign w:val="center"/>
          </w:tcPr>
          <w:p>
            <w:pPr>
              <w:rPr>
                <w:rFonts w:ascii="Times New Roman" w:hAnsi="Times New Roman" w:eastAsia="仿宋_GB2312" w:cs="Times New Roman"/>
                <w:color w:val="000000"/>
                <w:sz w:val="20"/>
                <w:szCs w:val="20"/>
              </w:rPr>
            </w:pPr>
          </w:p>
        </w:tc>
        <w:tc>
          <w:tcPr>
            <w:tcW w:w="3272" w:type="dxa"/>
            <w:gridSpan w:val="2"/>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公开06表</w:t>
            </w:r>
          </w:p>
        </w:tc>
      </w:tr>
      <w:tr>
        <w:tblPrEx>
          <w:tblCellMar>
            <w:top w:w="15" w:type="dxa"/>
            <w:left w:w="15" w:type="dxa"/>
            <w:bottom w:w="15" w:type="dxa"/>
            <w:right w:w="15" w:type="dxa"/>
          </w:tblCellMar>
        </w:tblPrEx>
        <w:trPr>
          <w:trHeight w:val="266" w:hRule="atLeast"/>
          <w:jc w:val="center"/>
        </w:trPr>
        <w:tc>
          <w:tcPr>
            <w:tcW w:w="663" w:type="dxa"/>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2202" w:type="dxa"/>
            <w:shd w:val="clear" w:color="auto" w:fill="auto"/>
            <w:vAlign w:val="center"/>
          </w:tcPr>
          <w:p>
            <w:pPr>
              <w:rPr>
                <w:rFonts w:hint="eastAsia"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石家庄市桥西区民政局</w:t>
            </w:r>
          </w:p>
        </w:tc>
        <w:tc>
          <w:tcPr>
            <w:tcW w:w="782" w:type="dxa"/>
            <w:shd w:val="clear" w:color="auto" w:fill="auto"/>
            <w:vAlign w:val="center"/>
          </w:tcPr>
          <w:p>
            <w:pPr>
              <w:rPr>
                <w:rFonts w:ascii="Times New Roman" w:hAnsi="Times New Roman" w:eastAsia="仿宋_GB2312" w:cs="Times New Roman"/>
                <w:color w:val="000000"/>
                <w:sz w:val="20"/>
                <w:szCs w:val="20"/>
              </w:rPr>
            </w:pPr>
          </w:p>
        </w:tc>
        <w:tc>
          <w:tcPr>
            <w:tcW w:w="634" w:type="dxa"/>
            <w:shd w:val="clear" w:color="auto" w:fill="auto"/>
            <w:vAlign w:val="center"/>
          </w:tcPr>
          <w:p>
            <w:pPr>
              <w:rPr>
                <w:rFonts w:ascii="Times New Roman" w:hAnsi="Times New Roman" w:eastAsia="仿宋_GB2312" w:cs="Times New Roman"/>
                <w:color w:val="000000"/>
                <w:sz w:val="20"/>
                <w:szCs w:val="20"/>
              </w:rPr>
            </w:pPr>
          </w:p>
        </w:tc>
        <w:tc>
          <w:tcPr>
            <w:tcW w:w="1871" w:type="dxa"/>
            <w:shd w:val="clear" w:color="auto" w:fill="auto"/>
            <w:vAlign w:val="center"/>
          </w:tcPr>
          <w:p>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721" w:type="dxa"/>
            <w:shd w:val="clear" w:color="auto" w:fill="auto"/>
            <w:vAlign w:val="center"/>
          </w:tcPr>
          <w:p>
            <w:pPr>
              <w:rPr>
                <w:rFonts w:ascii="Times New Roman" w:hAnsi="Times New Roman" w:eastAsia="仿宋_GB2312" w:cs="Times New Roman"/>
                <w:color w:val="000000"/>
                <w:sz w:val="20"/>
                <w:szCs w:val="20"/>
              </w:rPr>
            </w:pPr>
          </w:p>
        </w:tc>
        <w:tc>
          <w:tcPr>
            <w:tcW w:w="615" w:type="dxa"/>
            <w:shd w:val="clear" w:color="auto" w:fill="auto"/>
            <w:vAlign w:val="center"/>
          </w:tcPr>
          <w:p>
            <w:pPr>
              <w:rPr>
                <w:rFonts w:ascii="Times New Roman" w:hAnsi="Times New Roman" w:eastAsia="仿宋_GB2312" w:cs="Times New Roman"/>
                <w:color w:val="000000"/>
                <w:sz w:val="20"/>
                <w:szCs w:val="20"/>
              </w:rPr>
            </w:pPr>
          </w:p>
        </w:tc>
        <w:tc>
          <w:tcPr>
            <w:tcW w:w="3272" w:type="dxa"/>
            <w:gridSpan w:val="2"/>
            <w:shd w:val="clear" w:color="auto" w:fill="auto"/>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工资福利支出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404.68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35.81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债务利息及费用支出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基本工资</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78.67</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办公费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3.22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国内债务付息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30102</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津贴补贴</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100.77</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印刷费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国外债务付息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30103</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奖金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31.73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咨询费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30106</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伙食补助费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手续费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房屋建筑物购建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30107</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绩效工资</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68.21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水费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0.20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办公设备购置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30108</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5"/>
                <w:szCs w:val="15"/>
                <w:lang w:bidi="ar"/>
              </w:rPr>
              <w:t>机关事业单位基本养老保险缴费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35.43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0.80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专用设备购置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30109</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职业年金缴费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15.48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邮电费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9.51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31005</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基础设施建设</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30110</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职工基本医疗保险缴费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22.34</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取暖费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31006</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大型修缮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公务员医疗补助缴费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物业管理费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信息网络及软件购置更新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30112</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其他社会保障缴费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6.21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差旅费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0.54</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物资储备</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30113</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住房公积金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29.21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因公出国（境）费用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土地补偿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30114</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医疗费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维修（护）费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1.83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安置补助</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30199</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其他工资福利支出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16.63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租赁费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地上附着物和青苗补偿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对个人和家庭的补助</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102.00</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会议费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拆迁补偿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离休费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培训费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0.24</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公务用车购置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30302</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退休费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101.08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公务接待费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其他交通工具购置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30303</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退职（役）费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专用材料费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文物和陈列品购置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30304</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抚恤金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被装购置费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无形资产购置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30305</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生活补助</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专用燃料费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30306</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救济费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劳务费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30307</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医疗费补助</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委托业务费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国家赔偿费用支出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30308</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助学金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工会经费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2.63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对民间非营利组织和群众性自治组织补贴</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30309</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奖励金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0.92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福利费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1.70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经常性赠与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30310</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个人农业生产补贴</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公务用车运行维护费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2.20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代缴社会保险费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其他交通费用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7.67</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30399</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其他对个人和家庭的补助</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30240</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税金及附加费用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30299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其他商品和服务支出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5.27</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43" w:hRule="atLeast"/>
          <w:jc w:val="center"/>
        </w:trPr>
        <w:tc>
          <w:tcPr>
            <w:tcW w:w="2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人员经费合计</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506.68</w:t>
            </w:r>
          </w:p>
        </w:tc>
        <w:tc>
          <w:tcPr>
            <w:tcW w:w="63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公用经费合计</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color w:val="000000"/>
                <w:sz w:val="18"/>
                <w:szCs w:val="18"/>
                <w:lang w:val="en-US" w:eastAsia="zh-CN"/>
              </w:rPr>
            </w:pPr>
            <w:r>
              <w:rPr>
                <w:rFonts w:hint="eastAsia" w:ascii="Times New Roman" w:hAnsi="Times New Roman" w:eastAsia="仿宋_GB2312" w:cs="Times New Roman"/>
                <w:color w:val="000000"/>
                <w:sz w:val="18"/>
                <w:szCs w:val="18"/>
                <w:lang w:val="en-US" w:eastAsia="zh-CN"/>
              </w:rPr>
              <w:t>35.81</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注：本表反映部门本年度一般公共预算财政拨款基本支出明细情况。</w:t>
      </w:r>
    </w:p>
    <w:tbl>
      <w:tblPr>
        <w:tblStyle w:val="8"/>
        <w:tblW w:w="10350" w:type="dxa"/>
        <w:jc w:val="center"/>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政府性基金预算财政拨款收入支出决算表</w:t>
            </w:r>
          </w:p>
        </w:tc>
      </w:tr>
      <w:tr>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pPr>
              <w:jc w:val="center"/>
              <w:rPr>
                <w:rFonts w:ascii="Times New Roman" w:hAnsi="Times New Roman" w:eastAsia="仿宋_GB2312" w:cs="Times New Roman"/>
                <w:color w:val="000000"/>
                <w:sz w:val="20"/>
                <w:szCs w:val="20"/>
              </w:rPr>
            </w:pPr>
          </w:p>
        </w:tc>
        <w:tc>
          <w:tcPr>
            <w:tcW w:w="1080" w:type="dxa"/>
            <w:shd w:val="clear" w:color="auto" w:fill="FFFFFF"/>
            <w:vAlign w:val="center"/>
          </w:tcPr>
          <w:p>
            <w:pPr>
              <w:jc w:val="center"/>
              <w:rPr>
                <w:rFonts w:ascii="Times New Roman" w:hAnsi="Times New Roman" w:eastAsia="仿宋_GB2312" w:cs="Times New Roman"/>
                <w:color w:val="000000"/>
                <w:sz w:val="20"/>
                <w:szCs w:val="20"/>
              </w:rPr>
            </w:pPr>
          </w:p>
        </w:tc>
        <w:tc>
          <w:tcPr>
            <w:tcW w:w="1321" w:type="dxa"/>
            <w:shd w:val="clear" w:color="auto" w:fill="FFFFFF"/>
            <w:vAlign w:val="center"/>
          </w:tcPr>
          <w:p>
            <w:pPr>
              <w:jc w:val="center"/>
              <w:rPr>
                <w:rFonts w:ascii="Times New Roman" w:hAnsi="Times New Roman" w:eastAsia="仿宋_GB2312" w:cs="Times New Roman"/>
                <w:color w:val="000000"/>
                <w:sz w:val="20"/>
                <w:szCs w:val="20"/>
              </w:rPr>
            </w:pPr>
          </w:p>
        </w:tc>
        <w:tc>
          <w:tcPr>
            <w:tcW w:w="1996" w:type="dxa"/>
            <w:shd w:val="clear" w:color="auto" w:fill="auto"/>
            <w:vAlign w:val="bottom"/>
          </w:tcPr>
          <w:p>
            <w:pPr>
              <w:rPr>
                <w:rFonts w:ascii="Times New Roman" w:hAnsi="Times New Roman" w:eastAsia="仿宋_GB2312" w:cs="Times New Roman"/>
                <w:color w:val="000000"/>
                <w:sz w:val="24"/>
              </w:rPr>
            </w:pPr>
          </w:p>
        </w:tc>
        <w:tc>
          <w:tcPr>
            <w:tcW w:w="1080" w:type="dxa"/>
            <w:shd w:val="clear" w:color="auto" w:fill="auto"/>
            <w:vAlign w:val="bottom"/>
          </w:tcPr>
          <w:p>
            <w:pPr>
              <w:rPr>
                <w:rFonts w:ascii="Times New Roman" w:hAnsi="Times New Roman" w:eastAsia="仿宋_GB2312" w:cs="Times New Roman"/>
                <w:color w:val="000000"/>
                <w:sz w:val="24"/>
              </w:rPr>
            </w:pPr>
          </w:p>
        </w:tc>
        <w:tc>
          <w:tcPr>
            <w:tcW w:w="1080" w:type="dxa"/>
            <w:shd w:val="clear" w:color="auto" w:fill="auto"/>
            <w:vAlign w:val="bottom"/>
          </w:tcPr>
          <w:p>
            <w:pPr>
              <w:rPr>
                <w:rFonts w:ascii="Times New Roman" w:hAnsi="Times New Roman" w:eastAsia="仿宋_GB2312" w:cs="Times New Roman"/>
                <w:color w:val="000000"/>
                <w:sz w:val="24"/>
              </w:rPr>
            </w:pPr>
          </w:p>
        </w:tc>
        <w:tc>
          <w:tcPr>
            <w:tcW w:w="1080" w:type="dxa"/>
            <w:shd w:val="clear" w:color="auto" w:fill="auto"/>
            <w:vAlign w:val="bottom"/>
          </w:tcPr>
          <w:p>
            <w:pPr>
              <w:rPr>
                <w:rFonts w:ascii="Times New Roman" w:hAnsi="Times New Roman" w:eastAsia="仿宋_GB2312" w:cs="Times New Roman"/>
                <w:color w:val="000000"/>
                <w:sz w:val="24"/>
              </w:rPr>
            </w:pPr>
          </w:p>
        </w:tc>
        <w:tc>
          <w:tcPr>
            <w:tcW w:w="1081" w:type="dxa"/>
            <w:shd w:val="clear" w:color="auto" w:fill="auto"/>
            <w:vAlign w:val="bottom"/>
          </w:tcPr>
          <w:p>
            <w:pPr>
              <w:rPr>
                <w:rFonts w:ascii="Times New Roman" w:hAnsi="Times New Roman" w:eastAsia="仿宋_GB2312" w:cs="Times New Roman"/>
                <w:color w:val="000000"/>
                <w:sz w:val="24"/>
              </w:rPr>
            </w:pPr>
          </w:p>
        </w:tc>
        <w:tc>
          <w:tcPr>
            <w:tcW w:w="1077"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公开07表</w:t>
            </w:r>
          </w:p>
        </w:tc>
      </w:tr>
      <w:tr>
        <w:tblPrEx>
          <w:tblCellMar>
            <w:top w:w="15" w:type="dxa"/>
            <w:left w:w="15" w:type="dxa"/>
            <w:bottom w:w="15" w:type="dxa"/>
            <w:right w:w="15" w:type="dxa"/>
          </w:tblCellMar>
        </w:tblPrEx>
        <w:trPr>
          <w:trHeight w:val="301" w:hRule="atLeast"/>
          <w:jc w:val="center"/>
        </w:trPr>
        <w:tc>
          <w:tcPr>
            <w:tcW w:w="555" w:type="dxa"/>
            <w:shd w:val="clear" w:color="auto" w:fill="FFFFFF"/>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4397" w:type="dxa"/>
            <w:gridSpan w:val="3"/>
            <w:shd w:val="clear" w:color="auto" w:fill="FFFFFF"/>
            <w:vAlign w:val="center"/>
          </w:tcPr>
          <w:p>
            <w:pPr>
              <w:rPr>
                <w:rFonts w:hint="eastAsia"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石家庄市桥西区民政局</w:t>
            </w:r>
          </w:p>
        </w:tc>
        <w:tc>
          <w:tcPr>
            <w:tcW w:w="1080" w:type="dxa"/>
            <w:shd w:val="clear" w:color="auto" w:fill="FFFFFF"/>
            <w:vAlign w:val="center"/>
          </w:tcPr>
          <w:p>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80" w:type="dxa"/>
            <w:shd w:val="clear" w:color="auto" w:fill="FFFFFF"/>
            <w:vAlign w:val="center"/>
          </w:tcPr>
          <w:p>
            <w:pPr>
              <w:rPr>
                <w:rFonts w:ascii="Times New Roman" w:hAnsi="Times New Roman" w:eastAsia="仿宋_GB2312" w:cs="Times New Roman"/>
                <w:color w:val="000000"/>
                <w:sz w:val="20"/>
                <w:szCs w:val="20"/>
              </w:rPr>
            </w:pPr>
          </w:p>
        </w:tc>
        <w:tc>
          <w:tcPr>
            <w:tcW w:w="1080" w:type="dxa"/>
            <w:shd w:val="clear" w:color="auto" w:fill="FFFFFF"/>
            <w:vAlign w:val="center"/>
          </w:tcPr>
          <w:p>
            <w:pPr>
              <w:rPr>
                <w:rFonts w:ascii="Times New Roman" w:hAnsi="Times New Roman" w:eastAsia="仿宋_GB2312" w:cs="Times New Roman"/>
                <w:color w:val="000000"/>
                <w:sz w:val="20"/>
                <w:szCs w:val="20"/>
              </w:rPr>
            </w:pPr>
          </w:p>
        </w:tc>
        <w:tc>
          <w:tcPr>
            <w:tcW w:w="1081" w:type="dxa"/>
            <w:shd w:val="clear" w:color="auto" w:fill="FFFFFF"/>
            <w:vAlign w:val="center"/>
          </w:tcPr>
          <w:p>
            <w:pPr>
              <w:rPr>
                <w:rFonts w:ascii="Times New Roman" w:hAnsi="Times New Roman" w:eastAsia="仿宋_GB2312" w:cs="Times New Roman"/>
                <w:color w:val="000000"/>
                <w:sz w:val="20"/>
                <w:szCs w:val="20"/>
              </w:rPr>
            </w:pPr>
          </w:p>
        </w:tc>
        <w:tc>
          <w:tcPr>
            <w:tcW w:w="1077"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项    </w:t>
            </w:r>
            <w:r>
              <w:rPr>
                <w:rStyle w:val="21"/>
                <w:rFonts w:hint="default" w:ascii="Times New Roman" w:hAnsi="Times New Roman" w:eastAsia="仿宋_GB2312" w:cs="Times New Roman"/>
                <w:b/>
                <w:bCs/>
                <w:sz w:val="22"/>
                <w:szCs w:val="22"/>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年末结转和结余</w:t>
            </w:r>
          </w:p>
        </w:tc>
      </w:tr>
      <w:tr>
        <w:tblPrEx>
          <w:tblCellMar>
            <w:top w:w="15" w:type="dxa"/>
            <w:left w:w="15" w:type="dxa"/>
            <w:bottom w:w="15" w:type="dxa"/>
            <w:right w:w="15" w:type="dxa"/>
          </w:tblCellMar>
        </w:tblPrEx>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r>
      <w:tr>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2059.63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彩票公益金安排的支出</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用于社会福利的彩票公益金支出</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注：本表反映部门本年度政府性基金预算财政拨款收入、支出及结转和结余情况。</w:t>
            </w:r>
          </w:p>
          <w:p>
            <w:pPr>
              <w:widowControl/>
              <w:jc w:val="left"/>
              <w:textAlignment w:val="center"/>
              <w:rPr>
                <w:rFonts w:ascii="Times New Roman" w:hAnsi="Times New Roman" w:eastAsia="仿宋_GB2312" w:cs="Times New Roman"/>
                <w:color w:val="000000"/>
                <w:sz w:val="24"/>
              </w:rPr>
            </w:pP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jc w:val="center"/>
        </w:trPr>
        <w:tc>
          <w:tcPr>
            <w:tcW w:w="10422" w:type="dxa"/>
            <w:gridSpan w:val="9"/>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国有资本经营预算财政拨款支出决算表</w:t>
            </w:r>
          </w:p>
        </w:tc>
      </w:tr>
      <w:tr>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pPr>
              <w:jc w:val="center"/>
              <w:rPr>
                <w:rFonts w:ascii="Times New Roman" w:hAnsi="Times New Roman" w:eastAsia="仿宋_GB2312" w:cs="Times New Roman"/>
                <w:color w:val="000000"/>
                <w:sz w:val="20"/>
                <w:szCs w:val="20"/>
              </w:rPr>
            </w:pPr>
          </w:p>
        </w:tc>
        <w:tc>
          <w:tcPr>
            <w:tcW w:w="1056" w:type="dxa"/>
            <w:shd w:val="clear" w:color="auto" w:fill="FFFFFF"/>
            <w:vAlign w:val="center"/>
          </w:tcPr>
          <w:p>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pPr>
              <w:rPr>
                <w:rFonts w:ascii="Times New Roman" w:hAnsi="Times New Roman" w:eastAsia="仿宋_GB2312" w:cs="Times New Roman"/>
                <w:color w:val="000000"/>
                <w:sz w:val="20"/>
                <w:szCs w:val="20"/>
              </w:rPr>
            </w:pPr>
          </w:p>
        </w:tc>
        <w:tc>
          <w:tcPr>
            <w:tcW w:w="1036" w:type="dxa"/>
            <w:shd w:val="clear" w:color="auto" w:fill="FFFFFF"/>
            <w:vAlign w:val="center"/>
          </w:tcPr>
          <w:p>
            <w:pPr>
              <w:rPr>
                <w:rFonts w:ascii="Times New Roman" w:hAnsi="Times New Roman" w:eastAsia="仿宋_GB2312" w:cs="Times New Roman"/>
                <w:color w:val="000000"/>
                <w:sz w:val="20"/>
                <w:szCs w:val="20"/>
              </w:rPr>
            </w:pPr>
          </w:p>
        </w:tc>
        <w:tc>
          <w:tcPr>
            <w:tcW w:w="3138" w:type="dxa"/>
            <w:gridSpan w:val="2"/>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公开08表</w:t>
            </w:r>
          </w:p>
        </w:tc>
      </w:tr>
      <w:tr>
        <w:tblPrEx>
          <w:tblCellMar>
            <w:top w:w="15" w:type="dxa"/>
            <w:left w:w="15" w:type="dxa"/>
            <w:bottom w:w="15" w:type="dxa"/>
            <w:right w:w="15" w:type="dxa"/>
          </w:tblCellMar>
        </w:tblPrEx>
        <w:trPr>
          <w:trHeight w:val="286" w:hRule="atLeast"/>
          <w:jc w:val="center"/>
        </w:trPr>
        <w:tc>
          <w:tcPr>
            <w:tcW w:w="3067" w:type="dxa"/>
            <w:gridSpan w:val="4"/>
            <w:shd w:val="clear" w:color="auto" w:fill="FFFFFF"/>
            <w:vAlign w:val="center"/>
          </w:tcPr>
          <w:p>
            <w:pPr>
              <w:jc w:val="left"/>
              <w:rPr>
                <w:rFonts w:hint="eastAsia" w:ascii="Times New Roman" w:hAnsi="Times New Roman" w:eastAsia="仿宋_GB2312" w:cs="Times New Roman"/>
                <w:color w:val="000000"/>
                <w:sz w:val="20"/>
                <w:szCs w:val="20"/>
                <w:lang w:val="en-US" w:eastAsia="zh-CN"/>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石家庄市桥西区民政局</w:t>
            </w:r>
          </w:p>
        </w:tc>
        <w:tc>
          <w:tcPr>
            <w:tcW w:w="3181" w:type="dxa"/>
            <w:gridSpan w:val="2"/>
            <w:shd w:val="clear" w:color="auto" w:fill="FFFFFF"/>
            <w:vAlign w:val="center"/>
          </w:tcPr>
          <w:p>
            <w:pPr>
              <w:ind w:firstLine="1800" w:firstLineChars="9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36" w:type="dxa"/>
            <w:shd w:val="clear" w:color="auto" w:fill="FFFFFF"/>
            <w:vAlign w:val="center"/>
          </w:tcPr>
          <w:p>
            <w:pPr>
              <w:rPr>
                <w:rFonts w:ascii="Times New Roman" w:hAnsi="Times New Roman" w:eastAsia="仿宋_GB2312" w:cs="Times New Roman"/>
                <w:color w:val="000000"/>
                <w:sz w:val="20"/>
                <w:szCs w:val="20"/>
              </w:rPr>
            </w:pPr>
          </w:p>
        </w:tc>
        <w:tc>
          <w:tcPr>
            <w:tcW w:w="3138" w:type="dxa"/>
            <w:gridSpan w:val="2"/>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r>
      <w:tr>
        <w:tblPrEx>
          <w:tblCellMar>
            <w:top w:w="15" w:type="dxa"/>
            <w:left w:w="15" w:type="dxa"/>
            <w:bottom w:w="15" w:type="dxa"/>
            <w:right w:w="15" w:type="dxa"/>
          </w:tblCellMar>
        </w:tblPrEx>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r>
      <w:tr>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720" w:hRule="atLeast"/>
          <w:jc w:val="center"/>
        </w:trPr>
        <w:tc>
          <w:tcPr>
            <w:tcW w:w="10422" w:type="dxa"/>
            <w:gridSpan w:val="9"/>
            <w:shd w:val="clear" w:color="auto" w:fill="auto"/>
            <w:vAlign w:val="center"/>
          </w:tcPr>
          <w:p>
            <w:pPr>
              <w:rPr>
                <w:rFonts w:hint="default" w:ascii="Times New Roman" w:hAnsi="Times New Roman" w:eastAsia="仿宋_GB2312" w:cs="Times New Roman"/>
                <w:color w:val="000000"/>
                <w:kern w:val="0"/>
                <w:sz w:val="24"/>
                <w:szCs w:val="24"/>
                <w:lang w:val="en-US" w:eastAsia="zh-CN" w:bidi="ar"/>
              </w:rPr>
            </w:pPr>
            <w:r>
              <w:rPr>
                <w:rFonts w:ascii="Times New Roman" w:hAnsi="Times New Roman" w:eastAsia="仿宋_GB2312" w:cs="Times New Roman"/>
                <w:color w:val="000000"/>
                <w:kern w:val="0"/>
                <w:sz w:val="24"/>
                <w:szCs w:val="24"/>
                <w:lang w:bidi="ar"/>
              </w:rPr>
              <w:t>注：本表反映部门本年度国有资本经营预算财政拨款支出情况。</w:t>
            </w:r>
            <w:r>
              <w:rPr>
                <w:rFonts w:hint="eastAsia" w:ascii="Times New Roman" w:hAnsi="Times New Roman" w:eastAsia="仿宋_GB2312" w:cs="Times New Roman"/>
                <w:color w:val="000000"/>
                <w:kern w:val="0"/>
                <w:sz w:val="24"/>
                <w:szCs w:val="24"/>
                <w:lang w:val="en-US" w:eastAsia="zh-CN" w:bidi="ar"/>
              </w:rPr>
              <w:t>本部门</w:t>
            </w:r>
            <w:r>
              <w:rPr>
                <w:rFonts w:ascii="Times New Roman" w:hAnsi="Times New Roman" w:eastAsia="仿宋_GB2312" w:cs="Times New Roman"/>
                <w:color w:val="000000"/>
                <w:kern w:val="0"/>
                <w:sz w:val="24"/>
                <w:szCs w:val="24"/>
                <w:lang w:bidi="ar"/>
              </w:rPr>
              <w:t>本年度</w:t>
            </w:r>
            <w:r>
              <w:rPr>
                <w:rFonts w:hint="eastAsia" w:ascii="Times New Roman" w:hAnsi="Times New Roman" w:eastAsia="仿宋_GB2312" w:cs="Times New Roman"/>
                <w:color w:val="000000"/>
                <w:kern w:val="0"/>
                <w:sz w:val="24"/>
                <w:szCs w:val="24"/>
                <w:lang w:val="en-US" w:eastAsia="zh-CN" w:bidi="ar"/>
              </w:rPr>
              <w:t>无相关收入支出及结转结余情况，按要求以空表列示。</w:t>
            </w:r>
          </w:p>
          <w:p>
            <w:pPr>
              <w:widowControl/>
              <w:jc w:val="left"/>
              <w:textAlignment w:val="center"/>
              <w:rPr>
                <w:rFonts w:ascii="Times New Roman" w:hAnsi="Times New Roman" w:eastAsia="仿宋_GB2312" w:cs="Times New Roman"/>
                <w:color w:val="000000"/>
                <w:sz w:val="24"/>
              </w:rPr>
            </w:pP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39"/>
        <w:gridCol w:w="116"/>
        <w:gridCol w:w="240"/>
        <w:gridCol w:w="240"/>
        <w:gridCol w:w="1767"/>
      </w:tblGrid>
      <w:tr>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财政拨款“三公”经费支出决算表</w:t>
            </w:r>
          </w:p>
        </w:tc>
      </w:tr>
      <w:tr>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pPr>
              <w:jc w:val="center"/>
              <w:rPr>
                <w:rFonts w:ascii="Times New Roman" w:hAnsi="Times New Roman" w:eastAsia="仿宋_GB2312" w:cs="Times New Roman"/>
                <w:color w:val="000000"/>
                <w:sz w:val="24"/>
              </w:rPr>
            </w:pPr>
          </w:p>
        </w:tc>
        <w:tc>
          <w:tcPr>
            <w:tcW w:w="1068" w:type="dxa"/>
            <w:gridSpan w:val="2"/>
            <w:shd w:val="clear" w:color="auto" w:fill="auto"/>
            <w:vAlign w:val="center"/>
          </w:tcPr>
          <w:p>
            <w:pPr>
              <w:jc w:val="center"/>
              <w:rPr>
                <w:rFonts w:ascii="Times New Roman" w:hAnsi="Times New Roman" w:eastAsia="仿宋_GB2312" w:cs="Times New Roman"/>
                <w:color w:val="000000"/>
                <w:sz w:val="24"/>
              </w:rPr>
            </w:pPr>
          </w:p>
        </w:tc>
        <w:tc>
          <w:tcPr>
            <w:tcW w:w="1055" w:type="dxa"/>
            <w:gridSpan w:val="3"/>
            <w:shd w:val="clear" w:color="auto" w:fill="auto"/>
            <w:vAlign w:val="center"/>
          </w:tcPr>
          <w:p>
            <w:pPr>
              <w:jc w:val="center"/>
              <w:rPr>
                <w:rFonts w:ascii="Times New Roman" w:hAnsi="Times New Roman" w:eastAsia="仿宋_GB2312" w:cs="Times New Roman"/>
                <w:color w:val="000000"/>
                <w:sz w:val="24"/>
              </w:rPr>
            </w:pPr>
          </w:p>
        </w:tc>
        <w:tc>
          <w:tcPr>
            <w:tcW w:w="1055" w:type="dxa"/>
            <w:gridSpan w:val="2"/>
            <w:shd w:val="clear" w:color="auto" w:fill="auto"/>
            <w:vAlign w:val="center"/>
          </w:tcPr>
          <w:p>
            <w:pPr>
              <w:rPr>
                <w:rFonts w:ascii="Times New Roman" w:hAnsi="Times New Roman" w:eastAsia="仿宋_GB2312" w:cs="Times New Roman"/>
                <w:color w:val="000000"/>
                <w:sz w:val="24"/>
              </w:rPr>
            </w:pPr>
          </w:p>
        </w:tc>
        <w:tc>
          <w:tcPr>
            <w:tcW w:w="1056" w:type="dxa"/>
            <w:shd w:val="clear" w:color="auto" w:fill="auto"/>
            <w:vAlign w:val="center"/>
          </w:tcPr>
          <w:p>
            <w:pPr>
              <w:rPr>
                <w:rFonts w:ascii="Times New Roman" w:hAnsi="Times New Roman" w:eastAsia="仿宋_GB2312" w:cs="Times New Roman"/>
                <w:color w:val="000000"/>
                <w:sz w:val="24"/>
              </w:rPr>
            </w:pPr>
          </w:p>
        </w:tc>
        <w:tc>
          <w:tcPr>
            <w:tcW w:w="240" w:type="dxa"/>
            <w:shd w:val="clear" w:color="auto" w:fill="auto"/>
            <w:vAlign w:val="center"/>
          </w:tcPr>
          <w:p>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pPr>
              <w:jc w:val="right"/>
              <w:rPr>
                <w:rFonts w:ascii="Times New Roman" w:hAnsi="Times New Roman" w:eastAsia="仿宋_GB2312" w:cs="Times New Roman"/>
                <w:color w:val="000000"/>
                <w:sz w:val="24"/>
              </w:rPr>
            </w:pPr>
          </w:p>
        </w:tc>
        <w:tc>
          <w:tcPr>
            <w:tcW w:w="1068" w:type="dxa"/>
            <w:gridSpan w:val="3"/>
            <w:shd w:val="clear" w:color="auto" w:fill="auto"/>
            <w:vAlign w:val="bottom"/>
          </w:tcPr>
          <w:p>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055" w:type="dxa"/>
            <w:gridSpan w:val="2"/>
            <w:shd w:val="clear" w:color="auto" w:fill="auto"/>
            <w:vAlign w:val="bottom"/>
          </w:tcPr>
          <w:p>
            <w:pPr>
              <w:jc w:val="right"/>
              <w:rPr>
                <w:rFonts w:ascii="Times New Roman" w:hAnsi="Times New Roman" w:eastAsia="仿宋_GB2312" w:cs="Times New Roman"/>
                <w:color w:val="000000"/>
                <w:sz w:val="24"/>
              </w:rPr>
            </w:pPr>
          </w:p>
        </w:tc>
        <w:tc>
          <w:tcPr>
            <w:tcW w:w="1055" w:type="dxa"/>
            <w:gridSpan w:val="2"/>
            <w:shd w:val="clear" w:color="auto" w:fill="auto"/>
            <w:vAlign w:val="bottom"/>
          </w:tcPr>
          <w:p>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pPr>
              <w:rPr>
                <w:rFonts w:ascii="Times New Roman" w:hAnsi="Times New Roman" w:eastAsia="仿宋_GB2312" w:cs="Times New Roman"/>
                <w:color w:val="000000"/>
                <w:sz w:val="24"/>
              </w:rPr>
            </w:pPr>
          </w:p>
        </w:tc>
        <w:tc>
          <w:tcPr>
            <w:tcW w:w="24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gridAfter w:val="1"/>
          <w:wAfter w:w="1767" w:type="dxa"/>
          <w:trHeight w:val="301" w:hRule="atLeast"/>
        </w:trPr>
        <w:tc>
          <w:tcPr>
            <w:tcW w:w="4369" w:type="dxa"/>
            <w:gridSpan w:val="9"/>
            <w:shd w:val="clear" w:color="auto" w:fill="FFFFFF"/>
            <w:vAlign w:val="center"/>
          </w:tcPr>
          <w:p>
            <w:pPr>
              <w:jc w:val="left"/>
              <w:rPr>
                <w:rFonts w:hint="eastAsia" w:ascii="Times New Roman" w:hAnsi="Times New Roman" w:eastAsia="仿宋_GB2312" w:cs="Times New Roman"/>
                <w:color w:val="000000"/>
                <w:sz w:val="20"/>
                <w:szCs w:val="20"/>
                <w:lang w:val="en-US" w:eastAsia="zh-CN"/>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石家庄市桥西区民政局</w:t>
            </w:r>
          </w:p>
        </w:tc>
        <w:tc>
          <w:tcPr>
            <w:tcW w:w="1056" w:type="dxa"/>
            <w:shd w:val="clear" w:color="auto" w:fill="FFFFFF"/>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pPr>
              <w:widowControl/>
              <w:ind w:right="-5048" w:rightChars="-2404"/>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 xml:space="preserve">                                        </w:t>
            </w:r>
            <w:r>
              <w:rPr>
                <w:rFonts w:ascii="Times New Roman" w:hAnsi="Times New Roman" w:eastAsia="仿宋_GB2312" w:cs="Times New Roman"/>
                <w:color w:val="000000"/>
                <w:kern w:val="0"/>
                <w:sz w:val="20"/>
                <w:szCs w:val="20"/>
                <w:lang w:bidi="ar"/>
              </w:rPr>
              <w:t>单位：万元</w:t>
            </w:r>
          </w:p>
        </w:tc>
        <w:tc>
          <w:tcPr>
            <w:tcW w:w="24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r>
      <w:tr>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公务用车</w:t>
            </w:r>
          </w:p>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12</w:t>
            </w:r>
          </w:p>
        </w:tc>
      </w:tr>
      <w:tr>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r>
      <w:tr>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2024年度部门决算情况说明</w:t>
      </w:r>
    </w:p>
    <w:p>
      <w:pPr>
        <w:rPr>
          <w:rFonts w:ascii="Times New Roman" w:hAnsi="Times New Roman" w:eastAsia="黑体" w:cs="Times New Roman"/>
          <w:sz w:val="32"/>
          <w:szCs w:val="32"/>
        </w:rPr>
      </w:pPr>
    </w:p>
    <w:p>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本部门2024年度收、支总计（含结转和结余）均为7,833.62万元。与2023年度决算相比，收支各增加344.88万元，增长4.6%，主要原因是上级用于老年福利支出的拨款增加，支出相应增长。</w:t>
      </w:r>
    </w:p>
    <w:p>
      <w:pPr>
        <w:adjustRightInd w:val="0"/>
        <w:snapToGrid w:val="0"/>
        <w:spacing w:line="580" w:lineRule="exact"/>
        <w:ind w:firstLine="630" w:firstLineChars="300"/>
        <w:rPr>
          <w:rFonts w:ascii="Times New Roman" w:hAnsi="Times New Roman" w:eastAsia="仿宋_GB2312" w:cs="Times New Roman"/>
          <w:sz w:val="32"/>
          <w:szCs w:val="32"/>
          <w:highlight w:val="yellow"/>
        </w:rPr>
      </w:pPr>
      <w:r>
        <w:rPr>
          <w:rFonts w:hint="eastAsia" w:ascii="Times New Roman" w:hAnsi="Times New Roman" w:eastAsia="宋体"/>
        </w:rPr>
        <w:drawing>
          <wp:anchor distT="0" distB="0" distL="114300" distR="114300" simplePos="0" relativeHeight="251663360" behindDoc="0" locked="0" layoutInCell="1" allowOverlap="1">
            <wp:simplePos x="0" y="0"/>
            <wp:positionH relativeFrom="column">
              <wp:posOffset>272415</wp:posOffset>
            </wp:positionH>
            <wp:positionV relativeFrom="paragraph">
              <wp:posOffset>38735</wp:posOffset>
            </wp:positionV>
            <wp:extent cx="5426710" cy="3171825"/>
            <wp:effectExtent l="4445" t="4445" r="17145" b="11430"/>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Times New Roman" w:hAnsi="Times New Roman" w:eastAsia="黑体" w:cs="Times New Roman"/>
          <w:sz w:val="32"/>
          <w:szCs w:val="32"/>
        </w:rPr>
        <w:t>二、收入决算情况说明</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eastAsia="仿宋_GB2312"/>
          <w:b w:val="0"/>
          <w:sz w:val="32"/>
          <w:szCs w:val="32"/>
        </w:rPr>
        <w:t>本部门2024年度本年收入合计7,749.31万元，其中：财政拨款收入7,749.31万元，占100%；上级补助收入0万元，占0%；事业收入0万元，占0%；经营收入0万元，占0%；附属单位上缴收入0万元，占0%；其他收入0万元，占0%。</w:t>
      </w:r>
    </w:p>
    <w:p>
      <w:pPr>
        <w:adjustRightInd w:val="0"/>
        <w:snapToGrid w:val="0"/>
        <w:spacing w:line="580" w:lineRule="exact"/>
        <w:ind w:firstLine="640" w:firstLineChars="200"/>
        <w:rPr>
          <w:rFonts w:ascii="Times New Roman" w:hAnsi="Times New Roman" w:eastAsia="黑体" w:cs="Times New Roman"/>
          <w:sz w:val="32"/>
          <w:szCs w:val="32"/>
        </w:rPr>
      </w:pPr>
    </w:p>
    <w:p>
      <w:pPr>
        <w:adjustRightInd w:val="0"/>
        <w:snapToGrid w:val="0"/>
        <w:spacing w:line="580" w:lineRule="exact"/>
        <w:rPr>
          <w:rFonts w:ascii="Times New Roman" w:hAnsi="Times New Roman" w:eastAsia="仿宋_GB2312"/>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4384" behindDoc="0" locked="0" layoutInCell="1" allowOverlap="1">
            <wp:simplePos x="0" y="0"/>
            <wp:positionH relativeFrom="column">
              <wp:posOffset>128905</wp:posOffset>
            </wp:positionH>
            <wp:positionV relativeFrom="paragraph">
              <wp:posOffset>177165</wp:posOffset>
            </wp:positionV>
            <wp:extent cx="5617845" cy="3037840"/>
            <wp:effectExtent l="4445" t="4445" r="16510" b="571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hAnsi="Times New Roman" w:eastAsia="仿宋_GB2312" w:cs="Times New Roman"/>
          <w:sz w:val="32"/>
          <w:szCs w:val="32"/>
          <w:highlight w:val="none"/>
        </w:rPr>
        <w:drawing>
          <wp:anchor distT="0" distB="0" distL="114300" distR="114300" simplePos="0" relativeHeight="251665408" behindDoc="0" locked="0" layoutInCell="1" allowOverlap="1">
            <wp:simplePos x="0" y="0"/>
            <wp:positionH relativeFrom="column">
              <wp:posOffset>144780</wp:posOffset>
            </wp:positionH>
            <wp:positionV relativeFrom="paragraph">
              <wp:posOffset>1623060</wp:posOffset>
            </wp:positionV>
            <wp:extent cx="5485130" cy="2671445"/>
            <wp:effectExtent l="4445" t="4445" r="9525" b="16510"/>
            <wp:wrapTopAndBottom/>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ascii="Times New Roman" w:eastAsia="仿宋_GB2312"/>
          <w:b w:val="0"/>
          <w:sz w:val="32"/>
          <w:szCs w:val="32"/>
        </w:rPr>
        <w:t>本部门2024年度本年支出合计7,779.65万元，其中：基本支出542.49万元，占7%；项目支出7,237.16万元，占93%；上缴上级支出0万元，占0%；经营支出0万元，占0%；对附属单位补助支出0万元，占0%。</w:t>
      </w:r>
    </w:p>
    <w:p>
      <w:pPr>
        <w:widowControl/>
        <w:spacing w:before="0" w:beforeLines="0" w:beforeAutospacing="0" w:after="0" w:afterLines="0" w:afterAutospacing="0" w:line="360" w:lineRule="auto"/>
        <w:ind w:firstLine="640" w:firstLineChars="200"/>
        <w:jc w:val="left"/>
        <w:rPr>
          <w:rFonts w:ascii="Times New Roman" w:hAnsi="Times New Roman" w:eastAsia="黑体" w:cs="Times New Roman"/>
          <w:sz w:val="32"/>
          <w:szCs w:val="32"/>
        </w:rPr>
      </w:pP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pPr>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（一）财政拨款收支与2023年度决算对比情况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本部门2024年度财政拨款收、支总计（含结转和结余）均为7,833.62万元。与2023年度相比，财政拨款收支各增加344.88万元，增长4.6%，主要原因是上级用于老年福利支出的拨款增加，支出相应增长。</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7,749.31万元,比上年增加635.55万元，增长8.9%，主要原因是上级用于老年福利支出的拨款增加；本年支出7,779.65万元，比上年增加442.04万元，增长6%，主要原因是上级用于老年福利支出的拨款增加，支出相应增长。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5,689.68万元,比上年减少343.97万元，降低5.7%，主要原因是上级用于老年福利支出部分的拨款减少；本年支出5,720.02万元，比上年减少537.53万元，降低8.6%，主要原因是部分困难老年人社区居家养老服务补贴尚未结算。</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2,059.63万元，比上年增加979.52万元，增长90.7%，主要原因是上级用于老年福利支出的福彩公益金拨款增加；本年支出2,059.63万元，比上年增加979.57万元，增长90.7%，主要原因是上级用于老年福利支出的福彩公益金拨款增加，支出相应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3.国有资本经营预算财政拨款本年收入0万元，比上年</w:t>
      </w:r>
      <w:r>
        <w:rPr>
          <w:rFonts w:hint="eastAsia" w:ascii="Times New Roman" w:eastAsia="仿宋_GB2312"/>
          <w:b w:val="0"/>
          <w:sz w:val="32"/>
          <w:szCs w:val="32"/>
          <w:lang w:eastAsia="zh-CN"/>
        </w:rPr>
        <w:t>持平，</w:t>
      </w:r>
      <w:r>
        <w:rPr>
          <w:rFonts w:ascii="Times New Roman" w:eastAsia="仿宋_GB2312"/>
          <w:b w:val="0"/>
          <w:sz w:val="32"/>
          <w:szCs w:val="32"/>
        </w:rPr>
        <w:t>主要原因是</w:t>
      </w:r>
      <w:r>
        <w:rPr>
          <w:rFonts w:hint="eastAsia" w:ascii="Times New Roman" w:eastAsia="仿宋_GB2312"/>
          <w:b w:val="0"/>
          <w:sz w:val="32"/>
          <w:szCs w:val="32"/>
          <w:lang w:eastAsia="zh-CN"/>
        </w:rPr>
        <w:t>没有</w:t>
      </w:r>
      <w:r>
        <w:rPr>
          <w:rFonts w:ascii="Times New Roman" w:eastAsia="仿宋_GB2312"/>
          <w:b w:val="0"/>
          <w:sz w:val="32"/>
          <w:szCs w:val="32"/>
        </w:rPr>
        <w:t>国有资本经营预算财政拨款本年收入；本年支出0万元，比上年</w:t>
      </w:r>
      <w:r>
        <w:rPr>
          <w:rFonts w:hint="eastAsia" w:ascii="Times New Roman" w:eastAsia="仿宋_GB2312"/>
          <w:b w:val="0"/>
          <w:sz w:val="32"/>
          <w:szCs w:val="32"/>
          <w:lang w:eastAsia="zh-CN"/>
        </w:rPr>
        <w:t>持平，</w:t>
      </w:r>
      <w:r>
        <w:rPr>
          <w:rFonts w:ascii="Times New Roman" w:eastAsia="仿宋_GB2312"/>
          <w:b w:val="0"/>
          <w:sz w:val="32"/>
          <w:szCs w:val="32"/>
        </w:rPr>
        <w:t>主要原因是</w:t>
      </w:r>
      <w:r>
        <w:rPr>
          <w:rFonts w:hint="eastAsia" w:ascii="Times New Roman" w:eastAsia="仿宋_GB2312"/>
          <w:b w:val="0"/>
          <w:sz w:val="32"/>
          <w:szCs w:val="32"/>
          <w:lang w:eastAsia="zh-CN"/>
        </w:rPr>
        <w:t>没有发生</w:t>
      </w:r>
      <w:r>
        <w:rPr>
          <w:rFonts w:ascii="Times New Roman" w:eastAsia="仿宋_GB2312"/>
          <w:b w:val="0"/>
          <w:sz w:val="32"/>
          <w:szCs w:val="32"/>
        </w:rPr>
        <w:t>国有资本经营</w:t>
      </w:r>
      <w:r>
        <w:rPr>
          <w:rFonts w:hint="eastAsia" w:ascii="Times New Roman" w:eastAsia="仿宋_GB2312"/>
          <w:b w:val="0"/>
          <w:sz w:val="32"/>
          <w:szCs w:val="32"/>
          <w:lang w:eastAsia="zh-CN"/>
        </w:rPr>
        <w:t>支出</w:t>
      </w:r>
      <w:r>
        <w:rPr>
          <w:rFonts w:ascii="Times New Roman" w:eastAsia="仿宋_GB2312"/>
          <w:b w:val="0"/>
          <w:sz w:val="32"/>
          <w:szCs w:val="32"/>
        </w:rPr>
        <w:t>。</w:t>
      </w:r>
    </w:p>
    <w:p>
      <w:pPr>
        <w:adjustRightInd w:val="0"/>
        <w:snapToGrid w:val="0"/>
        <w:spacing w:line="580" w:lineRule="exact"/>
        <w:ind w:firstLine="640" w:firstLineChars="200"/>
        <w:rPr>
          <w:rFonts w:ascii="Times New Roman" w:hAnsi="Times New Roman" w:eastAsia="仿宋_GB2312" w:cs="Times New Roman"/>
          <w:b/>
          <w:bCs/>
          <w:sz w:val="32"/>
          <w:szCs w:val="32"/>
        </w:rPr>
      </w:pPr>
      <w:r>
        <w:rPr>
          <w:rFonts w:ascii="Times New Roman" w:hAnsi="Times New Roman" w:eastAsia="仿宋_GB2312"/>
          <w:sz w:val="32"/>
          <w:szCs w:val="32"/>
        </w:rPr>
        <w:drawing>
          <wp:anchor distT="0" distB="0" distL="114300" distR="114300" simplePos="0" relativeHeight="251666432" behindDoc="0" locked="0" layoutInCell="1" allowOverlap="1">
            <wp:simplePos x="0" y="0"/>
            <wp:positionH relativeFrom="column">
              <wp:posOffset>-13335</wp:posOffset>
            </wp:positionH>
            <wp:positionV relativeFrom="paragraph">
              <wp:posOffset>19050</wp:posOffset>
            </wp:positionV>
            <wp:extent cx="5832475" cy="3159125"/>
            <wp:effectExtent l="4445" t="4445" r="5080" b="11430"/>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ascii="Times New Roman" w:hAnsi="Times New Roman" w:eastAsia="楷体_GB2312" w:cs="Times New Roman"/>
          <w:b/>
          <w:bCs/>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7,749.31万元，完成年初预算的162.9%，比年初预算增加2,993.5万元，决算数大于预算数主要原因是上级用于老年福利支出的拨款增加；本年支出7,779.65万元，完成年初预算的147.8%，比年初预算增加2,516.62万元，决算数大于预算数主要原因是上级用于老年福利支出的拨款增加，支出相应增加。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124.4%，比年初预算增加1,114.87万元，主要原因是上级用于老年福利支出的拨款增加；支出完成年初预算的112.6%，比年初预算增加637.99万元，主要原因是上级用于老年福利支出的拨款增加，支出相应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w:t>
      </w:r>
      <w:r>
        <w:rPr>
          <w:rFonts w:hint="eastAsia" w:ascii="Times New Roman" w:eastAsia="仿宋_GB2312"/>
          <w:b w:val="0"/>
          <w:sz w:val="32"/>
          <w:szCs w:val="32"/>
          <w:lang w:eastAsia="zh-CN"/>
        </w:rPr>
        <w:t>的</w:t>
      </w:r>
      <w:r>
        <w:rPr>
          <w:rFonts w:ascii="Times New Roman" w:eastAsia="仿宋_GB2312"/>
          <w:b w:val="0"/>
          <w:sz w:val="32"/>
          <w:szCs w:val="32"/>
        </w:rPr>
        <w:t>1,137.9%，比年初预算增加1,878.63万元，主要原因是上级用于老年福利支出的福彩公益金拨款增加；支出完成年初预算的1,137.9%，比年初预算增加1,878.63万元，主要原因是上级用于老年福利支出的福彩公益金拨款增加，支出相应增加。</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3.国有资本经营预算财政拨款本年收入0万元</w:t>
      </w:r>
      <w:r>
        <w:rPr>
          <w:rFonts w:hint="eastAsia" w:ascii="Times New Roman" w:eastAsia="仿宋_GB2312"/>
          <w:b w:val="0"/>
          <w:sz w:val="32"/>
          <w:szCs w:val="32"/>
          <w:lang w:eastAsia="zh-CN"/>
        </w:rPr>
        <w:t>，</w:t>
      </w:r>
      <w:r>
        <w:rPr>
          <w:rFonts w:ascii="Times New Roman" w:eastAsia="仿宋_GB2312"/>
          <w:b w:val="0"/>
          <w:sz w:val="32"/>
          <w:szCs w:val="32"/>
        </w:rPr>
        <w:t>完成年初预算的0%，比年初预算</w:t>
      </w:r>
      <w:r>
        <w:rPr>
          <w:rFonts w:hint="eastAsia" w:ascii="Times New Roman" w:eastAsia="仿宋_GB2312"/>
          <w:b w:val="0"/>
          <w:sz w:val="32"/>
          <w:szCs w:val="32"/>
          <w:lang w:eastAsia="zh-CN"/>
        </w:rPr>
        <w:t>持平</w:t>
      </w:r>
      <w:r>
        <w:rPr>
          <w:rFonts w:ascii="Times New Roman" w:eastAsia="仿宋_GB2312"/>
          <w:b w:val="0"/>
          <w:sz w:val="32"/>
          <w:szCs w:val="32"/>
        </w:rPr>
        <w:t>，主要原因是</w:t>
      </w:r>
      <w:r>
        <w:rPr>
          <w:rFonts w:hint="eastAsia" w:ascii="Times New Roman" w:eastAsia="仿宋_GB2312"/>
          <w:b w:val="0"/>
          <w:sz w:val="32"/>
          <w:szCs w:val="32"/>
          <w:lang w:eastAsia="zh-CN"/>
        </w:rPr>
        <w:t>没有</w:t>
      </w:r>
      <w:r>
        <w:rPr>
          <w:rFonts w:ascii="Times New Roman" w:eastAsia="仿宋_GB2312"/>
          <w:b w:val="0"/>
          <w:sz w:val="32"/>
          <w:szCs w:val="32"/>
        </w:rPr>
        <w:t>国有资本经营预算财政拨款本年收入；本年支出0万元</w:t>
      </w:r>
      <w:r>
        <w:rPr>
          <w:rFonts w:hint="eastAsia" w:ascii="Times New Roman" w:eastAsia="仿宋_GB2312"/>
          <w:b w:val="0"/>
          <w:sz w:val="32"/>
          <w:szCs w:val="32"/>
          <w:lang w:eastAsia="zh-CN"/>
        </w:rPr>
        <w:t>，</w:t>
      </w:r>
      <w:r>
        <w:rPr>
          <w:rFonts w:ascii="Times New Roman" w:eastAsia="仿宋_GB2312"/>
          <w:b w:val="0"/>
          <w:sz w:val="32"/>
          <w:szCs w:val="32"/>
        </w:rPr>
        <w:t>支出完成年初预算的0%，比年初预算</w:t>
      </w:r>
      <w:r>
        <w:rPr>
          <w:rFonts w:hint="eastAsia" w:ascii="Times New Roman" w:eastAsia="仿宋_GB2312"/>
          <w:b w:val="0"/>
          <w:sz w:val="32"/>
          <w:szCs w:val="32"/>
          <w:lang w:eastAsia="zh-CN"/>
        </w:rPr>
        <w:t>持平</w:t>
      </w:r>
      <w:r>
        <w:rPr>
          <w:rFonts w:ascii="Times New Roman" w:eastAsia="仿宋_GB2312"/>
          <w:b w:val="0"/>
          <w:sz w:val="32"/>
          <w:szCs w:val="32"/>
        </w:rPr>
        <w:t>，主要原因是</w:t>
      </w:r>
      <w:r>
        <w:rPr>
          <w:rFonts w:hint="eastAsia" w:ascii="Times New Roman" w:eastAsia="仿宋_GB2312"/>
          <w:b w:val="0"/>
          <w:sz w:val="32"/>
          <w:szCs w:val="32"/>
          <w:lang w:eastAsia="zh-CN"/>
        </w:rPr>
        <w:t>没有发生</w:t>
      </w:r>
      <w:r>
        <w:rPr>
          <w:rFonts w:ascii="Times New Roman" w:eastAsia="仿宋_GB2312"/>
          <w:b w:val="0"/>
          <w:sz w:val="32"/>
          <w:szCs w:val="32"/>
        </w:rPr>
        <w:t>国有资本经营</w:t>
      </w:r>
      <w:r>
        <w:rPr>
          <w:rFonts w:hint="eastAsia" w:ascii="Times New Roman" w:eastAsia="仿宋_GB2312"/>
          <w:b w:val="0"/>
          <w:sz w:val="32"/>
          <w:szCs w:val="32"/>
          <w:lang w:eastAsia="zh-CN"/>
        </w:rPr>
        <w:t>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hAnsi="Times New Roman" w:eastAsia="仿宋_GB2312"/>
          <w:sz w:val="32"/>
          <w:szCs w:val="32"/>
          <w:highlight w:val="none"/>
        </w:rPr>
        <w:drawing>
          <wp:anchor distT="0" distB="0" distL="114300" distR="114300" simplePos="0" relativeHeight="251667456" behindDoc="0" locked="0" layoutInCell="1" allowOverlap="1">
            <wp:simplePos x="0" y="0"/>
            <wp:positionH relativeFrom="column">
              <wp:posOffset>140335</wp:posOffset>
            </wp:positionH>
            <wp:positionV relativeFrom="paragraph">
              <wp:posOffset>218440</wp:posOffset>
            </wp:positionV>
            <wp:extent cx="5421630" cy="2055495"/>
            <wp:effectExtent l="4445" t="4445" r="22225" b="16510"/>
            <wp:wrapTopAndBottom/>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eastAsia="仿宋_GB2312"/>
          <w:b w:val="0"/>
          <w:sz w:val="32"/>
          <w:szCs w:val="32"/>
        </w:rPr>
        <w:t>2024年度财政拨款支出7,779.65万元，主要用于以下方面：</w:t>
      </w:r>
    </w:p>
    <w:p>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一般公共预算财政拨款支出</w:t>
      </w:r>
      <w:r>
        <w:rPr>
          <w:rFonts w:hint="eastAsia" w:ascii="Times New Roman" w:hAnsi="Times New Roman" w:eastAsia="仿宋_GB2312" w:cs="Times New Roman"/>
          <w:b/>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万元，占0%；外交（类）支出0万元，占0%；国防（类）支出0万元，占0%；公共安全类（类）支出0万元，占0%；教育（类）支出0万元，占0%；科学技术（类）支出0万元，占0%；文化旅游体育与传媒（类）支出0万元，占0%；社会保障和就业（类）支出5,668.48万元，占72.9%，主要用于最低生活保障、特困人员救助供养、养老服务体系建设、 残疾人生活补贴和护理补贴、孤儿生活补助、高龄补贴等支出；卫生健康（类）支出22.34万元，占0.3%，主要用于职工基本医疗保险缴费等支出；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29.21万元，占0.4%，主要用于职工住房公积金等支出；粮油物资储备（类）支出0万元，占0%；国有资本经营预算支出0万元，占0%；害防治及应急管理（类）支出0万元，占0%；其他（类）支出0万元，占0%；债务还本（类）支出0万元，占0%；债务付息（类）支出0万元，占0%；抗疫特别国债安排的支出0万元，占0%。</w:t>
      </w:r>
    </w:p>
    <w:p>
      <w:pPr>
        <w:widowControl/>
        <w:spacing w:before="0" w:beforeLines="0" w:beforeAutospacing="0" w:after="0" w:afterLines="0" w:afterAutospacing="0" w:line="360" w:lineRule="auto"/>
        <w:ind w:firstLine="643" w:firstLineChars="200"/>
        <w:jc w:val="left"/>
        <w:rPr>
          <w:rFonts w:hint="eastAsia" w:ascii="Times New Roman" w:hAnsi="Times New Roman" w:eastAsia="仿宋_GB2312" w:cs="Times New Roman"/>
          <w:b/>
          <w:sz w:val="32"/>
          <w:szCs w:val="32"/>
        </w:rPr>
      </w:pPr>
      <w:r>
        <w:rPr>
          <w:rFonts w:hint="eastAsia" w:ascii="Times New Roman" w:hAnsi="Times New Roman" w:eastAsia="仿宋_GB2312" w:cs="Times New Roman"/>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其他（类）支出2,059.63万元，占26.5%，主要用于社会福利方面的福利彩票公益金等支出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hint="eastAsia" w:ascii="Times New Roman" w:hAnsi="Times New Roman" w:eastAsia="仿宋_GB2312" w:cs="Times New Roman"/>
          <w:b/>
          <w:sz w:val="32"/>
          <w:szCs w:val="32"/>
        </w:rPr>
      </w:pPr>
      <w:r>
        <w:rPr>
          <w:rFonts w:hint="eastAsia" w:ascii="Times New Roman" w:hAnsi="Times New Roman" w:eastAsia="仿宋_GB2312" w:cs="Times New Roman"/>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社会保障和就业（类）支出0万元，占0%，主要</w:t>
      </w:r>
      <w:r>
        <w:rPr>
          <w:rFonts w:hint="eastAsia" w:ascii="Times New Roman" w:eastAsia="仿宋_GB2312"/>
          <w:b w:val="0"/>
          <w:sz w:val="32"/>
          <w:szCs w:val="32"/>
          <w:lang w:val="en-US" w:eastAsia="zh-CN"/>
        </w:rPr>
        <w:t>没有</w:t>
      </w:r>
      <w:r>
        <w:rPr>
          <w:rFonts w:ascii="Times New Roman" w:eastAsia="仿宋_GB2312"/>
          <w:b w:val="0"/>
          <w:sz w:val="32"/>
          <w:szCs w:val="32"/>
        </w:rPr>
        <w:t>社会保障和就业（类）支出；卫生健康（类）支出0万元，占0%，主要</w:t>
      </w:r>
      <w:r>
        <w:rPr>
          <w:rFonts w:hint="eastAsia" w:ascii="Times New Roman" w:eastAsia="仿宋_GB2312"/>
          <w:b w:val="0"/>
          <w:sz w:val="32"/>
          <w:szCs w:val="32"/>
          <w:lang w:val="en-US" w:eastAsia="zh-CN"/>
        </w:rPr>
        <w:t>没有</w:t>
      </w:r>
      <w:r>
        <w:rPr>
          <w:rFonts w:ascii="Times New Roman" w:eastAsia="仿宋_GB2312"/>
          <w:b w:val="0"/>
          <w:sz w:val="32"/>
          <w:szCs w:val="32"/>
        </w:rPr>
        <w:t>卫生健康（类）支出；住房保障（类）支出0万元，占0%，主要</w:t>
      </w:r>
      <w:r>
        <w:rPr>
          <w:rFonts w:hint="eastAsia" w:ascii="Times New Roman" w:eastAsia="仿宋_GB2312"/>
          <w:b w:val="0"/>
          <w:sz w:val="32"/>
          <w:szCs w:val="32"/>
          <w:lang w:eastAsia="zh-CN"/>
        </w:rPr>
        <w:t>是</w:t>
      </w:r>
      <w:r>
        <w:rPr>
          <w:rFonts w:hint="eastAsia" w:ascii="Times New Roman" w:eastAsia="仿宋_GB2312"/>
          <w:b w:val="0"/>
          <w:sz w:val="32"/>
          <w:szCs w:val="32"/>
          <w:lang w:val="en-US" w:eastAsia="zh-CN"/>
        </w:rPr>
        <w:t>没有</w:t>
      </w:r>
      <w:r>
        <w:rPr>
          <w:rFonts w:ascii="Times New Roman" w:eastAsia="仿宋_GB2312"/>
          <w:b w:val="0"/>
          <w:sz w:val="32"/>
          <w:szCs w:val="32"/>
        </w:rPr>
        <w:t>住房保障</w:t>
      </w:r>
      <w:r>
        <w:rPr>
          <w:rFonts w:hint="eastAsia" w:ascii="Times New Roman" w:eastAsia="仿宋_GB2312"/>
          <w:b w:val="0"/>
          <w:sz w:val="32"/>
          <w:szCs w:val="32"/>
          <w:lang w:val="en-US" w:eastAsia="zh-CN"/>
        </w:rPr>
        <w:t>方面资金</w:t>
      </w:r>
      <w:r>
        <w:rPr>
          <w:rFonts w:ascii="Times New Roman" w:eastAsia="仿宋_GB2312"/>
          <w:b w:val="0"/>
          <w:sz w:val="32"/>
          <w:szCs w:val="32"/>
        </w:rPr>
        <w:t>支出</w:t>
      </w:r>
      <w:r>
        <w:rPr>
          <w:rFonts w:hint="eastAsia" w:ascii="Times New Roman" w:eastAsia="仿宋_GB2312"/>
          <w:b w:val="0"/>
          <w:sz w:val="32"/>
          <w:szCs w:val="32"/>
          <w:lang w:eastAsia="zh-CN"/>
        </w:rPr>
        <w:t>。</w:t>
      </w:r>
    </w:p>
    <w:p>
      <w:pPr>
        <w:adjustRightInd w:val="0"/>
        <w:snapToGrid w:val="0"/>
        <w:spacing w:line="580" w:lineRule="exact"/>
        <w:rPr>
          <w:rFonts w:ascii="Times New Roman" w:hAnsi="Times New Roman" w:eastAsia="楷体_GB2312" w:cs="Times New Roman"/>
          <w:b/>
          <w:bCs/>
          <w:sz w:val="32"/>
          <w:szCs w:val="32"/>
        </w:rPr>
      </w:pPr>
    </w:p>
    <w:p>
      <w:pPr>
        <w:adjustRightInd w:val="0"/>
        <w:snapToGrid w:val="0"/>
        <w:spacing w:line="580" w:lineRule="exact"/>
        <w:rPr>
          <w:rFonts w:ascii="Times New Roman" w:hAnsi="Times New Roman" w:eastAsia="楷体_GB2312" w:cs="Times New Roman"/>
          <w:b/>
          <w:bCs/>
          <w:sz w:val="32"/>
          <w:szCs w:val="32"/>
        </w:rPr>
      </w:pPr>
    </w:p>
    <w:p>
      <w:pPr>
        <w:adjustRightInd w:val="0"/>
        <w:snapToGrid w:val="0"/>
        <w:spacing w:line="580" w:lineRule="exact"/>
        <w:rPr>
          <w:rFonts w:ascii="Times New Roman" w:hAnsi="Times New Roman" w:eastAsia="楷体_GB2312" w:cs="Times New Roman"/>
          <w:b/>
          <w:bCs/>
          <w:sz w:val="32"/>
          <w:szCs w:val="32"/>
        </w:rPr>
      </w:pPr>
      <w:r>
        <w:rPr>
          <w:rFonts w:ascii="Times New Roman" w:hAnsi="Times New Roman" w:eastAsia="仿宋_GB2312"/>
          <w:kern w:val="2"/>
          <w:sz w:val="32"/>
          <w:szCs w:val="32"/>
          <w:lang w:val="zh-CN"/>
        </w:rPr>
        <w:drawing>
          <wp:anchor distT="0" distB="0" distL="114300" distR="114300" simplePos="0" relativeHeight="251668480" behindDoc="0" locked="0" layoutInCell="1" allowOverlap="1">
            <wp:simplePos x="0" y="0"/>
            <wp:positionH relativeFrom="column">
              <wp:posOffset>182880</wp:posOffset>
            </wp:positionH>
            <wp:positionV relativeFrom="paragraph">
              <wp:posOffset>69215</wp:posOffset>
            </wp:positionV>
            <wp:extent cx="5573395" cy="2975610"/>
            <wp:effectExtent l="4445" t="4445" r="10160" b="17145"/>
            <wp:wrapTopAndBottom/>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2024年度财政拨款基本支出542.49万元，其中：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506.68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35.81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2.2万元，支出决算为2.2万元，完成预算的100%，较预算减少0万元，降低0%，主要原因是厉行节约，严控“三公”经费支出，与上年持平；较2023年度决算增加0.01万元，增长0.5%，主要原因是公务用车进行了维修保养，支出增加。</w:t>
      </w:r>
    </w:p>
    <w:p>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hAnsi="Times New Roman" w:eastAsia="楷体_GB2312" w:cs="Times New Roman"/>
          <w:b/>
          <w:bCs/>
          <w:sz w:val="32"/>
          <w:szCs w:val="32"/>
        </w:rPr>
        <w:t>1.因公出国（境）费支出情况。</w:t>
      </w:r>
      <w:r>
        <w:rPr>
          <w:rFonts w:ascii="Times New Roman" w:eastAsia="仿宋_GB2312"/>
          <w:b w:val="0"/>
          <w:sz w:val="32"/>
          <w:szCs w:val="32"/>
        </w:rPr>
        <w:t>本部门2024年度因公出国（境）费支出预算为0万元,支出决算0万元。完成预算的0%。因公出国（境）费支出较预算增加0万元，增长0%,主要原因是没有因公出国（境）支出，较上年持平；较上年增加0万元，增长0%,主要原因是没有因公出国（境）支出，较上年持平。因公出国（境）团组0个、共0人、参加其他单位组织的因公出国（境）团组0个、共0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hAnsi="Times New Roman" w:eastAsia="楷体_GB2312" w:cs="Times New Roman"/>
          <w:b/>
          <w:bCs/>
          <w:sz w:val="32"/>
          <w:szCs w:val="32"/>
        </w:rPr>
        <w:t>2.公务用车购置及运行维护费支出情况。</w:t>
      </w:r>
      <w:r>
        <w:rPr>
          <w:rFonts w:ascii="Times New Roman" w:eastAsia="仿宋_GB2312"/>
          <w:b w:val="0"/>
          <w:sz w:val="32"/>
          <w:szCs w:val="32"/>
        </w:rPr>
        <w:t>本部门2024年度公务用车购置及运行维护费预算为2.2万元，支出决算2.2万元，完成预算的100%,较预算减少0万元，降低0%,主要原因是厉行节约，严控“三公”经费支出，与上年持平；较上年增加0.01万元，增长0.5%,主要原因是公务用车进行了维修保养，支出增加。其中：</w:t>
      </w:r>
    </w:p>
    <w:p>
      <w:pPr>
        <w:adjustRightInd w:val="0"/>
        <w:snapToGrid w:val="0"/>
        <w:spacing w:line="580" w:lineRule="exact"/>
        <w:ind w:firstLine="643"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本部门2024年度公务用车购置量</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辆，发生“公务用车购置”经费支出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万元。公务用车购置费支出较预算增加（减少）</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万元，增长（降低）</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没有发生</w:t>
      </w:r>
      <w:r>
        <w:rPr>
          <w:rFonts w:ascii="Times New Roman" w:hAnsi="Times New Roman" w:eastAsia="仿宋_GB2312" w:cs="Times New Roman"/>
          <w:sz w:val="32"/>
          <w:szCs w:val="32"/>
        </w:rPr>
        <w:t>“公务用车购置”</w:t>
      </w:r>
      <w:r>
        <w:rPr>
          <w:rFonts w:ascii="Times New Roman" w:hAnsi="Times New Roman" w:eastAsia="仿宋_GB2312" w:cs="Times New Roman"/>
          <w:color w:val="auto"/>
          <w:sz w:val="32"/>
          <w:szCs w:val="32"/>
          <w:highlight w:val="none"/>
        </w:rPr>
        <w:t>经费支出；较上年增加（减少）</w:t>
      </w:r>
      <w:r>
        <w:rPr>
          <w:rFonts w:hint="eastAsia" w:ascii="Times New Roman" w:hAnsi="Times New Roman" w:eastAsia="仿宋_GB2312" w:cs="Times New Roman"/>
          <w:color w:val="auto"/>
          <w:sz w:val="32"/>
          <w:szCs w:val="32"/>
          <w:highlight w:val="none"/>
          <w:lang w:val="en-US" w:eastAsia="zh-CN"/>
        </w:rPr>
        <w:t>0</w:t>
      </w:r>
      <w:r>
        <w:rPr>
          <w:rFonts w:ascii="Times New Roman" w:hAnsi="Times New Roman" w:eastAsia="仿宋_GB2312" w:cs="Times New Roman"/>
          <w:color w:val="auto"/>
          <w:sz w:val="32"/>
          <w:szCs w:val="32"/>
          <w:highlight w:val="none"/>
        </w:rPr>
        <w:t>万元，增长（降低）</w:t>
      </w:r>
      <w:r>
        <w:rPr>
          <w:rFonts w:hint="eastAsia" w:ascii="Times New Roman" w:hAnsi="Times New Roman" w:eastAsia="仿宋_GB2312" w:cs="Times New Roman"/>
          <w:color w:val="auto"/>
          <w:sz w:val="32"/>
          <w:szCs w:val="32"/>
          <w:highlight w:val="none"/>
          <w:lang w:val="en-US" w:eastAsia="zh-CN"/>
        </w:rPr>
        <w:t>0</w:t>
      </w:r>
      <w:r>
        <w:rPr>
          <w:rFonts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rPr>
        <w:t>，</w:t>
      </w:r>
      <w:r>
        <w:rPr>
          <w:rFonts w:ascii="Times New Roman" w:hAnsi="Times New Roman" w:eastAsia="仿宋_GB2312" w:cs="Times New Roman"/>
          <w:color w:val="auto"/>
          <w:sz w:val="32"/>
          <w:szCs w:val="32"/>
          <w:highlight w:val="none"/>
        </w:rPr>
        <w:t>主要原因是</w:t>
      </w:r>
      <w:r>
        <w:rPr>
          <w:rFonts w:hint="eastAsia" w:ascii="Times New Roman" w:hAnsi="Times New Roman" w:eastAsia="仿宋_GB2312" w:cs="Times New Roman"/>
          <w:color w:val="auto"/>
          <w:sz w:val="32"/>
          <w:szCs w:val="32"/>
          <w:highlight w:val="none"/>
          <w:lang w:val="en-US" w:eastAsia="zh-CN"/>
        </w:rPr>
        <w:t>没有发生</w:t>
      </w:r>
      <w:r>
        <w:rPr>
          <w:rFonts w:ascii="Times New Roman" w:hAnsi="Times New Roman" w:eastAsia="仿宋_GB2312" w:cs="Times New Roman"/>
          <w:color w:val="auto"/>
          <w:sz w:val="32"/>
          <w:szCs w:val="32"/>
          <w:highlight w:val="none"/>
        </w:rPr>
        <w:t>“公务用车购置”经费支出。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2.2</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eastAsia="仿宋_GB2312"/>
          <w:b w:val="0"/>
          <w:sz w:val="32"/>
          <w:szCs w:val="32"/>
        </w:rPr>
        <w:t>本部门2024年度单位公务用车保有量1辆，发生运行维护费支出2.2万元。公车运行维护费支出较预算减少0万元，降低0%,主要原因是厉行节约，严控“三公”经费支出，与上年持平；较上年增加0.01万元，增长0.5%，主要原因是公务用车进行了维修保养，支出增加。</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hAnsi="Times New Roman" w:eastAsia="楷体_GB2312" w:cs="Times New Roman"/>
          <w:b/>
          <w:bCs/>
          <w:sz w:val="32"/>
          <w:szCs w:val="32"/>
        </w:rPr>
        <w:t>3.公务接待费支出情况。</w:t>
      </w:r>
      <w:r>
        <w:rPr>
          <w:rFonts w:ascii="Times New Roman" w:eastAsia="仿宋_GB2312"/>
          <w:b w:val="0"/>
          <w:sz w:val="32"/>
          <w:szCs w:val="32"/>
        </w:rPr>
        <w:t>本部门2024年度公务接待费支出预算为0万元，支出决算0万元，完成预算的0%。公务接待费支出较预算增加0万元，增长0%,主要原因是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公务接待费支出；较上年度增加0万元，增长0%,主要原因是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公务接待费支出。本年度共发生公务接待0批次、0人次。</w:t>
      </w:r>
    </w:p>
    <w:p>
      <w:pPr>
        <w:adjustRightInd w:val="0"/>
        <w:snapToGrid w:val="0"/>
        <w:spacing w:line="580" w:lineRule="exact"/>
        <w:ind w:left="420" w:leftChars="200" w:firstLine="320" w:firstLineChars="100"/>
        <w:rPr>
          <w:rFonts w:ascii="Times New Roman" w:hAnsi="Times New Roman" w:eastAsia="仿宋_GB2312" w:cs="Times New Roman"/>
          <w:sz w:val="32"/>
          <w:szCs w:val="32"/>
          <w:highlight w:val="green"/>
        </w:rPr>
      </w:pPr>
      <w:r>
        <w:rPr>
          <w:rFonts w:ascii="Times New Roman" w:hAnsi="Times New Roman" w:eastAsia="黑体" w:cs="Times New Roman"/>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本部门2024年度机关运行经费支出35.81万元，较2023年度减少2.29万元，降低6%。主要原因是厉行节约，压缩行政运行经费支出。</w:t>
      </w:r>
    </w:p>
    <w:p>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72.7万元，从采购类型来看，政府采购货物支出0万元、政府采购工程支出0万元、政府采购服务支出72.7万元。授予中小企业合同金额72.7万元，占政府采购支出总额的100%，其中授予小微企业合同金额72.7万元，占政府采购支出总额的100%。</w:t>
      </w:r>
    </w:p>
    <w:p>
      <w:pPr>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主要是没有购置公务用车。其中，副部（省）级及以上领导用车0辆，主要负责人用车0辆，机要通信用车0辆，应急保障用车0辆，执法执勤用车0辆，特种专业技术用车0辆，离退休干部用车0辆，其他用车1辆，其他用车主要是机关日常公务用车。单位价值100万元（含）以上设备（不含车辆）0台（套）。</w:t>
      </w:r>
    </w:p>
    <w:p>
      <w:pPr>
        <w:widowControl/>
        <w:spacing w:after="160" w:line="580" w:lineRule="exact"/>
        <w:ind w:firstLine="640" w:firstLineChars="200"/>
        <w:rPr>
          <w:rFonts w:ascii="Times New Roman" w:hAnsi="Times New Roman" w:eastAsia="黑体" w:cs="Times New Roman"/>
          <w:sz w:val="32"/>
          <w:szCs w:val="40"/>
          <w:highlight w:val="none"/>
        </w:rPr>
      </w:pPr>
      <w:r>
        <w:rPr>
          <w:rFonts w:ascii="Times New Roman" w:hAnsi="Times New Roman" w:eastAsia="黑体" w:cs="Times New Roman"/>
          <w:sz w:val="32"/>
          <w:szCs w:val="40"/>
          <w:highlight w:val="none"/>
        </w:rPr>
        <w:t>九、关于2024年度绩效评价情况的说明</w:t>
      </w:r>
    </w:p>
    <w:p>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default" w:ascii="Times New Roman" w:eastAsia="仿宋_GB2312"/>
          <w:b w:val="0"/>
          <w:sz w:val="32"/>
          <w:szCs w:val="32"/>
        </w:rPr>
        <w:t>7237.16</w:t>
      </w:r>
      <w:r>
        <w:rPr>
          <w:rFonts w:ascii="Times New Roman" w:eastAsia="仿宋_GB2312"/>
          <w:b w:val="0"/>
          <w:sz w:val="32"/>
          <w:szCs w:val="32"/>
        </w:rPr>
        <w:t>万元（决算金额）。其中，一般公共预算项目28个，涉及资金</w:t>
      </w:r>
      <w:r>
        <w:rPr>
          <w:rFonts w:hint="default" w:ascii="Times New Roman" w:eastAsia="仿宋_GB2312"/>
          <w:b w:val="0"/>
          <w:sz w:val="32"/>
          <w:szCs w:val="32"/>
        </w:rPr>
        <w:t>7237.16</w:t>
      </w:r>
      <w:r>
        <w:rPr>
          <w:rFonts w:ascii="Times New Roman" w:eastAsia="仿宋_GB2312"/>
          <w:b w:val="0"/>
          <w:sz w:val="32"/>
          <w:szCs w:val="32"/>
        </w:rPr>
        <w:t>万元，占一般公共预算项目支出总额的100%；政府性基金预算项目0个，涉及资金0万元，占政府性基金预算项目支出总额的0%；国有资本经营预算项目0个，涉及资金0万元，占国有资本经营预算项目支出总额的0%。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组织对“低保户、困难家庭春节慰问”等</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个项目开展了部门重点评价，涉及一般公共预算支出19.9万元，政府性基金预算支出0万元，国有资本经营预算支出0万元，从评价情况来看，根据年初设定的绩效目 标,“低保户、困难家庭及孤儿春节慰问”项目绩效评价等级为优秀。</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民政业务经费等</w:t>
      </w:r>
      <w:r>
        <w:rPr>
          <w:rFonts w:ascii="Times New Roman" w:eastAsia="仿宋_GB2312"/>
          <w:b w:val="0"/>
          <w:sz w:val="32"/>
          <w:szCs w:val="32"/>
        </w:rPr>
        <w:t>1</w:t>
      </w:r>
      <w:r>
        <w:rPr>
          <w:rFonts w:hint="eastAsia" w:ascii="Times New Roman" w:eastAsia="仿宋_GB2312"/>
          <w:b w:val="0"/>
          <w:sz w:val="32"/>
          <w:szCs w:val="32"/>
          <w:lang w:val="en-US" w:eastAsia="zh-CN"/>
        </w:rPr>
        <w:t>0</w:t>
      </w:r>
      <w:r>
        <w:rPr>
          <w:rFonts w:ascii="Times New Roman" w:eastAsia="仿宋_GB2312"/>
          <w:b w:val="0"/>
          <w:sz w:val="32"/>
          <w:szCs w:val="32"/>
        </w:rPr>
        <w:t>个项目绩效自评结果。</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ascii="Times New Roman" w:eastAsia="仿宋_GB2312"/>
          <w:b/>
          <w:bCs/>
          <w:sz w:val="32"/>
          <w:szCs w:val="32"/>
        </w:rPr>
        <w:t>低保户、困难家庭及孤儿春节慰问项目绩效自评情况：</w:t>
      </w:r>
      <w:r>
        <w:rPr>
          <w:rFonts w:ascii="Times New Roman" w:eastAsia="仿宋_GB2312"/>
          <w:b w:val="0"/>
          <w:sz w:val="32"/>
          <w:szCs w:val="32"/>
        </w:rPr>
        <w:t>根据年初设定的绩效目标，“低保户、困难家庭及孤儿春节慰问”项目绩效自评得分为100分（绩效自评表附后）。全年预算数为19.9万元，执行数为19.9万元，完成预算的100%。项目绩效目标完成情况：一是为使辖区困难群众过上祥和快乐的 春节，春节前集中进行慰问，对辖区在册的低保家庭 1018 户，每户发放慰问品一份（米、面、油）；二是对在册的特困人员 98 户， 按照每户500 元标准发放慰问金；对低保、特困对象 13户做为市、区领导重点慰问对象，其中 17户按照每户 1000 元标准发放慰问金，每户慰问品一份（米、面、油）；孤儿及事实无人抚养儿童 54人，每人 500元慰问金。通过对辖区重点困难群众节日慰问,使辖区困难群众度过欢乐祥和的春节,充分体现了党和政府对困难群众的关心关爱。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精简职工40%救济补助</w:t>
      </w:r>
      <w:r>
        <w:rPr>
          <w:rFonts w:ascii="Times New Roman" w:eastAsia="仿宋_GB2312"/>
          <w:b/>
          <w:bCs/>
          <w:sz w:val="32"/>
          <w:szCs w:val="32"/>
        </w:rPr>
        <w:t>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精简职工40%救济补助</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1.18</w:t>
      </w:r>
      <w:r>
        <w:rPr>
          <w:rFonts w:ascii="Times New Roman" w:eastAsia="仿宋_GB2312"/>
          <w:b w:val="0"/>
          <w:sz w:val="32"/>
          <w:szCs w:val="32"/>
        </w:rPr>
        <w:t>万元，执行数为</w:t>
      </w:r>
      <w:r>
        <w:rPr>
          <w:rFonts w:hint="eastAsia" w:ascii="Times New Roman" w:eastAsia="仿宋_GB2312"/>
          <w:b w:val="0"/>
          <w:sz w:val="32"/>
          <w:szCs w:val="32"/>
          <w:lang w:val="en-US" w:eastAsia="zh-CN"/>
        </w:rPr>
        <w:t>1.18</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按政策规定及时足额发放了精减职工40%生活救济，保障精减职工的基本生活；按规定标准报销精减职工医药费。</w:t>
      </w:r>
      <w:r>
        <w:rPr>
          <w:rFonts w:ascii="Times New Roman" w:eastAsia="仿宋_GB2312"/>
          <w:b w:val="0"/>
          <w:sz w:val="32"/>
          <w:szCs w:val="32"/>
        </w:rPr>
        <w:t>通过</w:t>
      </w:r>
      <w:r>
        <w:rPr>
          <w:rFonts w:hint="eastAsia" w:ascii="Times New Roman" w:eastAsia="仿宋_GB2312"/>
          <w:b w:val="0"/>
          <w:sz w:val="32"/>
          <w:szCs w:val="32"/>
        </w:rPr>
        <w:t>发放精减职工40%生活救济</w:t>
      </w:r>
      <w:r>
        <w:rPr>
          <w:rFonts w:hint="eastAsia" w:ascii="Times New Roman" w:eastAsia="仿宋_GB2312"/>
          <w:b w:val="0"/>
          <w:sz w:val="32"/>
          <w:szCs w:val="32"/>
          <w:lang w:eastAsia="zh-CN"/>
        </w:rPr>
        <w:t>，保障了精减职工的基本生活；</w:t>
      </w:r>
      <w:r>
        <w:rPr>
          <w:rFonts w:ascii="Times New Roman" w:eastAsia="仿宋_GB2312"/>
          <w:b w:val="0"/>
          <w:sz w:val="32"/>
          <w:szCs w:val="32"/>
        </w:rPr>
        <w:t>充分体现了党和政府对</w:t>
      </w:r>
      <w:r>
        <w:rPr>
          <w:rFonts w:hint="eastAsia" w:ascii="Times New Roman" w:eastAsia="仿宋_GB2312"/>
          <w:b w:val="0"/>
          <w:sz w:val="32"/>
          <w:szCs w:val="32"/>
        </w:rPr>
        <w:t>精减职工40%生活救济</w:t>
      </w:r>
      <w:r>
        <w:rPr>
          <w:rFonts w:ascii="Times New Roman" w:eastAsia="仿宋_GB2312"/>
          <w:b w:val="0"/>
          <w:sz w:val="32"/>
          <w:szCs w:val="32"/>
        </w:rPr>
        <w:t>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节地生态安葬项目绩效自评情况：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节地生态安葬</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5.1</w:t>
      </w:r>
      <w:r>
        <w:rPr>
          <w:rFonts w:ascii="Times New Roman" w:eastAsia="仿宋_GB2312"/>
          <w:b w:val="0"/>
          <w:sz w:val="32"/>
          <w:szCs w:val="32"/>
        </w:rPr>
        <w:t>万元，执行数为</w:t>
      </w:r>
      <w:r>
        <w:rPr>
          <w:rFonts w:hint="eastAsia" w:ascii="Times New Roman" w:eastAsia="仿宋_GB2312"/>
          <w:b w:val="0"/>
          <w:sz w:val="32"/>
          <w:szCs w:val="32"/>
          <w:lang w:val="en-US" w:eastAsia="zh-CN"/>
        </w:rPr>
        <w:t>5.1</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由各街道宣传殡葬改革，推行节地生态安葬，鼓励倡导骨灰海葬、骨灰自然葬</w:t>
      </w:r>
      <w:r>
        <w:rPr>
          <w:rFonts w:hint="eastAsia" w:ascii="Times New Roman" w:eastAsia="仿宋_GB2312"/>
          <w:b w:val="0"/>
          <w:sz w:val="32"/>
          <w:szCs w:val="32"/>
          <w:lang w:eastAsia="zh-CN"/>
        </w:rPr>
        <w:t>。</w:t>
      </w:r>
      <w:r>
        <w:rPr>
          <w:rFonts w:ascii="Times New Roman" w:eastAsia="仿宋_GB2312"/>
          <w:b w:val="0"/>
          <w:sz w:val="32"/>
          <w:szCs w:val="32"/>
        </w:rPr>
        <w:t>通过</w:t>
      </w:r>
      <w:r>
        <w:rPr>
          <w:rFonts w:hint="eastAsia" w:ascii="Times New Roman" w:eastAsia="仿宋_GB2312"/>
          <w:b w:val="0"/>
          <w:sz w:val="32"/>
          <w:szCs w:val="32"/>
        </w:rPr>
        <w:t>发放节地生态安葬</w:t>
      </w:r>
      <w:r>
        <w:rPr>
          <w:rFonts w:hint="eastAsia" w:ascii="Times New Roman" w:eastAsia="仿宋_GB2312"/>
          <w:b w:val="0"/>
          <w:sz w:val="32"/>
          <w:szCs w:val="32"/>
          <w:lang w:val="en-US" w:eastAsia="zh-CN"/>
        </w:rPr>
        <w:t>奖补资金</w:t>
      </w:r>
      <w:r>
        <w:rPr>
          <w:rFonts w:hint="eastAsia" w:ascii="Times New Roman" w:eastAsia="仿宋_GB2312"/>
          <w:b w:val="0"/>
          <w:sz w:val="32"/>
          <w:szCs w:val="32"/>
          <w:lang w:eastAsia="zh-CN"/>
        </w:rPr>
        <w:t>，保障了</w:t>
      </w:r>
      <w:r>
        <w:rPr>
          <w:rFonts w:hint="eastAsia" w:ascii="Times New Roman" w:eastAsia="仿宋_GB2312"/>
          <w:b w:val="0"/>
          <w:sz w:val="32"/>
          <w:szCs w:val="32"/>
        </w:rPr>
        <w:t>节地生态安葬</w:t>
      </w:r>
      <w:r>
        <w:rPr>
          <w:rFonts w:hint="eastAsia" w:ascii="Times New Roman" w:eastAsia="仿宋_GB2312"/>
          <w:b w:val="0"/>
          <w:sz w:val="32"/>
          <w:szCs w:val="32"/>
          <w:lang w:val="en-US" w:eastAsia="zh-CN"/>
        </w:rPr>
        <w:t>工作顺利开展</w:t>
      </w:r>
      <w:r>
        <w:rPr>
          <w:rFonts w:hint="eastAsia" w:ascii="Times New Roman" w:eastAsia="仿宋_GB2312"/>
          <w:b w:val="0"/>
          <w:sz w:val="32"/>
          <w:szCs w:val="32"/>
          <w:lang w:eastAsia="zh-CN"/>
        </w:rPr>
        <w:t>；</w:t>
      </w:r>
      <w:r>
        <w:rPr>
          <w:rFonts w:ascii="Times New Roman" w:eastAsia="仿宋_GB2312"/>
          <w:b w:val="0"/>
          <w:sz w:val="32"/>
          <w:szCs w:val="32"/>
        </w:rPr>
        <w:t>充分体现了党和政府对</w:t>
      </w:r>
      <w:r>
        <w:rPr>
          <w:rFonts w:hint="eastAsia" w:ascii="Times New Roman" w:eastAsia="仿宋_GB2312"/>
          <w:b w:val="0"/>
          <w:sz w:val="32"/>
          <w:szCs w:val="32"/>
        </w:rPr>
        <w:t>节地生态安葬</w:t>
      </w:r>
      <w:r>
        <w:rPr>
          <w:rFonts w:hint="eastAsia" w:ascii="Times New Roman" w:eastAsia="仿宋_GB2312"/>
          <w:b w:val="0"/>
          <w:sz w:val="32"/>
          <w:szCs w:val="32"/>
          <w:lang w:val="en-US" w:eastAsia="zh-CN"/>
        </w:rPr>
        <w:t>工作</w:t>
      </w:r>
      <w:r>
        <w:rPr>
          <w:rFonts w:ascii="Times New Roman" w:eastAsia="仿宋_GB2312"/>
          <w:b w:val="0"/>
          <w:sz w:val="32"/>
          <w:szCs w:val="32"/>
        </w:rPr>
        <w:t>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桥西区社区服务中心及东顺经费项目绩效自评情况：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桥西区社区服务中心及东顺经费</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36.14</w:t>
      </w:r>
      <w:r>
        <w:rPr>
          <w:rFonts w:ascii="Times New Roman" w:eastAsia="仿宋_GB2312"/>
          <w:b w:val="0"/>
          <w:sz w:val="32"/>
          <w:szCs w:val="32"/>
        </w:rPr>
        <w:t>万元，执行数为</w:t>
      </w:r>
      <w:r>
        <w:rPr>
          <w:rFonts w:hint="eastAsia" w:ascii="Times New Roman" w:eastAsia="仿宋_GB2312"/>
          <w:b w:val="0"/>
          <w:sz w:val="32"/>
          <w:szCs w:val="32"/>
          <w:lang w:val="en-US" w:eastAsia="zh-CN"/>
        </w:rPr>
        <w:t>36.14</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按时发放人员工资，缴纳各项保险；保障人员福利待遇及工作经费</w:t>
      </w:r>
      <w:r>
        <w:rPr>
          <w:rFonts w:hint="eastAsia" w:ascii="Times New Roman" w:eastAsia="仿宋_GB2312"/>
          <w:b w:val="0"/>
          <w:sz w:val="32"/>
          <w:szCs w:val="32"/>
          <w:lang w:val="en-US" w:eastAsia="zh-CN"/>
        </w:rPr>
        <w:t>以及</w:t>
      </w:r>
      <w:r>
        <w:rPr>
          <w:rFonts w:hint="eastAsia" w:ascii="Times New Roman" w:eastAsia="仿宋_GB2312"/>
          <w:b w:val="0"/>
          <w:sz w:val="32"/>
          <w:szCs w:val="32"/>
        </w:rPr>
        <w:t>工作的顺利进行。</w:t>
      </w:r>
      <w:r>
        <w:rPr>
          <w:rFonts w:hint="eastAsia" w:ascii="Times New Roman" w:eastAsia="仿宋_GB2312"/>
          <w:b w:val="0"/>
          <w:sz w:val="32"/>
          <w:szCs w:val="32"/>
          <w:lang w:val="en-US" w:eastAsia="zh-CN"/>
        </w:rPr>
        <w:t>及时</w:t>
      </w:r>
      <w:r>
        <w:rPr>
          <w:rFonts w:hint="eastAsia" w:ascii="Times New Roman" w:eastAsia="仿宋_GB2312"/>
          <w:b w:val="0"/>
          <w:sz w:val="32"/>
          <w:szCs w:val="32"/>
        </w:rPr>
        <w:t>发放社区服务中心人员</w:t>
      </w:r>
      <w:r>
        <w:rPr>
          <w:rFonts w:hint="eastAsia" w:ascii="Times New Roman" w:eastAsia="仿宋_GB2312"/>
          <w:b w:val="0"/>
          <w:sz w:val="32"/>
          <w:szCs w:val="32"/>
          <w:lang w:eastAsia="zh-CN"/>
        </w:rPr>
        <w:t>的</w:t>
      </w:r>
      <w:r>
        <w:rPr>
          <w:rFonts w:hint="eastAsia" w:ascii="Times New Roman" w:eastAsia="仿宋_GB2312"/>
          <w:b w:val="0"/>
          <w:sz w:val="32"/>
          <w:szCs w:val="32"/>
          <w:lang w:val="en-US" w:eastAsia="zh-CN"/>
        </w:rPr>
        <w:t>工资、保险等</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确保</w:t>
      </w:r>
      <w:r>
        <w:rPr>
          <w:rFonts w:hint="eastAsia" w:ascii="Times New Roman" w:eastAsia="仿宋_GB2312"/>
          <w:b w:val="0"/>
          <w:sz w:val="32"/>
          <w:szCs w:val="32"/>
        </w:rPr>
        <w:t>人员</w:t>
      </w:r>
      <w:r>
        <w:rPr>
          <w:rFonts w:hint="eastAsia" w:ascii="Times New Roman" w:eastAsia="仿宋_GB2312"/>
          <w:b w:val="0"/>
          <w:sz w:val="32"/>
          <w:szCs w:val="32"/>
          <w:lang w:eastAsia="zh-CN"/>
        </w:rPr>
        <w:t>基本生活</w:t>
      </w:r>
      <w:r>
        <w:rPr>
          <w:rFonts w:hint="eastAsia" w:ascii="Times New Roman" w:eastAsia="仿宋_GB2312"/>
          <w:b w:val="0"/>
          <w:sz w:val="32"/>
          <w:szCs w:val="32"/>
          <w:lang w:val="en-US" w:eastAsia="zh-CN"/>
        </w:rPr>
        <w:t>的正常运行</w:t>
      </w:r>
      <w:r>
        <w:rPr>
          <w:rFonts w:hint="eastAsia" w:ascii="Times New Roman" w:eastAsia="仿宋_GB2312"/>
          <w:b w:val="0"/>
          <w:sz w:val="32"/>
          <w:szCs w:val="32"/>
          <w:lang w:eastAsia="zh-CN"/>
        </w:rPr>
        <w:t>；</w:t>
      </w:r>
      <w:r>
        <w:rPr>
          <w:rFonts w:ascii="Times New Roman" w:eastAsia="仿宋_GB2312"/>
          <w:b w:val="0"/>
          <w:sz w:val="32"/>
          <w:szCs w:val="32"/>
        </w:rPr>
        <w:t>充分</w:t>
      </w:r>
      <w:r>
        <w:rPr>
          <w:rFonts w:hint="eastAsia" w:ascii="Times New Roman" w:eastAsia="仿宋_GB2312"/>
          <w:b w:val="0"/>
          <w:sz w:val="32"/>
          <w:szCs w:val="32"/>
          <w:lang w:val="en-US" w:eastAsia="zh-CN"/>
        </w:rPr>
        <w:t>展示出</w:t>
      </w:r>
      <w:r>
        <w:rPr>
          <w:rFonts w:ascii="Times New Roman" w:eastAsia="仿宋_GB2312"/>
          <w:b w:val="0"/>
          <w:sz w:val="32"/>
          <w:szCs w:val="32"/>
        </w:rPr>
        <w:t>党和政府对</w:t>
      </w:r>
      <w:r>
        <w:rPr>
          <w:rFonts w:hint="eastAsia" w:ascii="Times New Roman" w:eastAsia="仿宋_GB2312"/>
          <w:b w:val="0"/>
          <w:sz w:val="32"/>
          <w:szCs w:val="32"/>
        </w:rPr>
        <w:t>职工</w:t>
      </w:r>
      <w:r>
        <w:rPr>
          <w:rFonts w:hint="eastAsia" w:ascii="Times New Roman" w:eastAsia="仿宋_GB2312"/>
          <w:b w:val="0"/>
          <w:sz w:val="32"/>
          <w:szCs w:val="32"/>
          <w:lang w:val="en-US" w:eastAsia="zh-CN"/>
        </w:rPr>
        <w:t>基本</w:t>
      </w:r>
      <w:r>
        <w:rPr>
          <w:rFonts w:hint="eastAsia" w:ascii="Times New Roman" w:eastAsia="仿宋_GB2312"/>
          <w:b w:val="0"/>
          <w:sz w:val="32"/>
          <w:szCs w:val="32"/>
        </w:rPr>
        <w:t>生活</w:t>
      </w:r>
      <w:r>
        <w:rPr>
          <w:rFonts w:hint="eastAsia" w:ascii="Times New Roman" w:eastAsia="仿宋_GB2312"/>
          <w:b w:val="0"/>
          <w:sz w:val="32"/>
          <w:szCs w:val="32"/>
          <w:lang w:eastAsia="zh-CN"/>
        </w:rPr>
        <w:t>的</w:t>
      </w:r>
      <w:r>
        <w:rPr>
          <w:rFonts w:hint="eastAsia" w:ascii="Times New Roman" w:eastAsia="仿宋_GB2312"/>
          <w:b w:val="0"/>
          <w:sz w:val="32"/>
          <w:szCs w:val="32"/>
          <w:lang w:val="en-US" w:eastAsia="zh-CN"/>
        </w:rPr>
        <w:t>关心</w:t>
      </w:r>
      <w:r>
        <w:rPr>
          <w:rFonts w:ascii="Times New Roman" w:eastAsia="仿宋_GB2312"/>
          <w:b w:val="0"/>
          <w:sz w:val="32"/>
          <w:szCs w:val="32"/>
        </w:rPr>
        <w:t>。</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法律咨询服务费项目绩效自评情况：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法律咨询服务费</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1.6</w:t>
      </w:r>
      <w:r>
        <w:rPr>
          <w:rFonts w:ascii="Times New Roman" w:eastAsia="仿宋_GB2312"/>
          <w:b w:val="0"/>
          <w:sz w:val="32"/>
          <w:szCs w:val="32"/>
        </w:rPr>
        <w:t>万元，执行数为</w:t>
      </w:r>
      <w:r>
        <w:rPr>
          <w:rFonts w:hint="eastAsia" w:ascii="Times New Roman" w:eastAsia="仿宋_GB2312"/>
          <w:b w:val="0"/>
          <w:sz w:val="32"/>
          <w:szCs w:val="32"/>
          <w:lang w:val="en-US" w:eastAsia="zh-CN"/>
        </w:rPr>
        <w:t>1.6</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通过法律咨询，对规范性文件、合同进行合法性审查，降低了风险，提高了业务工作人员法律知识，提高行政执法能力和水平。</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孤儿助学项目绩效自评情况：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孤儿助学</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rPr>
        <w:t>2.25</w:t>
      </w:r>
      <w:r>
        <w:rPr>
          <w:rFonts w:ascii="Times New Roman" w:eastAsia="仿宋_GB2312"/>
          <w:b w:val="0"/>
          <w:sz w:val="32"/>
          <w:szCs w:val="32"/>
        </w:rPr>
        <w:t>万元，执行数为</w:t>
      </w:r>
      <w:r>
        <w:rPr>
          <w:rFonts w:hint="eastAsia" w:ascii="Times New Roman" w:eastAsia="仿宋_GB2312"/>
          <w:b w:val="0"/>
          <w:sz w:val="32"/>
          <w:szCs w:val="32"/>
        </w:rPr>
        <w:t>2.25</w:t>
      </w:r>
      <w:r>
        <w:rPr>
          <w:rFonts w:ascii="Times New Roman" w:eastAsia="仿宋_GB2312"/>
          <w:b w:val="0"/>
          <w:sz w:val="32"/>
          <w:szCs w:val="32"/>
        </w:rPr>
        <w:t>万元，完成预算的100%。项目绩效目标完成情况：</w:t>
      </w:r>
      <w:r>
        <w:rPr>
          <w:rFonts w:hint="eastAsia" w:ascii="Times New Roman" w:eastAsia="仿宋_GB2312"/>
          <w:b w:val="0"/>
          <w:sz w:val="32"/>
          <w:szCs w:val="32"/>
          <w:lang w:val="en-US" w:eastAsia="zh-CN"/>
        </w:rPr>
        <w:t>及时对</w:t>
      </w:r>
      <w:r>
        <w:rPr>
          <w:rFonts w:ascii="Times New Roman" w:eastAsia="仿宋_GB2312"/>
          <w:b w:val="0"/>
          <w:sz w:val="32"/>
          <w:szCs w:val="32"/>
        </w:rPr>
        <w:t>辖区</w:t>
      </w:r>
      <w:r>
        <w:rPr>
          <w:rFonts w:hint="eastAsia" w:ascii="Times New Roman" w:eastAsia="仿宋_GB2312"/>
          <w:b w:val="0"/>
          <w:sz w:val="32"/>
          <w:szCs w:val="32"/>
          <w:lang w:eastAsia="zh-CN"/>
        </w:rPr>
        <w:t>内</w:t>
      </w:r>
      <w:r>
        <w:rPr>
          <w:rFonts w:hint="eastAsia" w:ascii="Times New Roman" w:eastAsia="仿宋_GB2312"/>
          <w:b w:val="0"/>
          <w:sz w:val="32"/>
          <w:szCs w:val="32"/>
        </w:rPr>
        <w:t>符合条件的孤儿全部纳入了保障范围；按标准及时足额发放孤儿助学金</w:t>
      </w:r>
      <w:r>
        <w:rPr>
          <w:rFonts w:ascii="Times New Roman" w:eastAsia="仿宋_GB2312"/>
          <w:b w:val="0"/>
          <w:sz w:val="32"/>
          <w:szCs w:val="32"/>
        </w:rPr>
        <w:t>。通过</w:t>
      </w:r>
      <w:r>
        <w:rPr>
          <w:rFonts w:hint="eastAsia" w:ascii="Times New Roman" w:eastAsia="仿宋_GB2312"/>
          <w:b w:val="0"/>
          <w:sz w:val="32"/>
          <w:szCs w:val="32"/>
        </w:rPr>
        <w:t>发放孤儿助学金</w:t>
      </w:r>
      <w:r>
        <w:rPr>
          <w:rFonts w:hint="eastAsia" w:ascii="Times New Roman" w:eastAsia="仿宋_GB2312"/>
          <w:b w:val="0"/>
          <w:sz w:val="32"/>
          <w:szCs w:val="32"/>
          <w:lang w:eastAsia="zh-CN"/>
        </w:rPr>
        <w:t>，保障了</w:t>
      </w:r>
      <w:r>
        <w:rPr>
          <w:rFonts w:hint="eastAsia" w:ascii="Times New Roman" w:eastAsia="仿宋_GB2312"/>
          <w:b w:val="0"/>
          <w:sz w:val="32"/>
          <w:szCs w:val="32"/>
        </w:rPr>
        <w:t>孤儿助学</w:t>
      </w:r>
      <w:r>
        <w:rPr>
          <w:rFonts w:hint="eastAsia" w:ascii="Times New Roman" w:eastAsia="仿宋_GB2312"/>
          <w:b w:val="0"/>
          <w:sz w:val="32"/>
          <w:szCs w:val="32"/>
          <w:lang w:val="en-US" w:eastAsia="zh-CN"/>
        </w:rPr>
        <w:t>工作的顺利开展</w:t>
      </w:r>
      <w:r>
        <w:rPr>
          <w:rFonts w:hint="eastAsia" w:ascii="Times New Roman" w:eastAsia="仿宋_GB2312"/>
          <w:b w:val="0"/>
          <w:sz w:val="32"/>
          <w:szCs w:val="32"/>
          <w:lang w:eastAsia="zh-CN"/>
        </w:rPr>
        <w:t>；</w:t>
      </w:r>
      <w:r>
        <w:rPr>
          <w:rFonts w:ascii="Times New Roman" w:eastAsia="仿宋_GB2312"/>
          <w:b w:val="0"/>
          <w:sz w:val="32"/>
          <w:szCs w:val="32"/>
        </w:rPr>
        <w:t>充分体现了党和政府对</w:t>
      </w:r>
      <w:r>
        <w:rPr>
          <w:rFonts w:hint="eastAsia" w:ascii="Times New Roman" w:eastAsia="仿宋_GB2312"/>
          <w:b w:val="0"/>
          <w:sz w:val="32"/>
          <w:szCs w:val="32"/>
        </w:rPr>
        <w:t>孤儿助学</w:t>
      </w:r>
      <w:r>
        <w:rPr>
          <w:rFonts w:hint="eastAsia" w:ascii="Times New Roman" w:eastAsia="仿宋_GB2312"/>
          <w:b w:val="0"/>
          <w:sz w:val="32"/>
          <w:szCs w:val="32"/>
          <w:lang w:val="en-US" w:eastAsia="zh-CN"/>
        </w:rPr>
        <w:t>工作</w:t>
      </w:r>
      <w:r>
        <w:rPr>
          <w:rFonts w:ascii="Times New Roman" w:eastAsia="仿宋_GB2312"/>
          <w:b w:val="0"/>
          <w:sz w:val="32"/>
          <w:szCs w:val="32"/>
        </w:rPr>
        <w:t>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城市最低生活保障金（专项资金）项目绩效自评情况：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城市最低生活保障金</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1276.27</w:t>
      </w:r>
      <w:r>
        <w:rPr>
          <w:rFonts w:ascii="Times New Roman" w:eastAsia="仿宋_GB2312"/>
          <w:b w:val="0"/>
          <w:sz w:val="32"/>
          <w:szCs w:val="32"/>
        </w:rPr>
        <w:t>万元，执行数为</w:t>
      </w:r>
      <w:r>
        <w:rPr>
          <w:rFonts w:hint="eastAsia" w:ascii="Times New Roman" w:eastAsia="仿宋_GB2312"/>
          <w:b w:val="0"/>
          <w:sz w:val="32"/>
          <w:szCs w:val="32"/>
          <w:lang w:val="en-US" w:eastAsia="zh-CN"/>
        </w:rPr>
        <w:t>1276.27</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按政策标准及时足额发放最低生活保障金；完成低保年审工作，将符合救助条件的全部纳入低保保障范围</w:t>
      </w:r>
      <w:r>
        <w:rPr>
          <w:rFonts w:hint="eastAsia" w:ascii="Times New Roman" w:eastAsia="仿宋_GB2312"/>
          <w:b w:val="0"/>
          <w:sz w:val="32"/>
          <w:szCs w:val="32"/>
          <w:lang w:eastAsia="zh-CN"/>
        </w:rPr>
        <w:t>。</w:t>
      </w:r>
      <w:r>
        <w:rPr>
          <w:rFonts w:ascii="Times New Roman" w:eastAsia="仿宋_GB2312"/>
          <w:b w:val="0"/>
          <w:sz w:val="32"/>
          <w:szCs w:val="32"/>
        </w:rPr>
        <w:t>通过对辖区</w:t>
      </w:r>
      <w:r>
        <w:rPr>
          <w:rFonts w:hint="eastAsia" w:ascii="Times New Roman" w:eastAsia="仿宋_GB2312"/>
          <w:b w:val="0"/>
          <w:sz w:val="32"/>
          <w:szCs w:val="32"/>
        </w:rPr>
        <w:t>发放</w:t>
      </w:r>
      <w:r>
        <w:rPr>
          <w:rFonts w:hint="eastAsia" w:ascii="Times New Roman" w:eastAsia="仿宋_GB2312"/>
          <w:b w:val="0"/>
          <w:sz w:val="32"/>
          <w:szCs w:val="32"/>
          <w:lang w:val="en-US" w:eastAsia="zh-CN"/>
        </w:rPr>
        <w:t>低保金</w:t>
      </w:r>
      <w:r>
        <w:rPr>
          <w:rFonts w:hint="eastAsia" w:ascii="Times New Roman" w:eastAsia="仿宋_GB2312"/>
          <w:b w:val="0"/>
          <w:sz w:val="32"/>
          <w:szCs w:val="32"/>
          <w:lang w:eastAsia="zh-CN"/>
        </w:rPr>
        <w:t>，保障了</w:t>
      </w:r>
      <w:r>
        <w:rPr>
          <w:rFonts w:hint="eastAsia" w:ascii="Times New Roman" w:eastAsia="仿宋_GB2312"/>
          <w:b w:val="0"/>
          <w:sz w:val="32"/>
          <w:szCs w:val="32"/>
          <w:lang w:val="en-US" w:eastAsia="zh-CN"/>
        </w:rPr>
        <w:t>低保户</w:t>
      </w:r>
      <w:r>
        <w:rPr>
          <w:rFonts w:hint="eastAsia" w:ascii="Times New Roman" w:eastAsia="仿宋_GB2312"/>
          <w:b w:val="0"/>
          <w:sz w:val="32"/>
          <w:szCs w:val="32"/>
          <w:lang w:eastAsia="zh-CN"/>
        </w:rPr>
        <w:t>的基本生活；</w:t>
      </w:r>
      <w:r>
        <w:rPr>
          <w:rFonts w:ascii="Times New Roman" w:eastAsia="仿宋_GB2312"/>
          <w:b w:val="0"/>
          <w:sz w:val="32"/>
          <w:szCs w:val="32"/>
        </w:rPr>
        <w:t>充分体现了党和政府对</w:t>
      </w:r>
      <w:r>
        <w:rPr>
          <w:rFonts w:hint="eastAsia" w:ascii="Times New Roman" w:eastAsia="仿宋_GB2312"/>
          <w:b w:val="0"/>
          <w:sz w:val="32"/>
          <w:szCs w:val="32"/>
          <w:lang w:val="en-US" w:eastAsia="zh-CN"/>
        </w:rPr>
        <w:t>低保户</w:t>
      </w:r>
      <w:r>
        <w:rPr>
          <w:rFonts w:ascii="Times New Roman" w:eastAsia="仿宋_GB2312"/>
          <w:b w:val="0"/>
          <w:sz w:val="32"/>
          <w:szCs w:val="32"/>
        </w:rPr>
        <w:t>的关心。</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hint="eastAsia" w:ascii="Times New Roman" w:eastAsia="仿宋_GB2312"/>
          <w:b/>
          <w:bCs/>
          <w:sz w:val="32"/>
          <w:szCs w:val="32"/>
        </w:rPr>
      </w:pPr>
      <w:r>
        <w:rPr>
          <w:rFonts w:hint="eastAsia" w:ascii="Times New Roman" w:eastAsia="仿宋_GB2312"/>
          <w:b/>
          <w:bCs/>
          <w:sz w:val="32"/>
          <w:szCs w:val="32"/>
        </w:rPr>
        <w:t>城市特困人员救助供养（专项资金）项目绩效自评情况：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城市特困人员救助供养</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174.16</w:t>
      </w:r>
      <w:r>
        <w:rPr>
          <w:rFonts w:ascii="Times New Roman" w:eastAsia="仿宋_GB2312"/>
          <w:b w:val="0"/>
          <w:sz w:val="32"/>
          <w:szCs w:val="32"/>
        </w:rPr>
        <w:t>万元，执行数为</w:t>
      </w:r>
      <w:r>
        <w:rPr>
          <w:rFonts w:hint="eastAsia" w:ascii="Times New Roman" w:eastAsia="仿宋_GB2312"/>
          <w:b w:val="0"/>
          <w:sz w:val="32"/>
          <w:szCs w:val="32"/>
          <w:lang w:val="en-US" w:eastAsia="zh-CN"/>
        </w:rPr>
        <w:t>174.16</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按政策标准及时足额发放特困供养金，对符合救助标准的全部纳入保障范围，完成了特困对象生活自理能力评估工作。</w:t>
      </w:r>
      <w:r>
        <w:rPr>
          <w:rFonts w:ascii="Times New Roman" w:eastAsia="仿宋_GB2312"/>
          <w:b w:val="0"/>
          <w:sz w:val="32"/>
          <w:szCs w:val="32"/>
        </w:rPr>
        <w:t>通过</w:t>
      </w:r>
      <w:r>
        <w:rPr>
          <w:rFonts w:hint="eastAsia" w:ascii="Times New Roman" w:eastAsia="仿宋_GB2312"/>
          <w:b w:val="0"/>
          <w:sz w:val="32"/>
          <w:szCs w:val="32"/>
          <w:lang w:val="en-US" w:eastAsia="zh-CN"/>
        </w:rPr>
        <w:t>发放</w:t>
      </w:r>
      <w:r>
        <w:rPr>
          <w:rFonts w:ascii="Times New Roman" w:eastAsia="仿宋_GB2312"/>
          <w:b w:val="0"/>
          <w:sz w:val="32"/>
          <w:szCs w:val="32"/>
        </w:rPr>
        <w:t>对辖区</w:t>
      </w:r>
      <w:r>
        <w:rPr>
          <w:rFonts w:hint="eastAsia" w:ascii="Times New Roman" w:eastAsia="仿宋_GB2312"/>
          <w:b w:val="0"/>
          <w:sz w:val="32"/>
          <w:szCs w:val="32"/>
        </w:rPr>
        <w:t>城市特困人员救助供养</w:t>
      </w:r>
      <w:r>
        <w:rPr>
          <w:rFonts w:hint="eastAsia" w:ascii="Times New Roman" w:eastAsia="仿宋_GB2312"/>
          <w:b w:val="0"/>
          <w:sz w:val="32"/>
          <w:szCs w:val="32"/>
          <w:lang w:eastAsia="zh-CN"/>
        </w:rPr>
        <w:t>，保障了</w:t>
      </w:r>
      <w:r>
        <w:rPr>
          <w:rFonts w:hint="eastAsia" w:ascii="Times New Roman" w:eastAsia="仿宋_GB2312"/>
          <w:b w:val="0"/>
          <w:sz w:val="32"/>
          <w:szCs w:val="32"/>
        </w:rPr>
        <w:t>城市特困人员救助供养</w:t>
      </w:r>
      <w:r>
        <w:rPr>
          <w:rFonts w:hint="eastAsia" w:ascii="Times New Roman" w:eastAsia="仿宋_GB2312"/>
          <w:b w:val="0"/>
          <w:sz w:val="32"/>
          <w:szCs w:val="32"/>
          <w:lang w:eastAsia="zh-CN"/>
        </w:rPr>
        <w:t>的基本生活；</w:t>
      </w:r>
      <w:r>
        <w:rPr>
          <w:rFonts w:ascii="Times New Roman" w:eastAsia="仿宋_GB2312"/>
          <w:b w:val="0"/>
          <w:sz w:val="32"/>
          <w:szCs w:val="32"/>
        </w:rPr>
        <w:t>充分体现了党和政府对</w:t>
      </w:r>
      <w:r>
        <w:rPr>
          <w:rFonts w:hint="eastAsia" w:ascii="Times New Roman" w:eastAsia="仿宋_GB2312"/>
          <w:b w:val="0"/>
          <w:sz w:val="32"/>
          <w:szCs w:val="32"/>
        </w:rPr>
        <w:t>城市特困人员</w:t>
      </w:r>
      <w:r>
        <w:rPr>
          <w:rFonts w:ascii="Times New Roman" w:eastAsia="仿宋_GB2312"/>
          <w:b w:val="0"/>
          <w:sz w:val="32"/>
          <w:szCs w:val="32"/>
        </w:rPr>
        <w:t>的关心。</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精神障碍社区康复服务项目绩效自评情况：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精神障碍社区康复服务</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rPr>
        <w:t>25.2</w:t>
      </w:r>
      <w:r>
        <w:rPr>
          <w:rFonts w:ascii="Times New Roman" w:eastAsia="仿宋_GB2312"/>
          <w:b w:val="0"/>
          <w:sz w:val="32"/>
          <w:szCs w:val="32"/>
        </w:rPr>
        <w:t>万元，执行数为</w:t>
      </w:r>
      <w:r>
        <w:rPr>
          <w:rFonts w:hint="eastAsia" w:ascii="Times New Roman" w:eastAsia="仿宋_GB2312"/>
          <w:b w:val="0"/>
          <w:sz w:val="32"/>
          <w:szCs w:val="32"/>
        </w:rPr>
        <w:t>25.2</w:t>
      </w:r>
      <w:r>
        <w:rPr>
          <w:rFonts w:ascii="Times New Roman" w:eastAsia="仿宋_GB2312"/>
          <w:b w:val="0"/>
          <w:sz w:val="32"/>
          <w:szCs w:val="32"/>
        </w:rPr>
        <w:t>万元，完成预算的100%。项目绩效目标完成情况：</w:t>
      </w:r>
      <w:r>
        <w:rPr>
          <w:rFonts w:hint="eastAsia" w:ascii="Times New Roman" w:eastAsia="仿宋_GB2312"/>
          <w:b w:val="0"/>
          <w:sz w:val="32"/>
          <w:szCs w:val="32"/>
          <w:lang w:val="en-US" w:eastAsia="zh-CN"/>
        </w:rPr>
        <w:t>精神障碍社区康复服务按项目计划进度开展服务，将符合条件的精神障碍患者全部纳入康复服务范围，通过优质服务，提高了精神障碍患者幸福感和社会融合度。</w:t>
      </w:r>
      <w:r>
        <w:rPr>
          <w:rFonts w:ascii="Times New Roman" w:eastAsia="仿宋_GB2312"/>
          <w:b w:val="0"/>
          <w:sz w:val="32"/>
          <w:szCs w:val="32"/>
        </w:rPr>
        <w:t>通过</w:t>
      </w:r>
      <w:r>
        <w:rPr>
          <w:rFonts w:hint="eastAsia" w:ascii="Times New Roman" w:eastAsia="仿宋_GB2312"/>
          <w:b w:val="0"/>
          <w:sz w:val="32"/>
          <w:szCs w:val="32"/>
        </w:rPr>
        <w:t>发放</w:t>
      </w:r>
      <w:r>
        <w:rPr>
          <w:rFonts w:hint="eastAsia" w:ascii="Times New Roman" w:eastAsia="仿宋_GB2312"/>
          <w:b w:val="0"/>
          <w:sz w:val="32"/>
          <w:szCs w:val="32"/>
          <w:lang w:val="en-US" w:eastAsia="zh-CN"/>
        </w:rPr>
        <w:t>补贴</w:t>
      </w:r>
      <w:r>
        <w:rPr>
          <w:rFonts w:hint="eastAsia" w:ascii="Times New Roman" w:eastAsia="仿宋_GB2312"/>
          <w:b w:val="0"/>
          <w:sz w:val="32"/>
          <w:szCs w:val="32"/>
          <w:lang w:eastAsia="zh-CN"/>
        </w:rPr>
        <w:t>，保障了</w:t>
      </w:r>
      <w:r>
        <w:rPr>
          <w:rFonts w:hint="eastAsia" w:ascii="Times New Roman" w:eastAsia="仿宋_GB2312"/>
          <w:b w:val="0"/>
          <w:sz w:val="32"/>
          <w:szCs w:val="32"/>
          <w:lang w:val="en-US" w:eastAsia="zh-CN"/>
        </w:rPr>
        <w:t>该项工作的顺利开展</w:t>
      </w:r>
      <w:r>
        <w:rPr>
          <w:rFonts w:hint="eastAsia" w:ascii="Times New Roman" w:eastAsia="仿宋_GB2312"/>
          <w:b w:val="0"/>
          <w:sz w:val="32"/>
          <w:szCs w:val="32"/>
          <w:lang w:eastAsia="zh-CN"/>
        </w:rPr>
        <w:t>；</w:t>
      </w:r>
      <w:r>
        <w:rPr>
          <w:rFonts w:ascii="Times New Roman" w:eastAsia="仿宋_GB2312"/>
          <w:b w:val="0"/>
          <w:sz w:val="32"/>
          <w:szCs w:val="32"/>
        </w:rPr>
        <w:t>充分体现了党和政府对</w:t>
      </w:r>
      <w:r>
        <w:rPr>
          <w:rFonts w:hint="eastAsia" w:ascii="Times New Roman" w:eastAsia="仿宋_GB2312"/>
          <w:b w:val="0"/>
          <w:sz w:val="32"/>
          <w:szCs w:val="32"/>
        </w:rPr>
        <w:t>精神障碍社区康复服务</w:t>
      </w:r>
      <w:r>
        <w:rPr>
          <w:rFonts w:hint="eastAsia" w:ascii="Times New Roman" w:eastAsia="仿宋_GB2312"/>
          <w:b w:val="0"/>
          <w:sz w:val="32"/>
          <w:szCs w:val="32"/>
          <w:lang w:val="en-US" w:eastAsia="zh-CN"/>
        </w:rPr>
        <w:t>工作</w:t>
      </w:r>
      <w:r>
        <w:rPr>
          <w:rFonts w:ascii="Times New Roman" w:eastAsia="仿宋_GB2312"/>
          <w:b w:val="0"/>
          <w:sz w:val="32"/>
          <w:szCs w:val="32"/>
        </w:rPr>
        <w:t>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hint="eastAsia" w:ascii="Times New Roman" w:eastAsia="仿宋_GB2312"/>
          <w:b w:val="0"/>
          <w:sz w:val="32"/>
          <w:szCs w:val="32"/>
        </w:rPr>
      </w:pPr>
      <w:r>
        <w:rPr>
          <w:rFonts w:hint="eastAsia" w:ascii="Times New Roman" w:eastAsia="仿宋_GB2312"/>
          <w:b/>
          <w:bCs/>
          <w:sz w:val="32"/>
          <w:szCs w:val="32"/>
        </w:rPr>
        <w:t>困难老年人社区居家养老服务补贴项目绩效自评情况：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困难老年人社区居家养老服务补贴</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300</w:t>
      </w:r>
      <w:r>
        <w:rPr>
          <w:rFonts w:ascii="Times New Roman" w:eastAsia="仿宋_GB2312"/>
          <w:b w:val="0"/>
          <w:sz w:val="32"/>
          <w:szCs w:val="32"/>
        </w:rPr>
        <w:t>万元，执行数为</w:t>
      </w:r>
      <w:r>
        <w:rPr>
          <w:rFonts w:hint="eastAsia" w:ascii="Times New Roman" w:eastAsia="仿宋_GB2312"/>
          <w:b w:val="0"/>
          <w:sz w:val="32"/>
          <w:szCs w:val="32"/>
          <w:lang w:val="en-US" w:eastAsia="zh-CN"/>
        </w:rPr>
        <w:t>300</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按时完成了困难老年人社区居家养老补贴核对工作，按市局通知及时结算困难老年人社区居家养老服务资金。</w:t>
      </w:r>
      <w:r>
        <w:rPr>
          <w:rFonts w:hint="eastAsia" w:ascii="Times New Roman" w:eastAsia="仿宋_GB2312"/>
          <w:b w:val="0"/>
          <w:sz w:val="32"/>
          <w:szCs w:val="32"/>
          <w:lang w:val="en-US" w:eastAsia="zh-CN"/>
        </w:rPr>
        <w:t>通过对</w:t>
      </w:r>
      <w:r>
        <w:rPr>
          <w:rFonts w:hint="eastAsia" w:ascii="Times New Roman" w:eastAsia="仿宋_GB2312"/>
          <w:b w:val="0"/>
          <w:sz w:val="32"/>
          <w:szCs w:val="32"/>
        </w:rPr>
        <w:t>困难老年人社区居家养老服务资金</w:t>
      </w:r>
      <w:r>
        <w:rPr>
          <w:rFonts w:hint="eastAsia" w:ascii="Times New Roman" w:eastAsia="仿宋_GB2312"/>
          <w:b w:val="0"/>
          <w:sz w:val="32"/>
          <w:szCs w:val="32"/>
          <w:lang w:val="en-US" w:eastAsia="zh-CN"/>
        </w:rPr>
        <w:t>的</w:t>
      </w:r>
      <w:r>
        <w:rPr>
          <w:rFonts w:hint="eastAsia" w:ascii="Times New Roman" w:eastAsia="仿宋_GB2312"/>
          <w:b w:val="0"/>
          <w:sz w:val="32"/>
          <w:szCs w:val="32"/>
        </w:rPr>
        <w:t>发放</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保障了</w:t>
      </w:r>
      <w:r>
        <w:rPr>
          <w:rFonts w:hint="eastAsia" w:ascii="Times New Roman" w:eastAsia="仿宋_GB2312"/>
          <w:b w:val="0"/>
          <w:sz w:val="32"/>
          <w:szCs w:val="32"/>
        </w:rPr>
        <w:t>人员</w:t>
      </w:r>
      <w:r>
        <w:rPr>
          <w:rFonts w:hint="eastAsia" w:ascii="Times New Roman" w:eastAsia="仿宋_GB2312"/>
          <w:b w:val="0"/>
          <w:sz w:val="32"/>
          <w:szCs w:val="32"/>
          <w:lang w:eastAsia="zh-CN"/>
        </w:rPr>
        <w:t>基本生活</w:t>
      </w:r>
      <w:r>
        <w:rPr>
          <w:rFonts w:hint="eastAsia" w:ascii="Times New Roman" w:eastAsia="仿宋_GB2312"/>
          <w:b w:val="0"/>
          <w:sz w:val="32"/>
          <w:szCs w:val="32"/>
          <w:lang w:val="en-US" w:eastAsia="zh-CN"/>
        </w:rPr>
        <w:t>的正常运行</w:t>
      </w:r>
      <w:r>
        <w:rPr>
          <w:rFonts w:hint="eastAsia" w:ascii="Times New Roman" w:eastAsia="仿宋_GB2312"/>
          <w:b w:val="0"/>
          <w:sz w:val="32"/>
          <w:szCs w:val="32"/>
          <w:lang w:eastAsia="zh-CN"/>
        </w:rPr>
        <w:t>；</w:t>
      </w:r>
      <w:r>
        <w:rPr>
          <w:rFonts w:ascii="Times New Roman" w:eastAsia="仿宋_GB2312"/>
          <w:b w:val="0"/>
          <w:sz w:val="32"/>
          <w:szCs w:val="32"/>
        </w:rPr>
        <w:t>充分</w:t>
      </w:r>
      <w:r>
        <w:rPr>
          <w:rFonts w:hint="eastAsia" w:ascii="Times New Roman" w:eastAsia="仿宋_GB2312"/>
          <w:b w:val="0"/>
          <w:sz w:val="32"/>
          <w:szCs w:val="32"/>
          <w:lang w:val="en-US" w:eastAsia="zh-CN"/>
        </w:rPr>
        <w:t>展示出</w:t>
      </w:r>
      <w:r>
        <w:rPr>
          <w:rFonts w:ascii="Times New Roman" w:eastAsia="仿宋_GB2312"/>
          <w:b w:val="0"/>
          <w:sz w:val="32"/>
          <w:szCs w:val="32"/>
        </w:rPr>
        <w:t>党和政府对</w:t>
      </w:r>
      <w:r>
        <w:rPr>
          <w:rFonts w:hint="eastAsia" w:ascii="Times New Roman" w:eastAsia="仿宋_GB2312"/>
          <w:b w:val="0"/>
          <w:sz w:val="32"/>
          <w:szCs w:val="32"/>
        </w:rPr>
        <w:t>困难老年人社区居家养老</w:t>
      </w:r>
      <w:r>
        <w:rPr>
          <w:rFonts w:hint="eastAsia" w:ascii="Times New Roman" w:eastAsia="仿宋_GB2312"/>
          <w:b w:val="0"/>
          <w:sz w:val="32"/>
          <w:szCs w:val="32"/>
          <w:lang w:val="en-US" w:eastAsia="zh-CN"/>
        </w:rPr>
        <w:t>服务</w:t>
      </w:r>
      <w:r>
        <w:rPr>
          <w:rFonts w:hint="eastAsia" w:ascii="Times New Roman" w:eastAsia="仿宋_GB2312"/>
          <w:b w:val="0"/>
          <w:sz w:val="32"/>
          <w:szCs w:val="32"/>
          <w:lang w:eastAsia="zh-CN"/>
        </w:rPr>
        <w:t>的</w:t>
      </w:r>
      <w:r>
        <w:rPr>
          <w:rFonts w:hint="eastAsia" w:ascii="Times New Roman" w:eastAsia="仿宋_GB2312"/>
          <w:b w:val="0"/>
          <w:sz w:val="32"/>
          <w:szCs w:val="32"/>
          <w:lang w:val="en-US" w:eastAsia="zh-CN"/>
        </w:rPr>
        <w:t>关心</w:t>
      </w:r>
      <w:r>
        <w:rPr>
          <w:rFonts w:ascii="Times New Roman" w:eastAsia="仿宋_GB2312"/>
          <w:b w:val="0"/>
          <w:sz w:val="32"/>
          <w:szCs w:val="32"/>
        </w:rPr>
        <w:t>。</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0"/>
        </w:numPr>
        <w:adjustRightInd w:val="0"/>
        <w:snapToGrid w:val="0"/>
        <w:spacing w:line="580" w:lineRule="exact"/>
        <w:ind w:firstLine="640" w:firstLineChars="200"/>
        <w:rPr>
          <w:rFonts w:hint="eastAsia" w:ascii="Times New Roman" w:eastAsia="仿宋_GB2312"/>
          <w:b w:val="0"/>
          <w:sz w:val="32"/>
          <w:szCs w:val="32"/>
          <w:lang w:val="en-US" w:eastAsia="zh-CN"/>
        </w:rPr>
      </w:pPr>
      <w:r>
        <w:rPr>
          <w:rFonts w:ascii="Times New Roman" w:eastAsia="仿宋_GB2312"/>
          <w:b w:val="0"/>
          <w:sz w:val="32"/>
          <w:szCs w:val="32"/>
        </w:rPr>
        <w:t>附绩效自评表</w:t>
      </w:r>
      <w:r>
        <w:rPr>
          <w:rFonts w:hint="eastAsia" w:ascii="Times New Roman" w:eastAsia="仿宋_GB2312"/>
          <w:b w:val="0"/>
          <w:sz w:val="32"/>
          <w:szCs w:val="32"/>
          <w:lang w:val="en-US" w:eastAsia="zh-CN"/>
        </w:rPr>
        <w:t>如下：</w:t>
      </w: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r>
        <w:rPr>
          <w:rFonts w:ascii="Times New Roman" w:eastAsia="仿宋_GB2312"/>
          <w:b w:val="0"/>
          <w:sz w:val="32"/>
          <w:szCs w:val="32"/>
        </w:rPr>
        <w:t>“低保户、困难家庭及孤儿春节慰问”项目</w:t>
      </w: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jc w:val="both"/>
        <w:rPr>
          <w:rFonts w:ascii="Times New Roman" w:eastAsia="仿宋_GB2312"/>
          <w:b w:val="0"/>
          <w:sz w:val="32"/>
          <w:szCs w:val="32"/>
        </w:rPr>
      </w:pPr>
    </w:p>
    <w:tbl>
      <w:tblPr>
        <w:tblStyle w:val="8"/>
        <w:tblW w:w="908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86"/>
        <w:gridCol w:w="1110"/>
        <w:gridCol w:w="793"/>
        <w:gridCol w:w="1195"/>
        <w:gridCol w:w="841"/>
        <w:gridCol w:w="1335"/>
        <w:gridCol w:w="894"/>
        <w:gridCol w:w="8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4" w:hRule="atLeast"/>
        </w:trPr>
        <w:tc>
          <w:tcPr>
            <w:tcW w:w="908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28"/>
                <w:szCs w:val="28"/>
                <w:u w:val="none"/>
              </w:rPr>
            </w:pPr>
            <w:r>
              <w:rPr>
                <w:rFonts w:hint="default" w:ascii="方正小标宋_GBK" w:hAnsi="方正小标宋_GBK" w:eastAsia="方正小标宋_GBK" w:cs="方正小标宋_GBK"/>
                <w:i w:val="0"/>
                <w:iCs w:val="0"/>
                <w:color w:val="000000"/>
                <w:kern w:val="0"/>
                <w:sz w:val="28"/>
                <w:szCs w:val="28"/>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6" w:hRule="atLeast"/>
        </w:trPr>
        <w:tc>
          <w:tcPr>
            <w:tcW w:w="3196" w:type="dxa"/>
            <w:gridSpan w:val="2"/>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填报单位：石家庄市桥西区民政局</w:t>
            </w:r>
          </w:p>
        </w:tc>
        <w:tc>
          <w:tcPr>
            <w:tcW w:w="1988"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  2024年度）</w:t>
            </w:r>
          </w:p>
        </w:tc>
        <w:tc>
          <w:tcPr>
            <w:tcW w:w="841"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335"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720"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208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一、</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基本情况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项目名称</w:t>
            </w:r>
          </w:p>
        </w:tc>
        <w:tc>
          <w:tcPr>
            <w:tcW w:w="19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低保户、困难家庭及孤儿春节慰问</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实施(主管）单位</w:t>
            </w:r>
          </w:p>
        </w:tc>
        <w:tc>
          <w:tcPr>
            <w:tcW w:w="30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8" w:hRule="atLeast"/>
        </w:trPr>
        <w:tc>
          <w:tcPr>
            <w:tcW w:w="20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二、预算执行情况</w:t>
            </w:r>
          </w:p>
        </w:tc>
        <w:tc>
          <w:tcPr>
            <w:tcW w:w="19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预算安排情况（调整后）</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资金到位情况</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资金执行情况</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3"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预算数：</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到位数：</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执行数：</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9"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3"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5"/>
                <w:szCs w:val="15"/>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5"/>
                <w:szCs w:val="15"/>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5"/>
                <w:szCs w:val="15"/>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8" w:hRule="atLeast"/>
        </w:trPr>
        <w:tc>
          <w:tcPr>
            <w:tcW w:w="20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三、目标完成情况</w:t>
            </w:r>
          </w:p>
        </w:tc>
        <w:tc>
          <w:tcPr>
            <w:tcW w:w="309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年度预期目标</w:t>
            </w:r>
          </w:p>
        </w:tc>
        <w:tc>
          <w:tcPr>
            <w:tcW w:w="30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具体完成情况</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9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春节前慰问辖区低保家庭、特困家庭、孤儿及事实无人抚养儿童，确保困难群众过上祥和快乐的春节。</w:t>
            </w:r>
          </w:p>
        </w:tc>
        <w:tc>
          <w:tcPr>
            <w:tcW w:w="30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 xml:space="preserve">春节前由各街道对辖区低保家庭、特困家庭、孤儿及事实无人抚养儿童进行春节慰问，使困难群众过上祥和快乐的春节。 </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9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9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2" w:hRule="atLeast"/>
        </w:trPr>
        <w:tc>
          <w:tcPr>
            <w:tcW w:w="208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四、</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年度绩效指标完成情况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一级指标</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二级指标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三级指标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预期指标值</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实际完成值</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2"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产出指标（40）</w:t>
            </w:r>
          </w:p>
        </w:tc>
        <w:tc>
          <w:tcPr>
            <w:tcW w:w="79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数量指标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慰问户数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≧340户</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1155户</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2"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质量指标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慰问率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r>
              <w:rPr>
                <w:rFonts w:ascii="Calibri" w:hAnsi="Calibri" w:eastAsia="宋体" w:cs="Calibri"/>
                <w:i w:val="0"/>
                <w:iCs w:val="0"/>
                <w:color w:val="000000"/>
                <w:kern w:val="0"/>
                <w:sz w:val="15"/>
                <w:szCs w:val="15"/>
                <w:u w:val="none"/>
                <w:lang w:val="en-US" w:eastAsia="zh-CN" w:bidi="ar"/>
              </w:rPr>
              <w:t>20%</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2"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时效指标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慰问时间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春节前进行慰问</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春节前慰问</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0"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成本指标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慰问标准</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项目预算总额</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28.9万元</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7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r>
              <w:rPr>
                <w:rFonts w:ascii="Calibri" w:hAnsi="Calibri" w:eastAsia="宋体" w:cs="Calibri"/>
                <w:i w:val="0"/>
                <w:iCs w:val="0"/>
                <w:color w:val="000000"/>
                <w:kern w:val="0"/>
                <w:sz w:val="15"/>
                <w:szCs w:val="15"/>
                <w:u w:val="none"/>
                <w:lang w:val="en-US" w:eastAsia="zh-CN" w:bidi="ar"/>
              </w:rPr>
              <w:t>90%</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社会效益指标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困难群众生活水平提升情况</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生活水平得到提升</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生活水平得到提升</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可持续影响指标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5"/>
                <w:szCs w:val="15"/>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5"/>
                <w:szCs w:val="15"/>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5"/>
                <w:szCs w:val="15"/>
                <w:u w:val="none"/>
              </w:rPr>
            </w:pP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满意度指标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79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满意度指标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服务对象满意度</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r>
              <w:rPr>
                <w:rFonts w:ascii="Calibri" w:hAnsi="Calibri" w:eastAsia="宋体" w:cs="Calibri"/>
                <w:i w:val="0"/>
                <w:iCs w:val="0"/>
                <w:color w:val="000000"/>
                <w:kern w:val="0"/>
                <w:sz w:val="15"/>
                <w:szCs w:val="15"/>
                <w:u w:val="none"/>
                <w:lang w:val="en-US" w:eastAsia="zh-CN" w:bidi="ar"/>
              </w:rPr>
              <w:t>90%</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9"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616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总分</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 w:hRule="atLeast"/>
        </w:trPr>
        <w:tc>
          <w:tcPr>
            <w:tcW w:w="20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五、</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存在问题、原因及下一步整改措施</w:t>
            </w:r>
          </w:p>
        </w:tc>
        <w:tc>
          <w:tcPr>
            <w:tcW w:w="699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精简职工40%救济补助</w:t>
      </w:r>
      <w:r>
        <w:rPr>
          <w:rFonts w:ascii="Times New Roman" w:eastAsia="仿宋_GB2312"/>
          <w:b w:val="0"/>
          <w:sz w:val="32"/>
          <w:szCs w:val="32"/>
        </w:rPr>
        <w:t>”项目</w:t>
      </w:r>
    </w:p>
    <w:tbl>
      <w:tblPr>
        <w:tblStyle w:val="8"/>
        <w:tblW w:w="9191"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52"/>
        <w:gridCol w:w="1340"/>
        <w:gridCol w:w="1256"/>
        <w:gridCol w:w="880"/>
        <w:gridCol w:w="873"/>
        <w:gridCol w:w="819"/>
        <w:gridCol w:w="1111"/>
        <w:gridCol w:w="13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9191"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6"/>
                <w:szCs w:val="36"/>
                <w:u w:val="none"/>
              </w:rPr>
            </w:pPr>
            <w:r>
              <w:rPr>
                <w:rFonts w:hint="default" w:ascii="方正小标宋_GBK" w:hAnsi="方正小标宋_GBK" w:eastAsia="方正小标宋_GBK" w:cs="方正小标宋_GBK"/>
                <w:i w:val="0"/>
                <w:iCs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 w:hRule="atLeast"/>
        </w:trPr>
        <w:tc>
          <w:tcPr>
            <w:tcW w:w="289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填报单位：石家庄市桥西区民政局</w:t>
            </w:r>
          </w:p>
        </w:tc>
        <w:tc>
          <w:tcPr>
            <w:tcW w:w="3009"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（2024年度）</w:t>
            </w:r>
          </w:p>
        </w:tc>
        <w:tc>
          <w:tcPr>
            <w:tcW w:w="81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471"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4" w:hRule="atLeast"/>
        </w:trPr>
        <w:tc>
          <w:tcPr>
            <w:tcW w:w="1552"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w:t>
            </w:r>
            <w:r>
              <w:rPr>
                <w:rFonts w:ascii="Calibri" w:hAnsi="Calibri" w:eastAsia="宋体" w:cs="Calibri"/>
                <w:i w:val="0"/>
                <w:iCs w:val="0"/>
                <w:color w:val="000000"/>
                <w:kern w:val="0"/>
                <w:sz w:val="18"/>
                <w:szCs w:val="18"/>
                <w:u w:val="none"/>
                <w:lang w:val="en-US" w:eastAsia="zh-CN" w:bidi="ar"/>
              </w:rPr>
              <w:t xml:space="preserve"> </w:t>
            </w:r>
            <w:r>
              <w:rPr>
                <w:rStyle w:val="25"/>
                <w:sz w:val="18"/>
                <w:szCs w:val="18"/>
                <w:lang w:val="en-US" w:eastAsia="zh-CN" w:bidi="ar"/>
              </w:rPr>
              <w:t>基本情况</w:t>
            </w: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21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6"/>
                <w:szCs w:val="16"/>
                <w:u w:val="none"/>
                <w:lang w:val="en-US" w:eastAsia="zh-CN" w:bidi="ar"/>
              </w:rPr>
              <w:t>精简职工40%救济补助</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2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5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1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2"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8"/>
                <w:szCs w:val="18"/>
                <w:u w:val="none"/>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三、目标完成情况</w:t>
            </w:r>
          </w:p>
        </w:tc>
        <w:tc>
          <w:tcPr>
            <w:tcW w:w="34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280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具体完成情况</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及时足额发放精减职工40%生活救济，保障精减职工的基本生活；按规定标准报销精减职工医药费。</w:t>
            </w:r>
          </w:p>
        </w:tc>
        <w:tc>
          <w:tcPr>
            <w:tcW w:w="280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按政策规定及时足额发放了精减职工40%生活救济，保障精减职工的基本生活；按规定标准报销精减职工医药费。 </w:t>
            </w:r>
          </w:p>
        </w:tc>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80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80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w:t>
            </w:r>
            <w:r>
              <w:rPr>
                <w:rFonts w:ascii="Calibri" w:hAnsi="Calibri" w:eastAsia="宋体" w:cs="Calibri"/>
                <w:i w:val="0"/>
                <w:iCs w:val="0"/>
                <w:color w:val="000000"/>
                <w:kern w:val="0"/>
                <w:sz w:val="18"/>
                <w:szCs w:val="18"/>
                <w:u w:val="none"/>
                <w:lang w:val="en-US" w:eastAsia="zh-CN" w:bidi="ar"/>
              </w:rPr>
              <w:t xml:space="preserve"> </w:t>
            </w:r>
            <w:r>
              <w:rPr>
                <w:rStyle w:val="25"/>
                <w:sz w:val="18"/>
                <w:szCs w:val="18"/>
                <w:lang w:val="en-US" w:eastAsia="zh-CN" w:bidi="ar"/>
              </w:rPr>
              <w:t>年度绩效指标完成情况</w:t>
            </w: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25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救助人数</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1人</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补助率</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及时率</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2"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补贴发放标准</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5"/>
                <w:szCs w:val="15"/>
                <w:u w:val="none"/>
                <w:lang w:val="en-US" w:eastAsia="zh-CN" w:bidi="ar"/>
              </w:rPr>
              <w:t>每月救济标准112.5元</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每月112.5元</w:t>
            </w:r>
          </w:p>
        </w:tc>
        <w:tc>
          <w:tcPr>
            <w:tcW w:w="136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预算执行率指标（10分）</w:t>
            </w:r>
          </w:p>
        </w:tc>
        <w:tc>
          <w:tcPr>
            <w:tcW w:w="12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r>
              <w:rPr>
                <w:rFonts w:ascii="Calibri" w:hAnsi="Calibri" w:eastAsia="宋体" w:cs="Calibri"/>
                <w:i w:val="0"/>
                <w:iCs w:val="0"/>
                <w:color w:val="000000"/>
                <w:kern w:val="0"/>
                <w:sz w:val="18"/>
                <w:szCs w:val="18"/>
                <w:u w:val="none"/>
                <w:lang w:val="en-US" w:eastAsia="zh-CN" w:bidi="ar"/>
              </w:rPr>
              <w:t>90%</w:t>
            </w:r>
          </w:p>
        </w:tc>
        <w:tc>
          <w:tcPr>
            <w:tcW w:w="111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100.00%</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1"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w:t>
            </w:r>
          </w:p>
        </w:tc>
        <w:tc>
          <w:tcPr>
            <w:tcW w:w="12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医药费报销</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医药费报销是否按标准执行</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医药费报销严格按标准执行</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8"/>
                <w:szCs w:val="18"/>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8"/>
                <w:szCs w:val="18"/>
                <w:u w:val="none"/>
              </w:rPr>
            </w:pP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12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r>
              <w:rPr>
                <w:rFonts w:ascii="Calibri" w:hAnsi="Calibri" w:eastAsia="宋体" w:cs="Calibri"/>
                <w:i w:val="0"/>
                <w:iCs w:val="0"/>
                <w:color w:val="000000"/>
                <w:kern w:val="0"/>
                <w:sz w:val="18"/>
                <w:szCs w:val="18"/>
                <w:u w:val="none"/>
                <w:lang w:val="en-US" w:eastAsia="zh-CN" w:bidi="ar"/>
              </w:rPr>
              <w:t>90%</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27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155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w:t>
            </w:r>
            <w:r>
              <w:rPr>
                <w:rFonts w:ascii="Calibri" w:hAnsi="Calibri" w:eastAsia="宋体" w:cs="Calibri"/>
                <w:i w:val="0"/>
                <w:iCs w:val="0"/>
                <w:color w:val="000000"/>
                <w:kern w:val="0"/>
                <w:sz w:val="18"/>
                <w:szCs w:val="18"/>
                <w:u w:val="none"/>
                <w:lang w:val="en-US" w:eastAsia="zh-CN" w:bidi="ar"/>
              </w:rPr>
              <w:t xml:space="preserve"> </w:t>
            </w:r>
            <w:r>
              <w:rPr>
                <w:rStyle w:val="25"/>
                <w:sz w:val="18"/>
                <w:szCs w:val="18"/>
                <w:lang w:val="en-US" w:eastAsia="zh-CN" w:bidi="ar"/>
              </w:rPr>
              <w:t>存在问题、原因及下一步整改措施</w:t>
            </w:r>
          </w:p>
        </w:tc>
        <w:tc>
          <w:tcPr>
            <w:tcW w:w="763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w:t>
            </w:r>
          </w:p>
        </w:tc>
      </w:tr>
    </w:tbl>
    <w:p>
      <w:pPr>
        <w:numPr>
          <w:ilvl w:val="0"/>
          <w:numId w:val="0"/>
        </w:numPr>
        <w:adjustRightInd w:val="0"/>
        <w:snapToGrid w:val="0"/>
        <w:spacing w:line="580" w:lineRule="exact"/>
        <w:ind w:firstLine="640" w:firstLineChars="200"/>
        <w:rPr>
          <w:rFonts w:hint="eastAsia" w:ascii="Times New Roman" w:eastAsia="仿宋_GB2312"/>
          <w:b/>
          <w:bCs/>
          <w:sz w:val="32"/>
          <w:szCs w:val="32"/>
          <w:lang w:val="en-US" w:eastAsia="zh-CN"/>
        </w:rPr>
      </w:pPr>
      <w:r>
        <w:rPr>
          <w:rFonts w:ascii="Times New Roman" w:eastAsia="仿宋_GB2312"/>
          <w:b w:val="0"/>
          <w:sz w:val="32"/>
          <w:szCs w:val="32"/>
        </w:rPr>
        <w:t>“</w:t>
      </w:r>
      <w:r>
        <w:rPr>
          <w:rFonts w:hint="eastAsia" w:ascii="Times New Roman" w:eastAsia="仿宋_GB2312"/>
          <w:b w:val="0"/>
          <w:sz w:val="32"/>
          <w:szCs w:val="32"/>
        </w:rPr>
        <w:t>节地生态安葬</w:t>
      </w:r>
      <w:r>
        <w:rPr>
          <w:rFonts w:ascii="Times New Roman" w:eastAsia="仿宋_GB2312"/>
          <w:b w:val="0"/>
          <w:sz w:val="32"/>
          <w:szCs w:val="32"/>
        </w:rPr>
        <w:t>”</w:t>
      </w:r>
      <w:r>
        <w:rPr>
          <w:rFonts w:hint="eastAsia" w:ascii="Times New Roman" w:eastAsia="仿宋_GB2312"/>
          <w:b w:val="0"/>
          <w:sz w:val="32"/>
          <w:szCs w:val="32"/>
          <w:lang w:val="en-US" w:eastAsia="zh-CN"/>
        </w:rPr>
        <w:t>项目</w:t>
      </w:r>
    </w:p>
    <w:tbl>
      <w:tblPr>
        <w:tblStyle w:val="8"/>
        <w:tblW w:w="924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53"/>
        <w:gridCol w:w="1358"/>
        <w:gridCol w:w="898"/>
        <w:gridCol w:w="850"/>
        <w:gridCol w:w="853"/>
        <w:gridCol w:w="936"/>
        <w:gridCol w:w="1156"/>
        <w:gridCol w:w="12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240" w:type="dxa"/>
            <w:gridSpan w:val="8"/>
            <w:tcBorders>
              <w:top w:val="nil"/>
              <w:left w:val="nil"/>
              <w:bottom w:val="nil"/>
              <w:right w:val="nil"/>
            </w:tcBorders>
            <w:shd w:val="clear" w:color="auto" w:fill="auto"/>
            <w:vAlign w:val="center"/>
          </w:tcPr>
          <w:p>
            <w:pPr>
              <w:keepNext w:val="0"/>
              <w:keepLines w:val="0"/>
              <w:widowControl/>
              <w:suppressLineNumbers w:val="0"/>
              <w:ind w:left="0" w:leftChars="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3" w:hRule="atLeast"/>
        </w:trPr>
        <w:tc>
          <w:tcPr>
            <w:tcW w:w="3311" w:type="dxa"/>
            <w:gridSpan w:val="2"/>
            <w:tcBorders>
              <w:top w:val="nil"/>
              <w:left w:val="nil"/>
              <w:bottom w:val="nil"/>
              <w:right w:val="nil"/>
            </w:tcBorders>
            <w:shd w:val="clear" w:color="auto" w:fill="auto"/>
            <w:vAlign w:val="center"/>
          </w:tcPr>
          <w:p>
            <w:pPr>
              <w:ind w:left="0" w:leftChars="0"/>
              <w:jc w:val="left"/>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eastAsia="宋体" w:cs="宋体"/>
                <w:i w:val="0"/>
                <w:iCs w:val="0"/>
                <w:color w:val="000000"/>
                <w:kern w:val="0"/>
                <w:sz w:val="15"/>
                <w:szCs w:val="15"/>
                <w:u w:val="none"/>
                <w:lang w:val="en-US" w:eastAsia="zh-CN" w:bidi="ar"/>
              </w:rPr>
              <w:t>石家庄市桥西区民政局</w:t>
            </w:r>
          </w:p>
        </w:tc>
        <w:tc>
          <w:tcPr>
            <w:tcW w:w="2601" w:type="dxa"/>
            <w:gridSpan w:val="3"/>
            <w:tcBorders>
              <w:top w:val="nil"/>
              <w:left w:val="nil"/>
              <w:bottom w:val="nil"/>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（2024年度）</w:t>
            </w:r>
          </w:p>
        </w:tc>
        <w:tc>
          <w:tcPr>
            <w:tcW w:w="936" w:type="dxa"/>
            <w:tcBorders>
              <w:top w:val="nil"/>
              <w:left w:val="nil"/>
              <w:bottom w:val="nil"/>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2392" w:type="dxa"/>
            <w:gridSpan w:val="2"/>
            <w:tcBorders>
              <w:top w:val="nil"/>
              <w:left w:val="nil"/>
              <w:bottom w:val="nil"/>
              <w:right w:val="nil"/>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195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7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节地生态安葬</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3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7" w:hRule="atLeast"/>
        </w:trPr>
        <w:tc>
          <w:tcPr>
            <w:tcW w:w="19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12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12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default" w:ascii="Calibri" w:hAnsi="Calibri" w:eastAsia="宋体" w:cs="Calibri"/>
                <w:i w:val="0"/>
                <w:iCs w:val="0"/>
                <w:color w:val="000000"/>
                <w:sz w:val="16"/>
                <w:szCs w:val="16"/>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eastAsia" w:ascii="宋体" w:hAnsi="宋体" w:eastAsia="宋体" w:cs="宋体"/>
                <w:i w:val="0"/>
                <w:iCs w:val="0"/>
                <w:color w:val="000000"/>
                <w:sz w:val="16"/>
                <w:szCs w:val="16"/>
                <w:u w:val="none"/>
              </w:rPr>
            </w:pP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eastAsia" w:ascii="宋体" w:hAnsi="宋体" w:eastAsia="宋体" w:cs="宋体"/>
                <w:i w:val="0"/>
                <w:iCs w:val="0"/>
                <w:color w:val="000000"/>
                <w:sz w:val="16"/>
                <w:szCs w:val="16"/>
                <w:u w:val="none"/>
              </w:rPr>
            </w:pPr>
          </w:p>
        </w:tc>
        <w:tc>
          <w:tcPr>
            <w:tcW w:w="12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 w:hRule="atLeast"/>
        </w:trPr>
        <w:tc>
          <w:tcPr>
            <w:tcW w:w="19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0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310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深化我区殡葬改革，推行节地生态安葬，鼓励倡导骨灰海葬、骨灰自然葬；及时足额发放节地生态安葬奖励金。</w:t>
            </w:r>
          </w:p>
        </w:tc>
        <w:tc>
          <w:tcPr>
            <w:tcW w:w="29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由各街道宣传殡葬改革，推行节地生态安葬，鼓励倡导骨灰海葬、骨灰自然葬；及时足额发放节地生态安葬奖励金。 </w:t>
            </w:r>
          </w:p>
        </w:tc>
        <w:tc>
          <w:tcPr>
            <w:tcW w:w="12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31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29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2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31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29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2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1953"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898"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补助人数</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选择节地生态安葬实有人数</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38人</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9"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single" w:color="000000" w:sz="4" w:space="0"/>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奖补率</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9"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single" w:color="000000" w:sz="4" w:space="0"/>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及时率</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single" w:color="000000" w:sz="4" w:space="0"/>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补贴发放标准</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不低于500元</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每人500元</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9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15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8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业务保障能力</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保障奖补资金及时到位</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nil"/>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eastAsia" w:ascii="宋体" w:hAnsi="宋体" w:eastAsia="宋体" w:cs="宋体"/>
                <w:i w:val="0"/>
                <w:iCs w:val="0"/>
                <w:color w:val="000000"/>
                <w:sz w:val="16"/>
                <w:szCs w:val="16"/>
                <w:u w:val="none"/>
              </w:rPr>
            </w:pP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nil"/>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eastAsia" w:ascii="宋体" w:hAnsi="宋体" w:eastAsia="宋体" w:cs="宋体"/>
                <w:i w:val="0"/>
                <w:iCs w:val="0"/>
                <w:color w:val="000000"/>
                <w:sz w:val="16"/>
                <w:szCs w:val="16"/>
                <w:u w:val="none"/>
              </w:rPr>
            </w:pP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605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trPr>
        <w:tc>
          <w:tcPr>
            <w:tcW w:w="195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287"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ind w:left="0" w:leftChars="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桥西区社区服务中心及东顺经费</w:t>
      </w:r>
      <w:r>
        <w:rPr>
          <w:rFonts w:ascii="Times New Roman" w:eastAsia="仿宋_GB2312"/>
          <w:b w:val="0"/>
          <w:sz w:val="32"/>
          <w:szCs w:val="32"/>
        </w:rPr>
        <w:t>”项目</w:t>
      </w:r>
    </w:p>
    <w:tbl>
      <w:tblPr>
        <w:tblStyle w:val="8"/>
        <w:tblW w:w="97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396"/>
        <w:gridCol w:w="1071"/>
        <w:gridCol w:w="1003"/>
        <w:gridCol w:w="832"/>
        <w:gridCol w:w="954"/>
        <w:gridCol w:w="970"/>
        <w:gridCol w:w="1280"/>
        <w:gridCol w:w="121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jc w:val="center"/>
        </w:trPr>
        <w:tc>
          <w:tcPr>
            <w:tcW w:w="972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4" w:hRule="atLeast"/>
          <w:jc w:val="center"/>
        </w:trPr>
        <w:tc>
          <w:tcPr>
            <w:tcW w:w="3467" w:type="dxa"/>
            <w:gridSpan w:val="2"/>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eastAsia="宋体" w:cs="宋体"/>
                <w:i w:val="0"/>
                <w:iCs w:val="0"/>
                <w:color w:val="000000"/>
                <w:kern w:val="0"/>
                <w:sz w:val="15"/>
                <w:szCs w:val="15"/>
                <w:u w:val="none"/>
                <w:lang w:val="en-US" w:eastAsia="zh-CN" w:bidi="ar"/>
              </w:rPr>
              <w:t>石家庄市桥西区民政局</w:t>
            </w:r>
          </w:p>
        </w:tc>
        <w:tc>
          <w:tcPr>
            <w:tcW w:w="2789"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w:t>
            </w:r>
          </w:p>
        </w:tc>
        <w:tc>
          <w:tcPr>
            <w:tcW w:w="97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4"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jc w:val="center"/>
        </w:trPr>
        <w:tc>
          <w:tcPr>
            <w:tcW w:w="239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桥西区社区服务中心及东顺经费</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0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12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3"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90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0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0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及时足额发放人员工资，缴纳各项保险；保障人员福利待遇及工作经费，保障工作的顺利进行</w:t>
            </w:r>
          </w:p>
        </w:tc>
        <w:tc>
          <w:tcPr>
            <w:tcW w:w="320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按时发放人员工资，缴纳各项保险；保障人员福利待遇及工作经费，保障工作的顺利进行。</w:t>
            </w:r>
          </w:p>
        </w:tc>
        <w:tc>
          <w:tcPr>
            <w:tcW w:w="12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jc w:val="center"/>
        </w:trPr>
        <w:tc>
          <w:tcPr>
            <w:tcW w:w="239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00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在职人数</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2人</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2人</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保险缴纳情况</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及时率</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3"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人均年费用</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人均年费用≦18.07万元</w:t>
            </w:r>
          </w:p>
        </w:tc>
        <w:tc>
          <w:tcPr>
            <w:tcW w:w="12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人均年费用≦18.07万元</w:t>
            </w:r>
          </w:p>
        </w:tc>
        <w:tc>
          <w:tcPr>
            <w:tcW w:w="121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3"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0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c>
          <w:tcPr>
            <w:tcW w:w="121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00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福利待遇情况</w:t>
            </w:r>
          </w:p>
        </w:tc>
        <w:tc>
          <w:tcPr>
            <w:tcW w:w="97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落实职工福利待遇</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1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0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0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11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239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32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法律咨询服务费</w:t>
      </w:r>
      <w:r>
        <w:rPr>
          <w:rFonts w:ascii="Times New Roman" w:eastAsia="仿宋_GB2312"/>
          <w:b w:val="0"/>
          <w:sz w:val="32"/>
          <w:szCs w:val="32"/>
        </w:rPr>
        <w:t>”项目</w:t>
      </w:r>
    </w:p>
    <w:tbl>
      <w:tblPr>
        <w:tblStyle w:val="8"/>
        <w:tblW w:w="98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84"/>
        <w:gridCol w:w="1084"/>
        <w:gridCol w:w="984"/>
        <w:gridCol w:w="963"/>
        <w:gridCol w:w="986"/>
        <w:gridCol w:w="1174"/>
        <w:gridCol w:w="1394"/>
        <w:gridCol w:w="12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1" w:hRule="atLeast"/>
          <w:jc w:val="center"/>
        </w:trPr>
        <w:tc>
          <w:tcPr>
            <w:tcW w:w="984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5" w:hRule="atLeast"/>
          <w:jc w:val="center"/>
        </w:trPr>
        <w:tc>
          <w:tcPr>
            <w:tcW w:w="4052" w:type="dxa"/>
            <w:gridSpan w:val="3"/>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eastAsia="宋体" w:cs="宋体"/>
                <w:i w:val="0"/>
                <w:iCs w:val="0"/>
                <w:color w:val="000000"/>
                <w:kern w:val="0"/>
                <w:sz w:val="15"/>
                <w:szCs w:val="15"/>
                <w:u w:val="none"/>
                <w:lang w:val="en-US" w:eastAsia="zh-CN" w:bidi="ar"/>
              </w:rPr>
              <w:t>石家庄市桥西区民政局</w:t>
            </w:r>
          </w:p>
        </w:tc>
        <w:tc>
          <w:tcPr>
            <w:tcW w:w="1949"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 年度）</w:t>
            </w:r>
          </w:p>
        </w:tc>
        <w:tc>
          <w:tcPr>
            <w:tcW w:w="117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65"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jc w:val="center"/>
        </w:trPr>
        <w:tc>
          <w:tcPr>
            <w:tcW w:w="198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法律咨询服务费</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8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0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5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0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5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3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积极开展法律咨询，对规范性文件、合同进行合法性审查，降低风险。提高业务工作人员法律知识，提高行政执法能力和水平。</w:t>
            </w:r>
          </w:p>
        </w:tc>
        <w:tc>
          <w:tcPr>
            <w:tcW w:w="355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通过法律咨询，对规范性文件、合同进行合法性审查，降低了风险，提高了业务工作人员法律知识，提高行政执法能力和水平。</w:t>
            </w: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0"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98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法律咨询次数</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发生法律咨询次数</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15次</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7"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覆盖率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重大事项法律咨询审核全覆盖</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支付标准</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1.6万元</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1.6万元</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7"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98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执法水平提升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执法水平提升</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执法水平明显提升</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8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8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5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jc w:val="center"/>
        </w:trPr>
        <w:tc>
          <w:tcPr>
            <w:tcW w:w="198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56"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孤儿助学</w:t>
      </w:r>
      <w:r>
        <w:rPr>
          <w:rFonts w:ascii="Times New Roman" w:eastAsia="仿宋_GB2312"/>
          <w:b w:val="0"/>
          <w:sz w:val="32"/>
          <w:szCs w:val="32"/>
        </w:rPr>
        <w:t>”项目</w:t>
      </w:r>
    </w:p>
    <w:tbl>
      <w:tblPr>
        <w:tblStyle w:val="8"/>
        <w:tblW w:w="979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416"/>
        <w:gridCol w:w="930"/>
        <w:gridCol w:w="992"/>
        <w:gridCol w:w="911"/>
        <w:gridCol w:w="924"/>
        <w:gridCol w:w="947"/>
        <w:gridCol w:w="1415"/>
        <w:gridCol w:w="12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jc w:val="center"/>
        </w:trPr>
        <w:tc>
          <w:tcPr>
            <w:tcW w:w="9795"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3346" w:type="dxa"/>
            <w:gridSpan w:val="2"/>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eastAsia="宋体" w:cs="宋体"/>
                <w:i w:val="0"/>
                <w:iCs w:val="0"/>
                <w:color w:val="000000"/>
                <w:kern w:val="0"/>
                <w:sz w:val="15"/>
                <w:szCs w:val="15"/>
                <w:u w:val="none"/>
                <w:lang w:val="en-US" w:eastAsia="zh-CN" w:bidi="ar"/>
              </w:rPr>
              <w:t>石家庄市桥西区民政局</w:t>
            </w:r>
          </w:p>
        </w:tc>
        <w:tc>
          <w:tcPr>
            <w:tcW w:w="2827"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w:t>
            </w:r>
          </w:p>
        </w:tc>
        <w:tc>
          <w:tcPr>
            <w:tcW w:w="94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75"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4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孤儿助学</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6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2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3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8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3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所有符合条件的孤儿全部纳入保障范围，做到应保尽保；按标准及时足额发放孤儿助学金。</w:t>
            </w:r>
          </w:p>
        </w:tc>
        <w:tc>
          <w:tcPr>
            <w:tcW w:w="32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已将符合条件的孤儿全部纳入了保障范围；按标准及时足额发放孤儿助学金。 </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3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3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24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992"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补助人数</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实有人数</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2人</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补助率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及时率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补助标准</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每人每年1万元</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每人每年1万元，按标准发放 </w:t>
            </w:r>
          </w:p>
        </w:tc>
        <w:tc>
          <w:tcPr>
            <w:tcW w:w="126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9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41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99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保障情况</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应保尽保</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9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9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11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24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379"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城市最低生活保障金（专项资金）</w:t>
      </w:r>
      <w:r>
        <w:rPr>
          <w:rFonts w:ascii="Times New Roman" w:eastAsia="仿宋_GB2312"/>
          <w:b w:val="0"/>
          <w:sz w:val="32"/>
          <w:szCs w:val="32"/>
        </w:rPr>
        <w:t>”项目</w:t>
      </w:r>
    </w:p>
    <w:tbl>
      <w:tblPr>
        <w:tblStyle w:val="8"/>
        <w:tblW w:w="97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00"/>
        <w:gridCol w:w="1263"/>
        <w:gridCol w:w="1254"/>
        <w:gridCol w:w="846"/>
        <w:gridCol w:w="924"/>
        <w:gridCol w:w="930"/>
        <w:gridCol w:w="1331"/>
        <w:gridCol w:w="12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78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jc w:val="center"/>
        </w:trPr>
        <w:tc>
          <w:tcPr>
            <w:tcW w:w="3263" w:type="dxa"/>
            <w:gridSpan w:val="2"/>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eastAsia="宋体" w:cs="宋体"/>
                <w:i w:val="0"/>
                <w:iCs w:val="0"/>
                <w:color w:val="000000"/>
                <w:kern w:val="0"/>
                <w:sz w:val="15"/>
                <w:szCs w:val="15"/>
                <w:u w:val="none"/>
                <w:lang w:val="en-US" w:eastAsia="zh-CN" w:bidi="ar"/>
              </w:rPr>
              <w:t>石家庄市桥西区民政局</w:t>
            </w:r>
          </w:p>
        </w:tc>
        <w:tc>
          <w:tcPr>
            <w:tcW w:w="3024"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w:t>
            </w:r>
          </w:p>
        </w:tc>
        <w:tc>
          <w:tcPr>
            <w:tcW w:w="93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563"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jc w:val="center"/>
        </w:trPr>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城市最低生活保障金（专项资金）</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jc w:val="center"/>
        </w:trPr>
        <w:tc>
          <w:tcPr>
            <w:tcW w:w="20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5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12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jc w:val="center"/>
        </w:trPr>
        <w:tc>
          <w:tcPr>
            <w:tcW w:w="20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36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1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6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按月及时足额发放最低生活保障金；做好低保年审工作，将符合救助条件的全部纳入低保保障范围。</w:t>
            </w:r>
          </w:p>
        </w:tc>
        <w:tc>
          <w:tcPr>
            <w:tcW w:w="31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按政策标准及时足额发放最低生活保障金；完成低保年审工作，将符合救助条件的全部纳入低保保障范围。</w:t>
            </w:r>
          </w:p>
        </w:tc>
        <w:tc>
          <w:tcPr>
            <w:tcW w:w="12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6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6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8" w:hRule="atLeast"/>
          <w:jc w:val="center"/>
        </w:trPr>
        <w:tc>
          <w:tcPr>
            <w:tcW w:w="200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8"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2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发放补助人数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实际救助人数</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1318人</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8"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发放标准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每月每人</w:t>
            </w:r>
            <w:r>
              <w:rPr>
                <w:rFonts w:ascii="Calibri" w:hAnsi="Calibri" w:eastAsia="宋体" w:cs="Calibri"/>
                <w:i w:val="0"/>
                <w:iCs w:val="0"/>
                <w:color w:val="000000"/>
                <w:kern w:val="0"/>
                <w:sz w:val="16"/>
                <w:szCs w:val="16"/>
                <w:u w:val="none"/>
                <w:lang w:val="en-US" w:eastAsia="zh-CN" w:bidi="ar"/>
              </w:rPr>
              <w:t>766</w:t>
            </w:r>
            <w:r>
              <w:rPr>
                <w:rFonts w:hint="eastAsia" w:ascii="宋体" w:hAnsi="宋体" w:eastAsia="宋体" w:cs="宋体"/>
                <w:i w:val="0"/>
                <w:iCs w:val="0"/>
                <w:color w:val="000000"/>
                <w:kern w:val="0"/>
                <w:sz w:val="16"/>
                <w:szCs w:val="16"/>
                <w:u w:val="none"/>
                <w:lang w:val="en-US" w:eastAsia="zh-CN" w:bidi="ar"/>
              </w:rPr>
              <w:t>元，差额发放</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2024年1-6月每月每人810元，2024年7-12月每月每人860元，差额发放</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5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7"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保障情况</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应保尽保</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8"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54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8" w:hRule="atLeast"/>
          <w:jc w:val="center"/>
        </w:trPr>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78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精神障碍社区康复服务</w:t>
      </w:r>
      <w:r>
        <w:rPr>
          <w:rFonts w:ascii="Times New Roman" w:eastAsia="仿宋_GB2312"/>
          <w:b w:val="0"/>
          <w:sz w:val="32"/>
          <w:szCs w:val="32"/>
        </w:rPr>
        <w:t>”项目</w:t>
      </w:r>
    </w:p>
    <w:tbl>
      <w:tblPr>
        <w:tblStyle w:val="8"/>
        <w:tblW w:w="97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20"/>
        <w:gridCol w:w="1250"/>
        <w:gridCol w:w="1033"/>
        <w:gridCol w:w="944"/>
        <w:gridCol w:w="926"/>
        <w:gridCol w:w="1103"/>
        <w:gridCol w:w="1128"/>
        <w:gridCol w:w="1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976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9" w:hRule="atLeast"/>
          <w:jc w:val="center"/>
        </w:trPr>
        <w:tc>
          <w:tcPr>
            <w:tcW w:w="3370" w:type="dxa"/>
            <w:gridSpan w:val="2"/>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eastAsia="宋体" w:cs="宋体"/>
                <w:i w:val="0"/>
                <w:iCs w:val="0"/>
                <w:color w:val="000000"/>
                <w:kern w:val="0"/>
                <w:sz w:val="15"/>
                <w:szCs w:val="15"/>
                <w:u w:val="none"/>
                <w:lang w:val="en-US" w:eastAsia="zh-CN" w:bidi="ar"/>
              </w:rPr>
              <w:t>石家庄市桥西区民政局</w:t>
            </w:r>
          </w:p>
        </w:tc>
        <w:tc>
          <w:tcPr>
            <w:tcW w:w="2903"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 ）</w:t>
            </w:r>
          </w:p>
        </w:tc>
        <w:tc>
          <w:tcPr>
            <w:tcW w:w="110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84"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3" w:hRule="atLeast"/>
          <w:jc w:val="center"/>
        </w:trPr>
        <w:tc>
          <w:tcPr>
            <w:tcW w:w="212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精神障碍社区康复服务项目</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8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jc w:val="center"/>
        </w:trPr>
        <w:tc>
          <w:tcPr>
            <w:tcW w:w="2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5"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3"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5"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jc w:val="center"/>
        </w:trPr>
        <w:tc>
          <w:tcPr>
            <w:tcW w:w="2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2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1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符合条件的精神障碍患者全部纳入康复服务范围。通过精神障碍社区康复服务，提高精神障碍患者幸福感，提高社会融合度。</w:t>
            </w:r>
          </w:p>
        </w:tc>
        <w:tc>
          <w:tcPr>
            <w:tcW w:w="315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精神障碍社区康复服务按项目计划进度开展服务，将符合条件的精神障碍患者全部纳入康复服务范围，通过优质服务，提高了精神障碍患者幸福感和社会融合度。</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3" w:hRule="atLeast"/>
          <w:jc w:val="center"/>
        </w:trPr>
        <w:tc>
          <w:tcPr>
            <w:tcW w:w="212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0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服务人数</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精神障碍社区康复服务人数</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40人</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8"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3"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支付标准</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≦36万元</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25.2万元，按项目计划进度开展服务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3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103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服务情况</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精神障碍社区康复服务是否有效</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效果明显</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3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3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jc w:val="center"/>
        </w:trPr>
        <w:tc>
          <w:tcPr>
            <w:tcW w:w="212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64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困难老年人社区居家养老服务补贴</w:t>
      </w:r>
      <w:r>
        <w:rPr>
          <w:rFonts w:ascii="Times New Roman" w:eastAsia="仿宋_GB2312"/>
          <w:b w:val="0"/>
          <w:sz w:val="32"/>
          <w:szCs w:val="32"/>
        </w:rPr>
        <w:t>”项目</w:t>
      </w:r>
    </w:p>
    <w:tbl>
      <w:tblPr>
        <w:tblStyle w:val="8"/>
        <w:tblW w:w="97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10"/>
        <w:gridCol w:w="1348"/>
        <w:gridCol w:w="891"/>
        <w:gridCol w:w="927"/>
        <w:gridCol w:w="940"/>
        <w:gridCol w:w="964"/>
        <w:gridCol w:w="1441"/>
        <w:gridCol w:w="12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9" w:hRule="atLeast"/>
          <w:jc w:val="center"/>
        </w:trPr>
        <w:tc>
          <w:tcPr>
            <w:tcW w:w="978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jc w:val="center"/>
        </w:trPr>
        <w:tc>
          <w:tcPr>
            <w:tcW w:w="3358" w:type="dxa"/>
            <w:gridSpan w:val="2"/>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eastAsia="宋体" w:cs="宋体"/>
                <w:i w:val="0"/>
                <w:iCs w:val="0"/>
                <w:color w:val="000000"/>
                <w:kern w:val="0"/>
                <w:sz w:val="15"/>
                <w:szCs w:val="15"/>
                <w:u w:val="none"/>
                <w:lang w:val="en-US" w:eastAsia="zh-CN" w:bidi="ar"/>
              </w:rPr>
              <w:t>石家庄市桥西区民政局</w:t>
            </w:r>
          </w:p>
        </w:tc>
        <w:tc>
          <w:tcPr>
            <w:tcW w:w="2758"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w:t>
            </w:r>
          </w:p>
        </w:tc>
        <w:tc>
          <w:tcPr>
            <w:tcW w:w="96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700"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jc w:val="center"/>
        </w:trPr>
        <w:tc>
          <w:tcPr>
            <w:tcW w:w="201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困难老年人社区居家养老服务补贴</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6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6" w:hRule="atLeast"/>
          <w:jc w:val="center"/>
        </w:trPr>
        <w:tc>
          <w:tcPr>
            <w:tcW w:w="20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4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1"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9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12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9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4"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6" w:hRule="atLeast"/>
          <w:jc w:val="center"/>
        </w:trPr>
        <w:tc>
          <w:tcPr>
            <w:tcW w:w="20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3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完成困难老年人社区居家养老补贴核对工作，及时结算困难老年人社区居家养老服务资金。</w:t>
            </w:r>
          </w:p>
        </w:tc>
        <w:tc>
          <w:tcPr>
            <w:tcW w:w="33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完成了困难老年人社区居家养老补贴核对工作，按市民政局通知及时结算困难老年人社区居家养老服务资金。 </w:t>
            </w:r>
          </w:p>
        </w:tc>
        <w:tc>
          <w:tcPr>
            <w:tcW w:w="12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jc w:val="center"/>
        </w:trPr>
        <w:tc>
          <w:tcPr>
            <w:tcW w:w="201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89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服务人数</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符合条件的实有人数</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4791人</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补助率</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5"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支付标准</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每人每月不低于100元</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每人每月不低于100元，按标准发放</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6"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9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6"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89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提升服务能力</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养老服务能力有效提高</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养老服务能力有效提高</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7"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6"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9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51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jc w:val="center"/>
        </w:trPr>
        <w:tc>
          <w:tcPr>
            <w:tcW w:w="201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77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3"/>
        </w:num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部门评价项目绩效评价结果</w:t>
      </w:r>
    </w:p>
    <w:p>
      <w:p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2024年，我单位按照年初制定的工作目标和任务，围绕区委、 区政府的中心工作，结合实际，抓重点、出亮点，在确保常规性 业务工作稳步推进的基础上，圆满完成了各项工作任务。根据绩 效评价指标体系及评价标准方法，结合现场查阅、统计相关资料 进行综合评价，得分结果为 100 分，绩效评价等级为优秀。</w:t>
      </w: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ascii="Times New Roman" w:eastAsia="仿宋_GB2312"/>
          <w:b w:val="0"/>
          <w:sz w:val="32"/>
          <w:szCs w:val="32"/>
        </w:rPr>
      </w:pPr>
      <w:r>
        <w:rPr>
          <w:rFonts w:ascii="Times New Roman" w:hAnsi="Times New Roman" w:eastAsia="仿宋_GB2312" w:cs="Times New Roman"/>
          <w:sz w:val="32"/>
          <w:szCs w:val="32"/>
        </w:rPr>
        <w:t xml:space="preserve">1. </w:t>
      </w:r>
      <w:r>
        <w:rPr>
          <w:rFonts w:ascii="Times New Roman" w:eastAsia="仿宋_GB2312"/>
          <w:b w:val="0"/>
          <w:sz w:val="32"/>
          <w:szCs w:val="32"/>
        </w:rPr>
        <w:t>本部门2024年度</w:t>
      </w:r>
      <w:r>
        <w:rPr>
          <w:rFonts w:hint="eastAsia" w:ascii="Times New Roman" w:eastAsia="仿宋_GB2312"/>
          <w:b w:val="0"/>
          <w:sz w:val="32"/>
          <w:szCs w:val="32"/>
          <w:lang w:val="en-US" w:eastAsia="zh-CN"/>
        </w:rPr>
        <w:t>未发生</w:t>
      </w:r>
      <w:r>
        <w:rPr>
          <w:rFonts w:ascii="Times New Roman" w:eastAsia="仿宋_GB2312"/>
          <w:b w:val="0"/>
          <w:sz w:val="32"/>
          <w:szCs w:val="32"/>
        </w:rPr>
        <w:t>国有资本经营预算财政拨款</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无收支及结转情况，</w:t>
      </w:r>
      <w:r>
        <w:rPr>
          <w:rFonts w:ascii="Times New Roman" w:eastAsia="仿宋_GB2312"/>
          <w:b w:val="0"/>
          <w:sz w:val="32"/>
          <w:szCs w:val="32"/>
        </w:rPr>
        <w:t>故国有资本经营预算财政拨款</w:t>
      </w:r>
      <w:r>
        <w:rPr>
          <w:rFonts w:hint="eastAsia" w:ascii="Times New Roman" w:eastAsia="仿宋_GB2312"/>
          <w:b w:val="0"/>
          <w:sz w:val="32"/>
          <w:szCs w:val="32"/>
          <w:lang w:val="en-US" w:eastAsia="zh-CN"/>
        </w:rPr>
        <w:t>支出决算表以</w:t>
      </w:r>
      <w:r>
        <w:rPr>
          <w:rFonts w:ascii="Times New Roman" w:eastAsia="仿宋_GB2312"/>
          <w:b w:val="0"/>
          <w:sz w:val="32"/>
          <w:szCs w:val="32"/>
        </w:rPr>
        <w:t>空表列示。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pPr>
        <w:spacing w:line="580" w:lineRule="exact"/>
        <w:rPr>
          <w:rFonts w:ascii="Times New Roman" w:hAnsi="Times New Roman" w:eastAsia="仿宋_GB2312" w:cs="Times New Roman"/>
          <w:sz w:val="32"/>
          <w:szCs w:val="32"/>
        </w:rPr>
      </w:pP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幼圆">
    <w:altName w:val="宋体"/>
    <w:panose1 w:val="0201050906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方正仿宋_GB2312">
    <w:altName w:val="仿宋"/>
    <w:panose1 w:val="02000000000000000000"/>
    <w:charset w:val="86"/>
    <w:family w:val="auto"/>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7715C5"/>
    <w:multiLevelType w:val="singleLevel"/>
    <w:tmpl w:val="027715C5"/>
    <w:lvl w:ilvl="0" w:tentative="0">
      <w:start w:val="1"/>
      <w:numFmt w:val="chineseCounting"/>
      <w:lvlText w:val="(%1)"/>
      <w:lvlJc w:val="left"/>
      <w:pPr>
        <w:tabs>
          <w:tab w:val="left" w:pos="312"/>
        </w:tabs>
      </w:pPr>
      <w:rPr>
        <w:rFonts w:hint="eastAsia"/>
      </w:rPr>
    </w:lvl>
  </w:abstractNum>
  <w:abstractNum w:abstractNumId="1">
    <w:nsid w:val="35188136"/>
    <w:multiLevelType w:val="singleLevel"/>
    <w:tmpl w:val="35188136"/>
    <w:lvl w:ilvl="0" w:tentative="0">
      <w:start w:val="1"/>
      <w:numFmt w:val="decimal"/>
      <w:suff w:val="nothing"/>
      <w:lvlText w:val="%1、"/>
      <w:lvlJc w:val="left"/>
    </w:lvl>
  </w:abstractNum>
  <w:abstractNum w:abstractNumId="2">
    <w:nsid w:val="781B1F1B"/>
    <w:multiLevelType w:val="singleLevel"/>
    <w:tmpl w:val="781B1F1B"/>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3ZjEzYzcyNWRlOTE1OGUxMWFlNWQxOWRhODI2YzYifQ=="/>
  </w:docVars>
  <w:rsids>
    <w:rsidRoot w:val="000807B9"/>
    <w:rsid w:val="000807B9"/>
    <w:rsid w:val="000E6F60"/>
    <w:rsid w:val="001243B4"/>
    <w:rsid w:val="00127E4E"/>
    <w:rsid w:val="001C6A6A"/>
    <w:rsid w:val="00220943"/>
    <w:rsid w:val="002F2DB6"/>
    <w:rsid w:val="003B643A"/>
    <w:rsid w:val="003F7706"/>
    <w:rsid w:val="00447340"/>
    <w:rsid w:val="00462F02"/>
    <w:rsid w:val="00471A54"/>
    <w:rsid w:val="00520668"/>
    <w:rsid w:val="005B5FCD"/>
    <w:rsid w:val="005E2E4B"/>
    <w:rsid w:val="00605266"/>
    <w:rsid w:val="00606924"/>
    <w:rsid w:val="00686BDC"/>
    <w:rsid w:val="00726674"/>
    <w:rsid w:val="00733638"/>
    <w:rsid w:val="007E5523"/>
    <w:rsid w:val="00802F5C"/>
    <w:rsid w:val="00804174"/>
    <w:rsid w:val="0082221E"/>
    <w:rsid w:val="00836E42"/>
    <w:rsid w:val="00836FA6"/>
    <w:rsid w:val="008948AE"/>
    <w:rsid w:val="00947354"/>
    <w:rsid w:val="00947C75"/>
    <w:rsid w:val="00967126"/>
    <w:rsid w:val="009B09E1"/>
    <w:rsid w:val="00A058AD"/>
    <w:rsid w:val="00A40C19"/>
    <w:rsid w:val="00A61549"/>
    <w:rsid w:val="00A866E4"/>
    <w:rsid w:val="00A9383B"/>
    <w:rsid w:val="00B00F32"/>
    <w:rsid w:val="00BA2A97"/>
    <w:rsid w:val="00BC5A71"/>
    <w:rsid w:val="00BC6BE1"/>
    <w:rsid w:val="00C20F51"/>
    <w:rsid w:val="00C6541E"/>
    <w:rsid w:val="00C945DD"/>
    <w:rsid w:val="00CB1066"/>
    <w:rsid w:val="00CB1126"/>
    <w:rsid w:val="00D23242"/>
    <w:rsid w:val="00D40E9A"/>
    <w:rsid w:val="00D71CC5"/>
    <w:rsid w:val="00D73746"/>
    <w:rsid w:val="00D822EA"/>
    <w:rsid w:val="00DA2495"/>
    <w:rsid w:val="00DC37FD"/>
    <w:rsid w:val="00DD39E4"/>
    <w:rsid w:val="00E07713"/>
    <w:rsid w:val="00EA6A18"/>
    <w:rsid w:val="00ED6E0D"/>
    <w:rsid w:val="00F565FC"/>
    <w:rsid w:val="00F94EBA"/>
    <w:rsid w:val="00F95C94"/>
    <w:rsid w:val="00FC7282"/>
    <w:rsid w:val="00FD16C8"/>
    <w:rsid w:val="010B22B0"/>
    <w:rsid w:val="013712F7"/>
    <w:rsid w:val="01505F15"/>
    <w:rsid w:val="01510BEF"/>
    <w:rsid w:val="01763C14"/>
    <w:rsid w:val="019422A6"/>
    <w:rsid w:val="01A050EF"/>
    <w:rsid w:val="01C42B8B"/>
    <w:rsid w:val="01CA216C"/>
    <w:rsid w:val="01D775B9"/>
    <w:rsid w:val="01DD1E9F"/>
    <w:rsid w:val="01FF4EDD"/>
    <w:rsid w:val="02007257"/>
    <w:rsid w:val="020760D2"/>
    <w:rsid w:val="02445A7A"/>
    <w:rsid w:val="02532D66"/>
    <w:rsid w:val="026779BA"/>
    <w:rsid w:val="02881E0B"/>
    <w:rsid w:val="02924A37"/>
    <w:rsid w:val="02963DFC"/>
    <w:rsid w:val="029E2E94"/>
    <w:rsid w:val="02D958E4"/>
    <w:rsid w:val="02EA4873"/>
    <w:rsid w:val="02ED4364"/>
    <w:rsid w:val="02FF5E45"/>
    <w:rsid w:val="035A307B"/>
    <w:rsid w:val="03675EC4"/>
    <w:rsid w:val="03710AF1"/>
    <w:rsid w:val="03A762C0"/>
    <w:rsid w:val="03B409DD"/>
    <w:rsid w:val="03BB6210"/>
    <w:rsid w:val="03BB7FBE"/>
    <w:rsid w:val="03D81701"/>
    <w:rsid w:val="03F84D6E"/>
    <w:rsid w:val="04041965"/>
    <w:rsid w:val="040A684F"/>
    <w:rsid w:val="040F3707"/>
    <w:rsid w:val="043A7135"/>
    <w:rsid w:val="04581CB1"/>
    <w:rsid w:val="047343F5"/>
    <w:rsid w:val="0490044D"/>
    <w:rsid w:val="04934A97"/>
    <w:rsid w:val="04974587"/>
    <w:rsid w:val="049A0892"/>
    <w:rsid w:val="04DA26C6"/>
    <w:rsid w:val="04DB74E1"/>
    <w:rsid w:val="04DE4D01"/>
    <w:rsid w:val="04E62B47"/>
    <w:rsid w:val="04EF43C3"/>
    <w:rsid w:val="04F55E74"/>
    <w:rsid w:val="04F574FF"/>
    <w:rsid w:val="04F57E07"/>
    <w:rsid w:val="050634BB"/>
    <w:rsid w:val="050D4849"/>
    <w:rsid w:val="053864A2"/>
    <w:rsid w:val="0546652F"/>
    <w:rsid w:val="05571779"/>
    <w:rsid w:val="05AC1AAE"/>
    <w:rsid w:val="05BB24F7"/>
    <w:rsid w:val="05C55124"/>
    <w:rsid w:val="060F57D2"/>
    <w:rsid w:val="061D6D0E"/>
    <w:rsid w:val="061E4045"/>
    <w:rsid w:val="062736E9"/>
    <w:rsid w:val="063D2F0C"/>
    <w:rsid w:val="06436049"/>
    <w:rsid w:val="064C314F"/>
    <w:rsid w:val="066761DB"/>
    <w:rsid w:val="068B1EC9"/>
    <w:rsid w:val="06C929F2"/>
    <w:rsid w:val="06CE0008"/>
    <w:rsid w:val="06E67100"/>
    <w:rsid w:val="06F55595"/>
    <w:rsid w:val="07100621"/>
    <w:rsid w:val="07155C37"/>
    <w:rsid w:val="072916E2"/>
    <w:rsid w:val="074B78AB"/>
    <w:rsid w:val="07BA233A"/>
    <w:rsid w:val="07BA5294"/>
    <w:rsid w:val="07BC2556"/>
    <w:rsid w:val="07DE071F"/>
    <w:rsid w:val="07DE427B"/>
    <w:rsid w:val="081E4FBF"/>
    <w:rsid w:val="082D6FB0"/>
    <w:rsid w:val="08A52FEB"/>
    <w:rsid w:val="08C6543B"/>
    <w:rsid w:val="08E73603"/>
    <w:rsid w:val="08F17FDE"/>
    <w:rsid w:val="09025CC1"/>
    <w:rsid w:val="091066B6"/>
    <w:rsid w:val="09173EE8"/>
    <w:rsid w:val="09287EA3"/>
    <w:rsid w:val="092D54BA"/>
    <w:rsid w:val="092F6553"/>
    <w:rsid w:val="093F6F9B"/>
    <w:rsid w:val="095A3DD5"/>
    <w:rsid w:val="095A4392"/>
    <w:rsid w:val="096864F2"/>
    <w:rsid w:val="09795C5D"/>
    <w:rsid w:val="097C01EF"/>
    <w:rsid w:val="0983157E"/>
    <w:rsid w:val="098B0432"/>
    <w:rsid w:val="09975029"/>
    <w:rsid w:val="09976DD7"/>
    <w:rsid w:val="09A3752A"/>
    <w:rsid w:val="09B90AFC"/>
    <w:rsid w:val="09BC3F89"/>
    <w:rsid w:val="09C000DC"/>
    <w:rsid w:val="09C0632E"/>
    <w:rsid w:val="09DC0C8E"/>
    <w:rsid w:val="09EA33AB"/>
    <w:rsid w:val="09F00295"/>
    <w:rsid w:val="0A014251"/>
    <w:rsid w:val="0A0B50CF"/>
    <w:rsid w:val="0A641E54"/>
    <w:rsid w:val="0A747118"/>
    <w:rsid w:val="0A7669ED"/>
    <w:rsid w:val="0A894972"/>
    <w:rsid w:val="0AB82233"/>
    <w:rsid w:val="0ACA5794"/>
    <w:rsid w:val="0B1A381C"/>
    <w:rsid w:val="0B242263"/>
    <w:rsid w:val="0B4A504E"/>
    <w:rsid w:val="0B512FB6"/>
    <w:rsid w:val="0B64718D"/>
    <w:rsid w:val="0B7B7615"/>
    <w:rsid w:val="0B8F2FBD"/>
    <w:rsid w:val="0BAE65BA"/>
    <w:rsid w:val="0BC81CD9"/>
    <w:rsid w:val="0BC96FF0"/>
    <w:rsid w:val="0BD64561"/>
    <w:rsid w:val="0BE20DB9"/>
    <w:rsid w:val="0BF16C73"/>
    <w:rsid w:val="0C040028"/>
    <w:rsid w:val="0C055379"/>
    <w:rsid w:val="0C0B49A9"/>
    <w:rsid w:val="0C2D757F"/>
    <w:rsid w:val="0C360EE6"/>
    <w:rsid w:val="0C3A67F9"/>
    <w:rsid w:val="0C3E2CE1"/>
    <w:rsid w:val="0C5A77EA"/>
    <w:rsid w:val="0C994C14"/>
    <w:rsid w:val="0CE73BD2"/>
    <w:rsid w:val="0CEB5E59"/>
    <w:rsid w:val="0D9D24E2"/>
    <w:rsid w:val="0DB00467"/>
    <w:rsid w:val="0DB22432"/>
    <w:rsid w:val="0DFB3293"/>
    <w:rsid w:val="0E1D0A5A"/>
    <w:rsid w:val="0E2624D8"/>
    <w:rsid w:val="0E3031B3"/>
    <w:rsid w:val="0E421527"/>
    <w:rsid w:val="0E5B6625"/>
    <w:rsid w:val="0E5C02D2"/>
    <w:rsid w:val="0EA13ADC"/>
    <w:rsid w:val="0EEF06A8"/>
    <w:rsid w:val="0F3155D8"/>
    <w:rsid w:val="0F3B0205"/>
    <w:rsid w:val="0F696B20"/>
    <w:rsid w:val="0F825E34"/>
    <w:rsid w:val="0F895414"/>
    <w:rsid w:val="0FB2002B"/>
    <w:rsid w:val="0FB83603"/>
    <w:rsid w:val="0FC95811"/>
    <w:rsid w:val="0FCF164B"/>
    <w:rsid w:val="0FED7751"/>
    <w:rsid w:val="0FFA3C1C"/>
    <w:rsid w:val="101051ED"/>
    <w:rsid w:val="102E6D1C"/>
    <w:rsid w:val="10596B94"/>
    <w:rsid w:val="10634FAD"/>
    <w:rsid w:val="10687DDF"/>
    <w:rsid w:val="106F460A"/>
    <w:rsid w:val="10B244F7"/>
    <w:rsid w:val="110A7E8F"/>
    <w:rsid w:val="1115264F"/>
    <w:rsid w:val="111F3E95"/>
    <w:rsid w:val="112E6273"/>
    <w:rsid w:val="116972AB"/>
    <w:rsid w:val="11B159F2"/>
    <w:rsid w:val="11B20C52"/>
    <w:rsid w:val="11F33019"/>
    <w:rsid w:val="11FC3C7B"/>
    <w:rsid w:val="12015736"/>
    <w:rsid w:val="120B2110"/>
    <w:rsid w:val="12217B86"/>
    <w:rsid w:val="1232769D"/>
    <w:rsid w:val="123A29F6"/>
    <w:rsid w:val="1255782F"/>
    <w:rsid w:val="12696E37"/>
    <w:rsid w:val="126D15E8"/>
    <w:rsid w:val="12A132A1"/>
    <w:rsid w:val="12B97544"/>
    <w:rsid w:val="12BC1C89"/>
    <w:rsid w:val="12ED5CBA"/>
    <w:rsid w:val="13086650"/>
    <w:rsid w:val="130A061A"/>
    <w:rsid w:val="130B7EEE"/>
    <w:rsid w:val="132D4308"/>
    <w:rsid w:val="132E255A"/>
    <w:rsid w:val="13345697"/>
    <w:rsid w:val="133631BD"/>
    <w:rsid w:val="13477178"/>
    <w:rsid w:val="13531FC1"/>
    <w:rsid w:val="13622204"/>
    <w:rsid w:val="13655850"/>
    <w:rsid w:val="137809C1"/>
    <w:rsid w:val="13946135"/>
    <w:rsid w:val="139B5716"/>
    <w:rsid w:val="139F5206"/>
    <w:rsid w:val="13D11E8F"/>
    <w:rsid w:val="13DB5B12"/>
    <w:rsid w:val="13E57EC7"/>
    <w:rsid w:val="140E413A"/>
    <w:rsid w:val="142C6FFF"/>
    <w:rsid w:val="147E1167"/>
    <w:rsid w:val="14C8217B"/>
    <w:rsid w:val="14DA401C"/>
    <w:rsid w:val="14F0383F"/>
    <w:rsid w:val="14F21F68"/>
    <w:rsid w:val="14F90946"/>
    <w:rsid w:val="150177FB"/>
    <w:rsid w:val="15487CC5"/>
    <w:rsid w:val="154D6A0B"/>
    <w:rsid w:val="154F67B8"/>
    <w:rsid w:val="1571672E"/>
    <w:rsid w:val="157A0BBA"/>
    <w:rsid w:val="158C17BA"/>
    <w:rsid w:val="1598015F"/>
    <w:rsid w:val="15A5462A"/>
    <w:rsid w:val="15A72150"/>
    <w:rsid w:val="15E46F00"/>
    <w:rsid w:val="15F21F4A"/>
    <w:rsid w:val="160E21CF"/>
    <w:rsid w:val="162C23FB"/>
    <w:rsid w:val="1666200B"/>
    <w:rsid w:val="16801D13"/>
    <w:rsid w:val="16A2763D"/>
    <w:rsid w:val="16CB1E6E"/>
    <w:rsid w:val="16D166A2"/>
    <w:rsid w:val="16D9794A"/>
    <w:rsid w:val="16EB42BE"/>
    <w:rsid w:val="16F844B6"/>
    <w:rsid w:val="171130FB"/>
    <w:rsid w:val="17127A9D"/>
    <w:rsid w:val="1726179A"/>
    <w:rsid w:val="17445DA5"/>
    <w:rsid w:val="174B2FAF"/>
    <w:rsid w:val="176B01E9"/>
    <w:rsid w:val="17712A16"/>
    <w:rsid w:val="177E15D6"/>
    <w:rsid w:val="178C2C6C"/>
    <w:rsid w:val="17AF4BA6"/>
    <w:rsid w:val="17B60D70"/>
    <w:rsid w:val="17B84AE8"/>
    <w:rsid w:val="17C46E81"/>
    <w:rsid w:val="181141F9"/>
    <w:rsid w:val="18131D1F"/>
    <w:rsid w:val="18261E12"/>
    <w:rsid w:val="182F1538"/>
    <w:rsid w:val="18300B23"/>
    <w:rsid w:val="18585984"/>
    <w:rsid w:val="1888270D"/>
    <w:rsid w:val="18B708FC"/>
    <w:rsid w:val="18BF3C55"/>
    <w:rsid w:val="18C63235"/>
    <w:rsid w:val="18DA283C"/>
    <w:rsid w:val="18DE232D"/>
    <w:rsid w:val="18F13BDB"/>
    <w:rsid w:val="18F27B86"/>
    <w:rsid w:val="190856F0"/>
    <w:rsid w:val="190B0C48"/>
    <w:rsid w:val="19203F9B"/>
    <w:rsid w:val="192F22BD"/>
    <w:rsid w:val="194A5174"/>
    <w:rsid w:val="19616ABA"/>
    <w:rsid w:val="197C38F4"/>
    <w:rsid w:val="199944A6"/>
    <w:rsid w:val="19AC41D9"/>
    <w:rsid w:val="19B906A4"/>
    <w:rsid w:val="19C84D8B"/>
    <w:rsid w:val="19CC03D7"/>
    <w:rsid w:val="19FA13E8"/>
    <w:rsid w:val="19FD2C86"/>
    <w:rsid w:val="1A2B3B14"/>
    <w:rsid w:val="1A475CB0"/>
    <w:rsid w:val="1A6A1372"/>
    <w:rsid w:val="1A925EC6"/>
    <w:rsid w:val="1AA9696A"/>
    <w:rsid w:val="1AB84757"/>
    <w:rsid w:val="1AC50EBB"/>
    <w:rsid w:val="1ADE4866"/>
    <w:rsid w:val="1AEE0821"/>
    <w:rsid w:val="1AF46377"/>
    <w:rsid w:val="1AF51BB0"/>
    <w:rsid w:val="1B26620D"/>
    <w:rsid w:val="1B2B3823"/>
    <w:rsid w:val="1B2D30F7"/>
    <w:rsid w:val="1B391A9C"/>
    <w:rsid w:val="1B6D7998"/>
    <w:rsid w:val="1B8874AE"/>
    <w:rsid w:val="1BB455C7"/>
    <w:rsid w:val="1BC51582"/>
    <w:rsid w:val="1BCA4DEA"/>
    <w:rsid w:val="1C381D54"/>
    <w:rsid w:val="1C5172BA"/>
    <w:rsid w:val="1C67088B"/>
    <w:rsid w:val="1C7F5BD5"/>
    <w:rsid w:val="1C8153F6"/>
    <w:rsid w:val="1C961170"/>
    <w:rsid w:val="1C9F75A3"/>
    <w:rsid w:val="1CCB706C"/>
    <w:rsid w:val="1CDA2E0B"/>
    <w:rsid w:val="1CF9709D"/>
    <w:rsid w:val="1D030E9D"/>
    <w:rsid w:val="1D0B56BA"/>
    <w:rsid w:val="1D1B2AED"/>
    <w:rsid w:val="1D26211A"/>
    <w:rsid w:val="1D292FBB"/>
    <w:rsid w:val="1D312BE6"/>
    <w:rsid w:val="1D451156"/>
    <w:rsid w:val="1D596426"/>
    <w:rsid w:val="1D8E1E10"/>
    <w:rsid w:val="1DB71419"/>
    <w:rsid w:val="1DC31AF1"/>
    <w:rsid w:val="1DC835AB"/>
    <w:rsid w:val="1DCA7323"/>
    <w:rsid w:val="1DE008F5"/>
    <w:rsid w:val="1DE56E5A"/>
    <w:rsid w:val="1E07639B"/>
    <w:rsid w:val="1E2E5180"/>
    <w:rsid w:val="1E3D18A3"/>
    <w:rsid w:val="1E592455"/>
    <w:rsid w:val="1E870D71"/>
    <w:rsid w:val="1E9B2A6E"/>
    <w:rsid w:val="1E9D67E6"/>
    <w:rsid w:val="1EAE3292"/>
    <w:rsid w:val="1EBE016A"/>
    <w:rsid w:val="1EDA17E8"/>
    <w:rsid w:val="1EF34658"/>
    <w:rsid w:val="1F1620F4"/>
    <w:rsid w:val="1F184743"/>
    <w:rsid w:val="1F2E79C2"/>
    <w:rsid w:val="1F38054B"/>
    <w:rsid w:val="1F642E60"/>
    <w:rsid w:val="1F881244"/>
    <w:rsid w:val="1F903714"/>
    <w:rsid w:val="1F9279CD"/>
    <w:rsid w:val="1FAD4807"/>
    <w:rsid w:val="1FB913FE"/>
    <w:rsid w:val="1FCD30FB"/>
    <w:rsid w:val="1FF266BE"/>
    <w:rsid w:val="1FF367D9"/>
    <w:rsid w:val="201C198C"/>
    <w:rsid w:val="202007B7"/>
    <w:rsid w:val="202F16C0"/>
    <w:rsid w:val="20407429"/>
    <w:rsid w:val="204F1D62"/>
    <w:rsid w:val="2059498F"/>
    <w:rsid w:val="20601879"/>
    <w:rsid w:val="20653333"/>
    <w:rsid w:val="207F28C0"/>
    <w:rsid w:val="20924822"/>
    <w:rsid w:val="20A57BD4"/>
    <w:rsid w:val="20AA51EA"/>
    <w:rsid w:val="20B87907"/>
    <w:rsid w:val="20CA3197"/>
    <w:rsid w:val="20F326ED"/>
    <w:rsid w:val="21125F2D"/>
    <w:rsid w:val="2138635A"/>
    <w:rsid w:val="214178FD"/>
    <w:rsid w:val="21577120"/>
    <w:rsid w:val="215A09BE"/>
    <w:rsid w:val="21627873"/>
    <w:rsid w:val="21863561"/>
    <w:rsid w:val="21A41C3A"/>
    <w:rsid w:val="21E309B4"/>
    <w:rsid w:val="21E464DA"/>
    <w:rsid w:val="21F15A4A"/>
    <w:rsid w:val="221548E5"/>
    <w:rsid w:val="221943D6"/>
    <w:rsid w:val="227306C8"/>
    <w:rsid w:val="22785A31"/>
    <w:rsid w:val="22833F45"/>
    <w:rsid w:val="22A85759"/>
    <w:rsid w:val="22B60558"/>
    <w:rsid w:val="22BD2FB3"/>
    <w:rsid w:val="22D14CB0"/>
    <w:rsid w:val="231B417D"/>
    <w:rsid w:val="231B5F2B"/>
    <w:rsid w:val="231D65B1"/>
    <w:rsid w:val="23332CA9"/>
    <w:rsid w:val="23616034"/>
    <w:rsid w:val="2385335F"/>
    <w:rsid w:val="23955CDE"/>
    <w:rsid w:val="23A93537"/>
    <w:rsid w:val="23B51EDC"/>
    <w:rsid w:val="23ED5B1A"/>
    <w:rsid w:val="245711E5"/>
    <w:rsid w:val="24612064"/>
    <w:rsid w:val="24751C29"/>
    <w:rsid w:val="24912949"/>
    <w:rsid w:val="251E5D15"/>
    <w:rsid w:val="25473008"/>
    <w:rsid w:val="255F47F5"/>
    <w:rsid w:val="256D7E07"/>
    <w:rsid w:val="25D24FC7"/>
    <w:rsid w:val="25DF76E4"/>
    <w:rsid w:val="25E20F82"/>
    <w:rsid w:val="25F27417"/>
    <w:rsid w:val="260B672B"/>
    <w:rsid w:val="26435EC5"/>
    <w:rsid w:val="26482228"/>
    <w:rsid w:val="26492DAF"/>
    <w:rsid w:val="2664492F"/>
    <w:rsid w:val="266F34BC"/>
    <w:rsid w:val="267047E0"/>
    <w:rsid w:val="26971D6D"/>
    <w:rsid w:val="26993D37"/>
    <w:rsid w:val="27054F28"/>
    <w:rsid w:val="27276D3D"/>
    <w:rsid w:val="272C6959"/>
    <w:rsid w:val="273F4ABF"/>
    <w:rsid w:val="27602AA7"/>
    <w:rsid w:val="27796F43"/>
    <w:rsid w:val="27897907"/>
    <w:rsid w:val="279577F1"/>
    <w:rsid w:val="279E6B58"/>
    <w:rsid w:val="27A02EA3"/>
    <w:rsid w:val="27A720F5"/>
    <w:rsid w:val="27AF043B"/>
    <w:rsid w:val="27CE7A10"/>
    <w:rsid w:val="27E9484A"/>
    <w:rsid w:val="27F05BD9"/>
    <w:rsid w:val="27F427FC"/>
    <w:rsid w:val="28100029"/>
    <w:rsid w:val="281E6005"/>
    <w:rsid w:val="283D6944"/>
    <w:rsid w:val="28677802"/>
    <w:rsid w:val="28681C13"/>
    <w:rsid w:val="287E58EF"/>
    <w:rsid w:val="2890296D"/>
    <w:rsid w:val="289A78F2"/>
    <w:rsid w:val="28B74948"/>
    <w:rsid w:val="28D4569E"/>
    <w:rsid w:val="28F0456F"/>
    <w:rsid w:val="28FD67FF"/>
    <w:rsid w:val="29051210"/>
    <w:rsid w:val="29341AF5"/>
    <w:rsid w:val="293B585C"/>
    <w:rsid w:val="294F3C71"/>
    <w:rsid w:val="2992096A"/>
    <w:rsid w:val="299E3412"/>
    <w:rsid w:val="29AA1DB7"/>
    <w:rsid w:val="29AC1FD3"/>
    <w:rsid w:val="29B844D4"/>
    <w:rsid w:val="29C4731D"/>
    <w:rsid w:val="29E22D43"/>
    <w:rsid w:val="29E77046"/>
    <w:rsid w:val="2A07545B"/>
    <w:rsid w:val="2A1C134D"/>
    <w:rsid w:val="2A202079"/>
    <w:rsid w:val="2A8820F8"/>
    <w:rsid w:val="2ADD06DC"/>
    <w:rsid w:val="2AE82B97"/>
    <w:rsid w:val="2B084FE7"/>
    <w:rsid w:val="2B0C7FC8"/>
    <w:rsid w:val="2B0D0850"/>
    <w:rsid w:val="2B3C2EE3"/>
    <w:rsid w:val="2B430715"/>
    <w:rsid w:val="2B4C723F"/>
    <w:rsid w:val="2B7E52A9"/>
    <w:rsid w:val="2B852ADC"/>
    <w:rsid w:val="2B9D45A2"/>
    <w:rsid w:val="2BAC159C"/>
    <w:rsid w:val="2BC453B2"/>
    <w:rsid w:val="2BCA04EF"/>
    <w:rsid w:val="2C0C6D59"/>
    <w:rsid w:val="2C163734"/>
    <w:rsid w:val="2C300C99"/>
    <w:rsid w:val="2C44304A"/>
    <w:rsid w:val="2C550D9A"/>
    <w:rsid w:val="2C6379F1"/>
    <w:rsid w:val="2C6B7F24"/>
    <w:rsid w:val="2C842D93"/>
    <w:rsid w:val="2CB216AE"/>
    <w:rsid w:val="2D03015C"/>
    <w:rsid w:val="2D181813"/>
    <w:rsid w:val="2D1F6E84"/>
    <w:rsid w:val="2D256324"/>
    <w:rsid w:val="2D452523"/>
    <w:rsid w:val="2D686211"/>
    <w:rsid w:val="2D7B4196"/>
    <w:rsid w:val="2D7E77E3"/>
    <w:rsid w:val="2D8A43D9"/>
    <w:rsid w:val="2D8A6187"/>
    <w:rsid w:val="2DB759F2"/>
    <w:rsid w:val="2DB94CBF"/>
    <w:rsid w:val="2DF81343"/>
    <w:rsid w:val="2DFD4BAB"/>
    <w:rsid w:val="2E3D31FA"/>
    <w:rsid w:val="2E4A5917"/>
    <w:rsid w:val="2E5C5D76"/>
    <w:rsid w:val="2E772BB0"/>
    <w:rsid w:val="2E951288"/>
    <w:rsid w:val="2EC67693"/>
    <w:rsid w:val="2ED0406E"/>
    <w:rsid w:val="2ED753FC"/>
    <w:rsid w:val="2EFF2BA5"/>
    <w:rsid w:val="2F065CE2"/>
    <w:rsid w:val="2F4D1B62"/>
    <w:rsid w:val="2F503401"/>
    <w:rsid w:val="2F8310E0"/>
    <w:rsid w:val="2F8F5CD7"/>
    <w:rsid w:val="2F9E345A"/>
    <w:rsid w:val="2FA554FB"/>
    <w:rsid w:val="2FD15864"/>
    <w:rsid w:val="2FE75B13"/>
    <w:rsid w:val="2FE82075"/>
    <w:rsid w:val="2FEF6776"/>
    <w:rsid w:val="2FF40230"/>
    <w:rsid w:val="301019FD"/>
    <w:rsid w:val="301A41E9"/>
    <w:rsid w:val="303D1BD7"/>
    <w:rsid w:val="30420F9B"/>
    <w:rsid w:val="304C5976"/>
    <w:rsid w:val="306B04F2"/>
    <w:rsid w:val="30733792"/>
    <w:rsid w:val="307A0735"/>
    <w:rsid w:val="30896BCA"/>
    <w:rsid w:val="308C0468"/>
    <w:rsid w:val="30E262DA"/>
    <w:rsid w:val="30F73B34"/>
    <w:rsid w:val="3106646D"/>
    <w:rsid w:val="311210BD"/>
    <w:rsid w:val="318555E4"/>
    <w:rsid w:val="319770C5"/>
    <w:rsid w:val="31CE7EC4"/>
    <w:rsid w:val="31DE4CF4"/>
    <w:rsid w:val="31E87920"/>
    <w:rsid w:val="31F36233"/>
    <w:rsid w:val="32145DA5"/>
    <w:rsid w:val="323042A8"/>
    <w:rsid w:val="32333292"/>
    <w:rsid w:val="32454D73"/>
    <w:rsid w:val="324803BF"/>
    <w:rsid w:val="324F5BF1"/>
    <w:rsid w:val="32544FB6"/>
    <w:rsid w:val="32584AA6"/>
    <w:rsid w:val="327D62BB"/>
    <w:rsid w:val="32943604"/>
    <w:rsid w:val="32C57C62"/>
    <w:rsid w:val="32D0288E"/>
    <w:rsid w:val="33010C9A"/>
    <w:rsid w:val="334E7C57"/>
    <w:rsid w:val="339F1D94"/>
    <w:rsid w:val="33BA0F5C"/>
    <w:rsid w:val="33E9051D"/>
    <w:rsid w:val="33F22CD8"/>
    <w:rsid w:val="340B78F6"/>
    <w:rsid w:val="343155AF"/>
    <w:rsid w:val="34874D6D"/>
    <w:rsid w:val="349D49F2"/>
    <w:rsid w:val="34B47F8E"/>
    <w:rsid w:val="34BB131C"/>
    <w:rsid w:val="34D83C7C"/>
    <w:rsid w:val="34E654E1"/>
    <w:rsid w:val="3529097C"/>
    <w:rsid w:val="352B46F4"/>
    <w:rsid w:val="353F0B07"/>
    <w:rsid w:val="35492DCC"/>
    <w:rsid w:val="355B7386"/>
    <w:rsid w:val="355C133F"/>
    <w:rsid w:val="356B2D42"/>
    <w:rsid w:val="3579545F"/>
    <w:rsid w:val="357F234A"/>
    <w:rsid w:val="35990008"/>
    <w:rsid w:val="35BF4E3C"/>
    <w:rsid w:val="35C97A69"/>
    <w:rsid w:val="35D5640E"/>
    <w:rsid w:val="35DC154A"/>
    <w:rsid w:val="35E50147"/>
    <w:rsid w:val="361909F0"/>
    <w:rsid w:val="36266C69"/>
    <w:rsid w:val="36341386"/>
    <w:rsid w:val="364D2448"/>
    <w:rsid w:val="366A2FFA"/>
    <w:rsid w:val="36820344"/>
    <w:rsid w:val="368C529C"/>
    <w:rsid w:val="36B64491"/>
    <w:rsid w:val="36C56482"/>
    <w:rsid w:val="36C97D20"/>
    <w:rsid w:val="36FF3742"/>
    <w:rsid w:val="37074CED"/>
    <w:rsid w:val="373133EF"/>
    <w:rsid w:val="373E3013"/>
    <w:rsid w:val="373E7E7C"/>
    <w:rsid w:val="375021F0"/>
    <w:rsid w:val="37590D17"/>
    <w:rsid w:val="37691503"/>
    <w:rsid w:val="378F49FE"/>
    <w:rsid w:val="37D01583"/>
    <w:rsid w:val="37E1109A"/>
    <w:rsid w:val="37F94635"/>
    <w:rsid w:val="382014AF"/>
    <w:rsid w:val="38237904"/>
    <w:rsid w:val="382B0567"/>
    <w:rsid w:val="382F62A9"/>
    <w:rsid w:val="383C09C6"/>
    <w:rsid w:val="383D07D4"/>
    <w:rsid w:val="38485EC8"/>
    <w:rsid w:val="384F06F9"/>
    <w:rsid w:val="385C6972"/>
    <w:rsid w:val="387737AC"/>
    <w:rsid w:val="38BD4688"/>
    <w:rsid w:val="38C70290"/>
    <w:rsid w:val="38D94467"/>
    <w:rsid w:val="38E946AA"/>
    <w:rsid w:val="38EA21D0"/>
    <w:rsid w:val="390C65EA"/>
    <w:rsid w:val="391572AD"/>
    <w:rsid w:val="391A0D07"/>
    <w:rsid w:val="393F251C"/>
    <w:rsid w:val="396106E4"/>
    <w:rsid w:val="397F6DBC"/>
    <w:rsid w:val="39932868"/>
    <w:rsid w:val="3996552C"/>
    <w:rsid w:val="399B364D"/>
    <w:rsid w:val="39A14F85"/>
    <w:rsid w:val="39A6259B"/>
    <w:rsid w:val="3A6C6729"/>
    <w:rsid w:val="3A782C78"/>
    <w:rsid w:val="3A7C6384"/>
    <w:rsid w:val="3AA52853"/>
    <w:rsid w:val="3AB02799"/>
    <w:rsid w:val="3AB10217"/>
    <w:rsid w:val="3ABD197D"/>
    <w:rsid w:val="3AD153F6"/>
    <w:rsid w:val="3ADF0D46"/>
    <w:rsid w:val="3AEE41FA"/>
    <w:rsid w:val="3AF31810"/>
    <w:rsid w:val="3B0C0B24"/>
    <w:rsid w:val="3B133C60"/>
    <w:rsid w:val="3B3140E6"/>
    <w:rsid w:val="3B5A363D"/>
    <w:rsid w:val="3B651FE2"/>
    <w:rsid w:val="3B6F4C0F"/>
    <w:rsid w:val="3B765F9D"/>
    <w:rsid w:val="3B8B1A48"/>
    <w:rsid w:val="3BB865B6"/>
    <w:rsid w:val="3BC605AD"/>
    <w:rsid w:val="3BEA0E3F"/>
    <w:rsid w:val="3C1732DC"/>
    <w:rsid w:val="3C4E7A45"/>
    <w:rsid w:val="3C5207B8"/>
    <w:rsid w:val="3C621332"/>
    <w:rsid w:val="3C727629"/>
    <w:rsid w:val="3C7626F9"/>
    <w:rsid w:val="3CA134EE"/>
    <w:rsid w:val="3CBD0327"/>
    <w:rsid w:val="3CD33508"/>
    <w:rsid w:val="3CD553C5"/>
    <w:rsid w:val="3CDF226A"/>
    <w:rsid w:val="3CE77152"/>
    <w:rsid w:val="3D112421"/>
    <w:rsid w:val="3D171054"/>
    <w:rsid w:val="3D2832C7"/>
    <w:rsid w:val="3D392C2C"/>
    <w:rsid w:val="3DA9639B"/>
    <w:rsid w:val="3DAA0180"/>
    <w:rsid w:val="3DDD0961"/>
    <w:rsid w:val="3DFB09DB"/>
    <w:rsid w:val="3E45697C"/>
    <w:rsid w:val="3E483C21"/>
    <w:rsid w:val="3E546A69"/>
    <w:rsid w:val="3E5A7DF8"/>
    <w:rsid w:val="3E5B2919"/>
    <w:rsid w:val="3E5C147A"/>
    <w:rsid w:val="3E720C9E"/>
    <w:rsid w:val="3E79027E"/>
    <w:rsid w:val="3E817133"/>
    <w:rsid w:val="3EA63C10"/>
    <w:rsid w:val="3EC15757"/>
    <w:rsid w:val="3EC34DC2"/>
    <w:rsid w:val="3ECB6600"/>
    <w:rsid w:val="3ECD4126"/>
    <w:rsid w:val="3EE002FD"/>
    <w:rsid w:val="3EEA2F2A"/>
    <w:rsid w:val="3F022566"/>
    <w:rsid w:val="3F0C10F2"/>
    <w:rsid w:val="3F3B19D7"/>
    <w:rsid w:val="3F544847"/>
    <w:rsid w:val="3F573360"/>
    <w:rsid w:val="3F5E6431"/>
    <w:rsid w:val="3F6C393F"/>
    <w:rsid w:val="3F823162"/>
    <w:rsid w:val="3FC63504"/>
    <w:rsid w:val="3FCC0881"/>
    <w:rsid w:val="3FCF2120"/>
    <w:rsid w:val="3FD17C46"/>
    <w:rsid w:val="3FF35E0E"/>
    <w:rsid w:val="4000052B"/>
    <w:rsid w:val="401670B8"/>
    <w:rsid w:val="40192D2B"/>
    <w:rsid w:val="4024421A"/>
    <w:rsid w:val="402715B4"/>
    <w:rsid w:val="403F1053"/>
    <w:rsid w:val="404008A9"/>
    <w:rsid w:val="405F16F6"/>
    <w:rsid w:val="406B1E48"/>
    <w:rsid w:val="409A25AE"/>
    <w:rsid w:val="40A67324"/>
    <w:rsid w:val="40DC2D46"/>
    <w:rsid w:val="410C28AC"/>
    <w:rsid w:val="41456B3D"/>
    <w:rsid w:val="414803DC"/>
    <w:rsid w:val="414E282B"/>
    <w:rsid w:val="41566655"/>
    <w:rsid w:val="41636FC4"/>
    <w:rsid w:val="41756657"/>
    <w:rsid w:val="41B24A2D"/>
    <w:rsid w:val="41CD28FB"/>
    <w:rsid w:val="41DA5943"/>
    <w:rsid w:val="42240501"/>
    <w:rsid w:val="42291FBB"/>
    <w:rsid w:val="42891478"/>
    <w:rsid w:val="42925DB2"/>
    <w:rsid w:val="42A67B0A"/>
    <w:rsid w:val="42A94EAA"/>
    <w:rsid w:val="42DE2DA6"/>
    <w:rsid w:val="42E620C1"/>
    <w:rsid w:val="42FC322C"/>
    <w:rsid w:val="43012390"/>
    <w:rsid w:val="43040332"/>
    <w:rsid w:val="439E2535"/>
    <w:rsid w:val="43B12268"/>
    <w:rsid w:val="43B34232"/>
    <w:rsid w:val="43B36BDA"/>
    <w:rsid w:val="43CF6B92"/>
    <w:rsid w:val="43EB0D75"/>
    <w:rsid w:val="44223AB6"/>
    <w:rsid w:val="444147B5"/>
    <w:rsid w:val="44623562"/>
    <w:rsid w:val="44826AB1"/>
    <w:rsid w:val="4490144D"/>
    <w:rsid w:val="449A71A0"/>
    <w:rsid w:val="44A771C7"/>
    <w:rsid w:val="44BA1BBE"/>
    <w:rsid w:val="44BE2E8F"/>
    <w:rsid w:val="44C361AF"/>
    <w:rsid w:val="44CE1B36"/>
    <w:rsid w:val="4505435C"/>
    <w:rsid w:val="45101210"/>
    <w:rsid w:val="453749EF"/>
    <w:rsid w:val="45385419"/>
    <w:rsid w:val="455439E5"/>
    <w:rsid w:val="456F672F"/>
    <w:rsid w:val="459308C3"/>
    <w:rsid w:val="459C0CF6"/>
    <w:rsid w:val="45A33D90"/>
    <w:rsid w:val="45D95AA6"/>
    <w:rsid w:val="45F13468"/>
    <w:rsid w:val="46004DE1"/>
    <w:rsid w:val="46006A45"/>
    <w:rsid w:val="46227746"/>
    <w:rsid w:val="462346E4"/>
    <w:rsid w:val="46276812"/>
    <w:rsid w:val="46456C98"/>
    <w:rsid w:val="46512A01"/>
    <w:rsid w:val="46582E6F"/>
    <w:rsid w:val="467632F5"/>
    <w:rsid w:val="468B5AEE"/>
    <w:rsid w:val="469D0882"/>
    <w:rsid w:val="46A55702"/>
    <w:rsid w:val="46D85D5E"/>
    <w:rsid w:val="46DB13AA"/>
    <w:rsid w:val="46F963F2"/>
    <w:rsid w:val="47187669"/>
    <w:rsid w:val="472745EF"/>
    <w:rsid w:val="472F49DC"/>
    <w:rsid w:val="47376F28"/>
    <w:rsid w:val="473B3092"/>
    <w:rsid w:val="47573126"/>
    <w:rsid w:val="477261B2"/>
    <w:rsid w:val="477C2B8D"/>
    <w:rsid w:val="47A143A2"/>
    <w:rsid w:val="47A17F4D"/>
    <w:rsid w:val="47CA58D6"/>
    <w:rsid w:val="47D06A35"/>
    <w:rsid w:val="47D128CC"/>
    <w:rsid w:val="47F95F8C"/>
    <w:rsid w:val="48030BB8"/>
    <w:rsid w:val="480F755D"/>
    <w:rsid w:val="482D3E87"/>
    <w:rsid w:val="48343468"/>
    <w:rsid w:val="485E2293"/>
    <w:rsid w:val="48627FD5"/>
    <w:rsid w:val="48653621"/>
    <w:rsid w:val="4871646A"/>
    <w:rsid w:val="487D09BD"/>
    <w:rsid w:val="488548FE"/>
    <w:rsid w:val="48912668"/>
    <w:rsid w:val="48A759E8"/>
    <w:rsid w:val="48AC1250"/>
    <w:rsid w:val="48BB399F"/>
    <w:rsid w:val="48C42A3E"/>
    <w:rsid w:val="49033566"/>
    <w:rsid w:val="490E5A67"/>
    <w:rsid w:val="491B1579"/>
    <w:rsid w:val="493279A7"/>
    <w:rsid w:val="493F2815"/>
    <w:rsid w:val="49496A9F"/>
    <w:rsid w:val="495C2C76"/>
    <w:rsid w:val="495F2766"/>
    <w:rsid w:val="499917D4"/>
    <w:rsid w:val="49D071C0"/>
    <w:rsid w:val="4A0B01F8"/>
    <w:rsid w:val="4A1B0A65"/>
    <w:rsid w:val="4A1C2405"/>
    <w:rsid w:val="4A1E617D"/>
    <w:rsid w:val="4A25750C"/>
    <w:rsid w:val="4A314103"/>
    <w:rsid w:val="4A38723F"/>
    <w:rsid w:val="4A416B93"/>
    <w:rsid w:val="4A431740"/>
    <w:rsid w:val="4A6D1753"/>
    <w:rsid w:val="4A7D4C52"/>
    <w:rsid w:val="4AA32156"/>
    <w:rsid w:val="4AEC6043"/>
    <w:rsid w:val="4B0F6DB1"/>
    <w:rsid w:val="4B2711BE"/>
    <w:rsid w:val="4B3317B5"/>
    <w:rsid w:val="4B3F1C0B"/>
    <w:rsid w:val="4B5C51AF"/>
    <w:rsid w:val="4B6202EC"/>
    <w:rsid w:val="4B797B0F"/>
    <w:rsid w:val="4B7A73E4"/>
    <w:rsid w:val="4B9A34D9"/>
    <w:rsid w:val="4BA56091"/>
    <w:rsid w:val="4BA6642B"/>
    <w:rsid w:val="4BA860ED"/>
    <w:rsid w:val="4BE07B8E"/>
    <w:rsid w:val="4BF058F8"/>
    <w:rsid w:val="4BF278C2"/>
    <w:rsid w:val="4C066EC9"/>
    <w:rsid w:val="4C10554C"/>
    <w:rsid w:val="4C1635B0"/>
    <w:rsid w:val="4C392DFB"/>
    <w:rsid w:val="4C465518"/>
    <w:rsid w:val="4CD174D7"/>
    <w:rsid w:val="4CD36D87"/>
    <w:rsid w:val="4CE8470A"/>
    <w:rsid w:val="4D1D271C"/>
    <w:rsid w:val="4D55133A"/>
    <w:rsid w:val="4D7B7443"/>
    <w:rsid w:val="4DD70B1D"/>
    <w:rsid w:val="4DE90850"/>
    <w:rsid w:val="4E151645"/>
    <w:rsid w:val="4E341A6D"/>
    <w:rsid w:val="4E423C30"/>
    <w:rsid w:val="4E6232FD"/>
    <w:rsid w:val="4E685C19"/>
    <w:rsid w:val="4E83361B"/>
    <w:rsid w:val="4E9E5023"/>
    <w:rsid w:val="4EA83BE7"/>
    <w:rsid w:val="4EC92B5C"/>
    <w:rsid w:val="4EE51018"/>
    <w:rsid w:val="4EF23735"/>
    <w:rsid w:val="4F1C6304"/>
    <w:rsid w:val="4F2C57AC"/>
    <w:rsid w:val="4F337FD5"/>
    <w:rsid w:val="4F4D354F"/>
    <w:rsid w:val="4F587A3C"/>
    <w:rsid w:val="4FD55530"/>
    <w:rsid w:val="4FD73056"/>
    <w:rsid w:val="4FDC22BD"/>
    <w:rsid w:val="4FE47521"/>
    <w:rsid w:val="50131BB5"/>
    <w:rsid w:val="50382EC7"/>
    <w:rsid w:val="503A35E5"/>
    <w:rsid w:val="50546455"/>
    <w:rsid w:val="506547CA"/>
    <w:rsid w:val="50720FD1"/>
    <w:rsid w:val="5080765E"/>
    <w:rsid w:val="50C7131D"/>
    <w:rsid w:val="50CC06E1"/>
    <w:rsid w:val="50DE6667"/>
    <w:rsid w:val="510F4A72"/>
    <w:rsid w:val="51143E36"/>
    <w:rsid w:val="511A2C8A"/>
    <w:rsid w:val="512A365A"/>
    <w:rsid w:val="5160707C"/>
    <w:rsid w:val="51622DF4"/>
    <w:rsid w:val="51967DC3"/>
    <w:rsid w:val="51973851"/>
    <w:rsid w:val="51BD627C"/>
    <w:rsid w:val="51CB2747"/>
    <w:rsid w:val="51FF4CE1"/>
    <w:rsid w:val="520774F7"/>
    <w:rsid w:val="52163F05"/>
    <w:rsid w:val="52354064"/>
    <w:rsid w:val="52650DED"/>
    <w:rsid w:val="52797259"/>
    <w:rsid w:val="527A416D"/>
    <w:rsid w:val="52854FEC"/>
    <w:rsid w:val="52B256B5"/>
    <w:rsid w:val="52CB6777"/>
    <w:rsid w:val="52E02B91"/>
    <w:rsid w:val="52F67C97"/>
    <w:rsid w:val="53057EDB"/>
    <w:rsid w:val="53310CD0"/>
    <w:rsid w:val="53350000"/>
    <w:rsid w:val="534F55FA"/>
    <w:rsid w:val="53514ECE"/>
    <w:rsid w:val="537312E8"/>
    <w:rsid w:val="537A2677"/>
    <w:rsid w:val="53AD33B3"/>
    <w:rsid w:val="53D1600F"/>
    <w:rsid w:val="53DF072C"/>
    <w:rsid w:val="540D34EB"/>
    <w:rsid w:val="54104D89"/>
    <w:rsid w:val="54190C8F"/>
    <w:rsid w:val="542B6A7C"/>
    <w:rsid w:val="543652AD"/>
    <w:rsid w:val="543D0332"/>
    <w:rsid w:val="544C25B2"/>
    <w:rsid w:val="546E1AAF"/>
    <w:rsid w:val="54705828"/>
    <w:rsid w:val="548B440F"/>
    <w:rsid w:val="54BD13D3"/>
    <w:rsid w:val="54BE78A6"/>
    <w:rsid w:val="54E3424B"/>
    <w:rsid w:val="54F77CF7"/>
    <w:rsid w:val="54FE4BE1"/>
    <w:rsid w:val="55135E37"/>
    <w:rsid w:val="551536D3"/>
    <w:rsid w:val="553E5926"/>
    <w:rsid w:val="554C58B6"/>
    <w:rsid w:val="554F7B33"/>
    <w:rsid w:val="555667CB"/>
    <w:rsid w:val="557650C0"/>
    <w:rsid w:val="55794BB0"/>
    <w:rsid w:val="55C71477"/>
    <w:rsid w:val="55FD758F"/>
    <w:rsid w:val="56013A0F"/>
    <w:rsid w:val="56352885"/>
    <w:rsid w:val="564038B4"/>
    <w:rsid w:val="56436BD5"/>
    <w:rsid w:val="56486A5C"/>
    <w:rsid w:val="564B654C"/>
    <w:rsid w:val="56504234"/>
    <w:rsid w:val="56576C9F"/>
    <w:rsid w:val="56706455"/>
    <w:rsid w:val="567809C3"/>
    <w:rsid w:val="569357FD"/>
    <w:rsid w:val="56D35BDC"/>
    <w:rsid w:val="56E513C4"/>
    <w:rsid w:val="56FB4709"/>
    <w:rsid w:val="57030BD5"/>
    <w:rsid w:val="570F757A"/>
    <w:rsid w:val="571838C9"/>
    <w:rsid w:val="57212E09"/>
    <w:rsid w:val="572F5526"/>
    <w:rsid w:val="574E6BA7"/>
    <w:rsid w:val="57534858"/>
    <w:rsid w:val="57596A47"/>
    <w:rsid w:val="57603931"/>
    <w:rsid w:val="57826565"/>
    <w:rsid w:val="578A4E52"/>
    <w:rsid w:val="57CF6D09"/>
    <w:rsid w:val="57EA3B43"/>
    <w:rsid w:val="58095D77"/>
    <w:rsid w:val="5818698A"/>
    <w:rsid w:val="58254B7B"/>
    <w:rsid w:val="58262DCD"/>
    <w:rsid w:val="584A50AA"/>
    <w:rsid w:val="584C035A"/>
    <w:rsid w:val="588B78BC"/>
    <w:rsid w:val="5898534D"/>
    <w:rsid w:val="58B303D9"/>
    <w:rsid w:val="58BC103B"/>
    <w:rsid w:val="58C779E0"/>
    <w:rsid w:val="58DF3E78"/>
    <w:rsid w:val="591075D9"/>
    <w:rsid w:val="59282B75"/>
    <w:rsid w:val="59617E35"/>
    <w:rsid w:val="59710078"/>
    <w:rsid w:val="59760FEE"/>
    <w:rsid w:val="59940736"/>
    <w:rsid w:val="59BD150F"/>
    <w:rsid w:val="59E720E8"/>
    <w:rsid w:val="5A1804F3"/>
    <w:rsid w:val="5A284604"/>
    <w:rsid w:val="5A4B2321"/>
    <w:rsid w:val="5AA30C31"/>
    <w:rsid w:val="5AA31831"/>
    <w:rsid w:val="5ABA3CA0"/>
    <w:rsid w:val="5ACD1C6E"/>
    <w:rsid w:val="5AE623A0"/>
    <w:rsid w:val="5AEE4EA8"/>
    <w:rsid w:val="5B1E5D17"/>
    <w:rsid w:val="5B296730"/>
    <w:rsid w:val="5B3752F1"/>
    <w:rsid w:val="5B3E042E"/>
    <w:rsid w:val="5B4B48F9"/>
    <w:rsid w:val="5B75607A"/>
    <w:rsid w:val="5BA5225B"/>
    <w:rsid w:val="5BA67D81"/>
    <w:rsid w:val="5BAE0253"/>
    <w:rsid w:val="5BB029AE"/>
    <w:rsid w:val="5BC85F49"/>
    <w:rsid w:val="5BFB00CD"/>
    <w:rsid w:val="5C042965"/>
    <w:rsid w:val="5C3929A3"/>
    <w:rsid w:val="5C425CFC"/>
    <w:rsid w:val="5C5E240A"/>
    <w:rsid w:val="5C7A5495"/>
    <w:rsid w:val="5C7F2933"/>
    <w:rsid w:val="5CC42BB4"/>
    <w:rsid w:val="5CCE758F"/>
    <w:rsid w:val="5CDC2A8F"/>
    <w:rsid w:val="5CF214D0"/>
    <w:rsid w:val="5CF24105"/>
    <w:rsid w:val="5D082985"/>
    <w:rsid w:val="5D190FF1"/>
    <w:rsid w:val="5D535CE6"/>
    <w:rsid w:val="5D573851"/>
    <w:rsid w:val="5D740137"/>
    <w:rsid w:val="5DA36C6E"/>
    <w:rsid w:val="5DA7718C"/>
    <w:rsid w:val="5DD72473"/>
    <w:rsid w:val="5DED613B"/>
    <w:rsid w:val="5E1C6E5F"/>
    <w:rsid w:val="5E631F59"/>
    <w:rsid w:val="5E6A32E8"/>
    <w:rsid w:val="5E7C3B11"/>
    <w:rsid w:val="5E9345EC"/>
    <w:rsid w:val="5EF84D97"/>
    <w:rsid w:val="5EFD5F0A"/>
    <w:rsid w:val="5F021772"/>
    <w:rsid w:val="5F092BCF"/>
    <w:rsid w:val="5F0D24D7"/>
    <w:rsid w:val="5F164A1E"/>
    <w:rsid w:val="5F1B61C9"/>
    <w:rsid w:val="5F4050DC"/>
    <w:rsid w:val="5F405377"/>
    <w:rsid w:val="5F4D6E91"/>
    <w:rsid w:val="5F93686E"/>
    <w:rsid w:val="5FC128EC"/>
    <w:rsid w:val="5FD64D33"/>
    <w:rsid w:val="5FE86BBA"/>
    <w:rsid w:val="5FEB0458"/>
    <w:rsid w:val="6051475F"/>
    <w:rsid w:val="606049A2"/>
    <w:rsid w:val="6061537A"/>
    <w:rsid w:val="60695F4D"/>
    <w:rsid w:val="606F1089"/>
    <w:rsid w:val="6071095D"/>
    <w:rsid w:val="608D150F"/>
    <w:rsid w:val="60917251"/>
    <w:rsid w:val="60C413D5"/>
    <w:rsid w:val="60CF1B28"/>
    <w:rsid w:val="60DB7648"/>
    <w:rsid w:val="60E96DB8"/>
    <w:rsid w:val="60EB4BB4"/>
    <w:rsid w:val="60F11A9E"/>
    <w:rsid w:val="6111357A"/>
    <w:rsid w:val="61342DC7"/>
    <w:rsid w:val="61630BEE"/>
    <w:rsid w:val="61952D71"/>
    <w:rsid w:val="61B01959"/>
    <w:rsid w:val="61B431F8"/>
    <w:rsid w:val="61BC02FE"/>
    <w:rsid w:val="61CB6793"/>
    <w:rsid w:val="61D924AA"/>
    <w:rsid w:val="61E33ADD"/>
    <w:rsid w:val="61F23D20"/>
    <w:rsid w:val="61F335F4"/>
    <w:rsid w:val="62145A44"/>
    <w:rsid w:val="621C3C24"/>
    <w:rsid w:val="62347E94"/>
    <w:rsid w:val="62373E29"/>
    <w:rsid w:val="62375290"/>
    <w:rsid w:val="62432C80"/>
    <w:rsid w:val="62662018"/>
    <w:rsid w:val="6267026A"/>
    <w:rsid w:val="62946B85"/>
    <w:rsid w:val="62BB5A0B"/>
    <w:rsid w:val="62C72479"/>
    <w:rsid w:val="62DE37BD"/>
    <w:rsid w:val="63161C90"/>
    <w:rsid w:val="631B2082"/>
    <w:rsid w:val="631D301E"/>
    <w:rsid w:val="63450532"/>
    <w:rsid w:val="639130C5"/>
    <w:rsid w:val="63BD6BD7"/>
    <w:rsid w:val="63E56659"/>
    <w:rsid w:val="63F20007"/>
    <w:rsid w:val="63FE69AC"/>
    <w:rsid w:val="63FF2724"/>
    <w:rsid w:val="640D3093"/>
    <w:rsid w:val="64287ECD"/>
    <w:rsid w:val="64414AEB"/>
    <w:rsid w:val="64526CF8"/>
    <w:rsid w:val="645E569D"/>
    <w:rsid w:val="648F5856"/>
    <w:rsid w:val="64DB1005"/>
    <w:rsid w:val="64E17296"/>
    <w:rsid w:val="65046244"/>
    <w:rsid w:val="65377372"/>
    <w:rsid w:val="654A79CF"/>
    <w:rsid w:val="654C6575"/>
    <w:rsid w:val="657824D0"/>
    <w:rsid w:val="65787386"/>
    <w:rsid w:val="659C46CE"/>
    <w:rsid w:val="659F7D1B"/>
    <w:rsid w:val="65A74E21"/>
    <w:rsid w:val="66034DC4"/>
    <w:rsid w:val="66573F9D"/>
    <w:rsid w:val="6666229E"/>
    <w:rsid w:val="667C4500"/>
    <w:rsid w:val="66B14497"/>
    <w:rsid w:val="66B51249"/>
    <w:rsid w:val="66B5531C"/>
    <w:rsid w:val="66DD4F9F"/>
    <w:rsid w:val="66E0683D"/>
    <w:rsid w:val="67184229"/>
    <w:rsid w:val="676236F6"/>
    <w:rsid w:val="67634DBC"/>
    <w:rsid w:val="67CA4DF7"/>
    <w:rsid w:val="67DF671F"/>
    <w:rsid w:val="6865349E"/>
    <w:rsid w:val="68723391"/>
    <w:rsid w:val="68A67612"/>
    <w:rsid w:val="68B5594E"/>
    <w:rsid w:val="68C1444C"/>
    <w:rsid w:val="68CA1553"/>
    <w:rsid w:val="68D20407"/>
    <w:rsid w:val="68EF7116"/>
    <w:rsid w:val="69186970"/>
    <w:rsid w:val="692F2F5C"/>
    <w:rsid w:val="69450BD9"/>
    <w:rsid w:val="694741D7"/>
    <w:rsid w:val="69540E1C"/>
    <w:rsid w:val="69605A13"/>
    <w:rsid w:val="696848C8"/>
    <w:rsid w:val="69A04061"/>
    <w:rsid w:val="69BD10B7"/>
    <w:rsid w:val="69D1246D"/>
    <w:rsid w:val="69F4736A"/>
    <w:rsid w:val="6A0E546F"/>
    <w:rsid w:val="6A1D3904"/>
    <w:rsid w:val="6A3450F5"/>
    <w:rsid w:val="6A425119"/>
    <w:rsid w:val="6A4F36E8"/>
    <w:rsid w:val="6A8D0A8A"/>
    <w:rsid w:val="6AA67777"/>
    <w:rsid w:val="6AB75B07"/>
    <w:rsid w:val="6AE674BA"/>
    <w:rsid w:val="6AF73AD4"/>
    <w:rsid w:val="6AF96F15"/>
    <w:rsid w:val="6B142F59"/>
    <w:rsid w:val="6B6712DB"/>
    <w:rsid w:val="6B754418"/>
    <w:rsid w:val="6BC32289"/>
    <w:rsid w:val="6BD90392"/>
    <w:rsid w:val="6BEB174A"/>
    <w:rsid w:val="6C1D1D35"/>
    <w:rsid w:val="6C25017C"/>
    <w:rsid w:val="6C417D7E"/>
    <w:rsid w:val="6C523D39"/>
    <w:rsid w:val="6C5775A1"/>
    <w:rsid w:val="6CA9147F"/>
    <w:rsid w:val="6CB01E6B"/>
    <w:rsid w:val="6CB87914"/>
    <w:rsid w:val="6CCB3AEB"/>
    <w:rsid w:val="6CE21967"/>
    <w:rsid w:val="6CFA7F2C"/>
    <w:rsid w:val="6CFE5C6F"/>
    <w:rsid w:val="6D1C7EA3"/>
    <w:rsid w:val="6D2531FB"/>
    <w:rsid w:val="6D2B6338"/>
    <w:rsid w:val="6D54588F"/>
    <w:rsid w:val="6D68133A"/>
    <w:rsid w:val="6D6D6950"/>
    <w:rsid w:val="6D723F67"/>
    <w:rsid w:val="6D8A5754"/>
    <w:rsid w:val="6D9914F3"/>
    <w:rsid w:val="6D9E6B0A"/>
    <w:rsid w:val="6D9F4228"/>
    <w:rsid w:val="6DA22A9E"/>
    <w:rsid w:val="6DA822BD"/>
    <w:rsid w:val="6DAD2DB4"/>
    <w:rsid w:val="6DC24EEE"/>
    <w:rsid w:val="6DF84D21"/>
    <w:rsid w:val="6E0F17B6"/>
    <w:rsid w:val="6E14237E"/>
    <w:rsid w:val="6E4C4ABE"/>
    <w:rsid w:val="6E741E45"/>
    <w:rsid w:val="6E851A78"/>
    <w:rsid w:val="6E8609E1"/>
    <w:rsid w:val="6E8B1784"/>
    <w:rsid w:val="6E8B52E0"/>
    <w:rsid w:val="6E943ADE"/>
    <w:rsid w:val="6EA75E92"/>
    <w:rsid w:val="6EC46A44"/>
    <w:rsid w:val="6ECE1671"/>
    <w:rsid w:val="6ED00F45"/>
    <w:rsid w:val="6ED344A9"/>
    <w:rsid w:val="6ED800AF"/>
    <w:rsid w:val="6EEA74D2"/>
    <w:rsid w:val="6EED7D49"/>
    <w:rsid w:val="6F2F65B3"/>
    <w:rsid w:val="6F3516F0"/>
    <w:rsid w:val="6F6D0E8A"/>
    <w:rsid w:val="6FA50623"/>
    <w:rsid w:val="6FC767EC"/>
    <w:rsid w:val="6FDE3B35"/>
    <w:rsid w:val="701622E9"/>
    <w:rsid w:val="70166BE6"/>
    <w:rsid w:val="701D640C"/>
    <w:rsid w:val="70297555"/>
    <w:rsid w:val="7036571F"/>
    <w:rsid w:val="70455813"/>
    <w:rsid w:val="70455963"/>
    <w:rsid w:val="704C4F43"/>
    <w:rsid w:val="706B0310"/>
    <w:rsid w:val="707A3F03"/>
    <w:rsid w:val="7084648B"/>
    <w:rsid w:val="70A83187"/>
    <w:rsid w:val="70FE623D"/>
    <w:rsid w:val="711C4915"/>
    <w:rsid w:val="712B2CEC"/>
    <w:rsid w:val="713954C7"/>
    <w:rsid w:val="716D6F1F"/>
    <w:rsid w:val="71854F84"/>
    <w:rsid w:val="71A11633"/>
    <w:rsid w:val="71E76CD1"/>
    <w:rsid w:val="71E77614"/>
    <w:rsid w:val="721B4BCD"/>
    <w:rsid w:val="72347A3D"/>
    <w:rsid w:val="723637B5"/>
    <w:rsid w:val="726409AC"/>
    <w:rsid w:val="726522EC"/>
    <w:rsid w:val="72D60AF4"/>
    <w:rsid w:val="72EE0533"/>
    <w:rsid w:val="72EF21FF"/>
    <w:rsid w:val="72F316A6"/>
    <w:rsid w:val="72FF629D"/>
    <w:rsid w:val="730D09BA"/>
    <w:rsid w:val="731A1328"/>
    <w:rsid w:val="732301DD"/>
    <w:rsid w:val="73353A6C"/>
    <w:rsid w:val="734D7008"/>
    <w:rsid w:val="73594034"/>
    <w:rsid w:val="736A5E0C"/>
    <w:rsid w:val="73920EBF"/>
    <w:rsid w:val="73AF2DAD"/>
    <w:rsid w:val="73B13A3B"/>
    <w:rsid w:val="73CD48A4"/>
    <w:rsid w:val="73FB6A64"/>
    <w:rsid w:val="741D2E7E"/>
    <w:rsid w:val="7452064E"/>
    <w:rsid w:val="745D0A0B"/>
    <w:rsid w:val="74B83AFD"/>
    <w:rsid w:val="74EB6AD9"/>
    <w:rsid w:val="74FF07D6"/>
    <w:rsid w:val="750D2EF3"/>
    <w:rsid w:val="752124FA"/>
    <w:rsid w:val="75247969"/>
    <w:rsid w:val="75293A89"/>
    <w:rsid w:val="75474B87"/>
    <w:rsid w:val="754C729D"/>
    <w:rsid w:val="755C79D6"/>
    <w:rsid w:val="757765BE"/>
    <w:rsid w:val="758918C0"/>
    <w:rsid w:val="759F4EC1"/>
    <w:rsid w:val="75AA7005"/>
    <w:rsid w:val="75BF3AC1"/>
    <w:rsid w:val="75C4734D"/>
    <w:rsid w:val="75D73501"/>
    <w:rsid w:val="75ED57FF"/>
    <w:rsid w:val="764566BC"/>
    <w:rsid w:val="764741E2"/>
    <w:rsid w:val="76487F5B"/>
    <w:rsid w:val="76826EE0"/>
    <w:rsid w:val="768371E5"/>
    <w:rsid w:val="7697757F"/>
    <w:rsid w:val="76A35191"/>
    <w:rsid w:val="76A42E74"/>
    <w:rsid w:val="76F8372F"/>
    <w:rsid w:val="76F93003"/>
    <w:rsid w:val="76FA74A7"/>
    <w:rsid w:val="77000835"/>
    <w:rsid w:val="770F2826"/>
    <w:rsid w:val="7721667E"/>
    <w:rsid w:val="774B1AB0"/>
    <w:rsid w:val="776C4A5C"/>
    <w:rsid w:val="77737D91"/>
    <w:rsid w:val="777C610E"/>
    <w:rsid w:val="77844FC2"/>
    <w:rsid w:val="779C4BC8"/>
    <w:rsid w:val="77A55067"/>
    <w:rsid w:val="77B43556"/>
    <w:rsid w:val="77EE068E"/>
    <w:rsid w:val="77F263D0"/>
    <w:rsid w:val="780F6184"/>
    <w:rsid w:val="781F4CEB"/>
    <w:rsid w:val="78361C89"/>
    <w:rsid w:val="784D7AAA"/>
    <w:rsid w:val="786F2DB5"/>
    <w:rsid w:val="78767001"/>
    <w:rsid w:val="787F0939"/>
    <w:rsid w:val="78832145"/>
    <w:rsid w:val="78866B18"/>
    <w:rsid w:val="78992CEF"/>
    <w:rsid w:val="789B6A68"/>
    <w:rsid w:val="78DB50B6"/>
    <w:rsid w:val="78E51A91"/>
    <w:rsid w:val="78F63C9E"/>
    <w:rsid w:val="79091C23"/>
    <w:rsid w:val="791B1956"/>
    <w:rsid w:val="79226841"/>
    <w:rsid w:val="793D18CD"/>
    <w:rsid w:val="7940316B"/>
    <w:rsid w:val="79520BA4"/>
    <w:rsid w:val="795A422D"/>
    <w:rsid w:val="79837AD1"/>
    <w:rsid w:val="79A454A8"/>
    <w:rsid w:val="79C8046E"/>
    <w:rsid w:val="79E625D0"/>
    <w:rsid w:val="7A081EDB"/>
    <w:rsid w:val="7A1F7224"/>
    <w:rsid w:val="7A5C2227"/>
    <w:rsid w:val="7A6F3D08"/>
    <w:rsid w:val="7A891F2C"/>
    <w:rsid w:val="7A94376E"/>
    <w:rsid w:val="7AAF67FA"/>
    <w:rsid w:val="7AB6765F"/>
    <w:rsid w:val="7B000E04"/>
    <w:rsid w:val="7B0569BE"/>
    <w:rsid w:val="7B1448AF"/>
    <w:rsid w:val="7B147161"/>
    <w:rsid w:val="7B226FCC"/>
    <w:rsid w:val="7B29241F"/>
    <w:rsid w:val="7B93103E"/>
    <w:rsid w:val="7BEB3C37"/>
    <w:rsid w:val="7C1F5E30"/>
    <w:rsid w:val="7C45009D"/>
    <w:rsid w:val="7C460A98"/>
    <w:rsid w:val="7C4674E4"/>
    <w:rsid w:val="7C743857"/>
    <w:rsid w:val="7C857813"/>
    <w:rsid w:val="7CB56011"/>
    <w:rsid w:val="7CD95DB0"/>
    <w:rsid w:val="7CDC4B3C"/>
    <w:rsid w:val="7CE17DF9"/>
    <w:rsid w:val="7CED4F40"/>
    <w:rsid w:val="7CED7166"/>
    <w:rsid w:val="7D203F29"/>
    <w:rsid w:val="7D3354C1"/>
    <w:rsid w:val="7D4274B2"/>
    <w:rsid w:val="7D9D3A60"/>
    <w:rsid w:val="7E156974"/>
    <w:rsid w:val="7E4B73A6"/>
    <w:rsid w:val="7E62460F"/>
    <w:rsid w:val="7E8A0944"/>
    <w:rsid w:val="7EA83C8C"/>
    <w:rsid w:val="7EB919F5"/>
    <w:rsid w:val="7EBC7738"/>
    <w:rsid w:val="7EC733CA"/>
    <w:rsid w:val="7F0709B3"/>
    <w:rsid w:val="7F3D2627"/>
    <w:rsid w:val="7F4E1D30"/>
    <w:rsid w:val="7F5E434B"/>
    <w:rsid w:val="7F7818B1"/>
    <w:rsid w:val="7F8B4B17"/>
    <w:rsid w:val="7FC76394"/>
    <w:rsid w:val="7FCE14D1"/>
    <w:rsid w:val="7FD4460D"/>
    <w:rsid w:val="7FE5681A"/>
    <w:rsid w:val="7FE847D2"/>
    <w:rsid w:val="7FEE1B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3">
    <w:name w:val="Body Text"/>
    <w:basedOn w:val="1"/>
    <w:link w:val="23"/>
    <w:qFormat/>
    <w:uiPriority w:val="0"/>
    <w:pPr>
      <w:spacing w:after="120"/>
    </w:pPr>
  </w:style>
  <w:style w:type="paragraph" w:styleId="4">
    <w:name w:val="Balloon Text"/>
    <w:basedOn w:val="1"/>
    <w:link w:val="15"/>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Body Text First Indent"/>
    <w:basedOn w:val="3"/>
    <w:link w:val="24"/>
    <w:qFormat/>
    <w:uiPriority w:val="0"/>
    <w:pPr>
      <w:ind w:firstLine="420" w:firstLineChars="100"/>
    </w:p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标题 1 Char"/>
    <w:basedOn w:val="10"/>
    <w:link w:val="2"/>
    <w:qFormat/>
    <w:uiPriority w:val="0"/>
    <w:rPr>
      <w:b/>
      <w:bCs/>
      <w:kern w:val="44"/>
      <w:sz w:val="44"/>
      <w:szCs w:val="44"/>
    </w:rPr>
  </w:style>
  <w:style w:type="character" w:customStyle="1" w:styleId="12">
    <w:name w:val="页脚 Char"/>
    <w:basedOn w:val="10"/>
    <w:link w:val="5"/>
    <w:qFormat/>
    <w:uiPriority w:val="99"/>
    <w:rPr>
      <w:sz w:val="18"/>
      <w:szCs w:val="18"/>
    </w:rPr>
  </w:style>
  <w:style w:type="character" w:customStyle="1" w:styleId="13">
    <w:name w:val="页眉 Char"/>
    <w:basedOn w:val="10"/>
    <w:link w:val="6"/>
    <w:qFormat/>
    <w:uiPriority w:val="0"/>
    <w:rPr>
      <w:sz w:val="18"/>
      <w:szCs w:val="18"/>
    </w:rPr>
  </w:style>
  <w:style w:type="paragraph" w:customStyle="1" w:styleId="14">
    <w:name w:val="No Spacing"/>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5">
    <w:name w:val="批注框文本 Char"/>
    <w:basedOn w:val="10"/>
    <w:link w:val="4"/>
    <w:qFormat/>
    <w:uiPriority w:val="99"/>
    <w:rPr>
      <w:sz w:val="18"/>
      <w:szCs w:val="18"/>
    </w:rPr>
  </w:style>
  <w:style w:type="character" w:customStyle="1" w:styleId="16">
    <w:name w:val="font11"/>
    <w:basedOn w:val="10"/>
    <w:qFormat/>
    <w:uiPriority w:val="0"/>
    <w:rPr>
      <w:rFonts w:hint="eastAsia" w:ascii="宋体" w:hAnsi="宋体" w:eastAsia="宋体" w:cs="宋体"/>
      <w:color w:val="000000"/>
      <w:sz w:val="20"/>
      <w:szCs w:val="20"/>
      <w:u w:val="none"/>
    </w:rPr>
  </w:style>
  <w:style w:type="character" w:customStyle="1" w:styleId="17">
    <w:name w:val="font01"/>
    <w:basedOn w:val="10"/>
    <w:qFormat/>
    <w:uiPriority w:val="0"/>
    <w:rPr>
      <w:rFonts w:hint="eastAsia" w:ascii="宋体" w:hAnsi="宋体" w:eastAsia="宋体" w:cs="宋体"/>
      <w:color w:val="000000"/>
      <w:sz w:val="22"/>
      <w:szCs w:val="22"/>
      <w:u w:val="none"/>
    </w:rPr>
  </w:style>
  <w:style w:type="character" w:customStyle="1" w:styleId="18">
    <w:name w:val="font41"/>
    <w:basedOn w:val="10"/>
    <w:qFormat/>
    <w:uiPriority w:val="0"/>
    <w:rPr>
      <w:rFonts w:hint="eastAsia" w:ascii="宋体" w:hAnsi="宋体" w:eastAsia="宋体" w:cs="宋体"/>
      <w:color w:val="000000"/>
      <w:sz w:val="24"/>
      <w:szCs w:val="24"/>
      <w:u w:val="none"/>
    </w:rPr>
  </w:style>
  <w:style w:type="character" w:customStyle="1" w:styleId="19">
    <w:name w:val="font31"/>
    <w:basedOn w:val="10"/>
    <w:qFormat/>
    <w:uiPriority w:val="0"/>
    <w:rPr>
      <w:rFonts w:hint="eastAsia" w:ascii="华文中宋" w:hAnsi="华文中宋" w:eastAsia="华文中宋" w:cs="华文中宋"/>
      <w:color w:val="000000"/>
      <w:sz w:val="32"/>
      <w:szCs w:val="32"/>
      <w:u w:val="none"/>
    </w:rPr>
  </w:style>
  <w:style w:type="character" w:customStyle="1" w:styleId="20">
    <w:name w:val="font91"/>
    <w:basedOn w:val="10"/>
    <w:qFormat/>
    <w:uiPriority w:val="0"/>
    <w:rPr>
      <w:rFonts w:hint="eastAsia" w:ascii="华文中宋" w:hAnsi="华文中宋" w:eastAsia="华文中宋" w:cs="华文中宋"/>
      <w:color w:val="000000"/>
      <w:sz w:val="32"/>
      <w:szCs w:val="32"/>
      <w:u w:val="none"/>
    </w:rPr>
  </w:style>
  <w:style w:type="character" w:customStyle="1" w:styleId="21">
    <w:name w:val="font51"/>
    <w:basedOn w:val="10"/>
    <w:qFormat/>
    <w:uiPriority w:val="0"/>
    <w:rPr>
      <w:rFonts w:hint="eastAsia" w:ascii="宋体" w:hAnsi="宋体" w:eastAsia="宋体" w:cs="宋体"/>
      <w:color w:val="000000"/>
      <w:sz w:val="24"/>
      <w:szCs w:val="24"/>
      <w:u w:val="none"/>
    </w:rPr>
  </w:style>
  <w:style w:type="paragraph" w:customStyle="1" w:styleId="22">
    <w:name w:val="List Paragraph"/>
    <w:basedOn w:val="1"/>
    <w:unhideWhenUsed/>
    <w:qFormat/>
    <w:uiPriority w:val="99"/>
    <w:pPr>
      <w:ind w:firstLine="420" w:firstLineChars="200"/>
    </w:pPr>
  </w:style>
  <w:style w:type="character" w:customStyle="1" w:styleId="23">
    <w:name w:val="正文文本 Char"/>
    <w:basedOn w:val="10"/>
    <w:link w:val="3"/>
    <w:semiHidden/>
    <w:qFormat/>
    <w:uiPriority w:val="99"/>
  </w:style>
  <w:style w:type="character" w:customStyle="1" w:styleId="24">
    <w:name w:val="正文首行缩进 Char"/>
    <w:basedOn w:val="23"/>
    <w:link w:val="7"/>
    <w:qFormat/>
    <w:uiPriority w:val="99"/>
  </w:style>
  <w:style w:type="character" w:customStyle="1" w:styleId="25">
    <w:name w:val="font21"/>
    <w:basedOn w:val="10"/>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7488.74</c:v>
                </c:pt>
                <c:pt idx="1">
                  <c:v>7833.62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77493088.54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5424901.06</c:v>
                </c:pt>
                <c:pt idx="1">
                  <c:v>72371630.59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7113.76</c:v>
                </c:pt>
                <c:pt idx="1">
                  <c:v>7337.61</c:v>
                </c:pt>
                <c:pt idx="2">
                  <c:v>6033.65</c:v>
                </c:pt>
                <c:pt idx="3">
                  <c:v>6257.56</c:v>
                </c:pt>
                <c:pt idx="4">
                  <c:v>1080.1</c:v>
                </c:pt>
                <c:pt idx="5">
                  <c:v>1080.05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7749.31</c:v>
                </c:pt>
                <c:pt idx="1">
                  <c:v>7779.65</c:v>
                </c:pt>
                <c:pt idx="2">
                  <c:v>5689.68</c:v>
                </c:pt>
                <c:pt idx="3">
                  <c:v>5720.02</c:v>
                </c:pt>
                <c:pt idx="4">
                  <c:v>2059.63</c:v>
                </c:pt>
                <c:pt idx="5">
                  <c:v>2059.63</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4755.81</c:v>
                </c:pt>
                <c:pt idx="1">
                  <c:v>5263.03</c:v>
                </c:pt>
                <c:pt idx="2">
                  <c:v>4574.81</c:v>
                </c:pt>
                <c:pt idx="3">
                  <c:v>5082.03</c:v>
                </c:pt>
                <c:pt idx="4">
                  <c:v>181</c:v>
                </c:pt>
                <c:pt idx="5">
                  <c:v>181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7749.31</c:v>
                </c:pt>
                <c:pt idx="1">
                  <c:v>7779.65</c:v>
                </c:pt>
                <c:pt idx="2">
                  <c:v>5689.68</c:v>
                </c:pt>
                <c:pt idx="3">
                  <c:v>5720.02</c:v>
                </c:pt>
                <c:pt idx="4">
                  <c:v>2059.63</c:v>
                </c:pt>
                <c:pt idx="5">
                  <c:v>2059.63</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5668.48</c:v>
                </c:pt>
                <c:pt idx="8">
                  <c:v>22.34</c:v>
                </c:pt>
                <c:pt idx="9">
                  <c:v>0</c:v>
                </c:pt>
                <c:pt idx="10">
                  <c:v>0</c:v>
                </c:pt>
                <c:pt idx="11">
                  <c:v>0</c:v>
                </c:pt>
                <c:pt idx="12">
                  <c:v>0</c:v>
                </c:pt>
                <c:pt idx="13">
                  <c:v>0</c:v>
                </c:pt>
                <c:pt idx="14">
                  <c:v>0</c:v>
                </c:pt>
                <c:pt idx="15">
                  <c:v>0</c:v>
                </c:pt>
                <c:pt idx="16">
                  <c:v>0</c:v>
                </c:pt>
                <c:pt idx="17">
                  <c:v>0</c:v>
                </c:pt>
                <c:pt idx="18">
                  <c:v>29.21</c:v>
                </c:pt>
                <c:pt idx="19">
                  <c:v>0</c:v>
                </c:pt>
                <c:pt idx="20">
                  <c:v>0</c:v>
                </c:pt>
                <c:pt idx="21">
                  <c:v>0</c:v>
                </c:pt>
                <c:pt idx="22">
                  <c:v>2059.63</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8"/>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50</Pages>
  <Words>17879</Words>
  <Characters>21551</Characters>
  <Lines>88</Lines>
  <Paragraphs>24</Paragraphs>
  <TotalTime>1</TotalTime>
  <ScaleCrop>false</ScaleCrop>
  <LinksUpToDate>false</LinksUpToDate>
  <CharactersWithSpaces>22378</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2025-07-29T11:35:00Z</dcterms:created>
  <dc:creator>user</dc:creator>
  <cp:lastModifiedBy>申大侠</cp:lastModifiedBy>
  <cp:lastPrinted>2025-07-30T06:51:00Z</cp:lastPrinted>
  <dcterms:modified xsi:type="dcterms:W3CDTF">2025-09-23T02:54:16Z</dcterms:modified>
  <dc:title>附件1</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eyJoZGlkIjoiNWU2ZjI3MWI3ZDU4N2VhZTc1NDUwYjViYjNiNzI1ZjUiLCJ1c2VySWQiOiIyOTIyMTYyOTIifQ==</vt:lpwstr>
  </property>
  <property fmtid="{D5CDD505-2E9C-101B-9397-08002B2CF9AE}" pid="3" name="KSOProductBuildVer">
    <vt:lpwstr>2052-11.8.2.12085</vt:lpwstr>
  </property>
  <property fmtid="{D5CDD505-2E9C-101B-9397-08002B2CF9AE}" pid="4" name="ICV">
    <vt:lpwstr>B21D18FB37274BA8A00E3C6917B1CC0E_12</vt:lpwstr>
  </property>
</Properties>
</file>