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1">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部门</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部门</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712001</w:t>
      </w:r>
    </w:p>
    <w:p w14:paraId="7533B336">
      <w:pPr>
        <w:spacing w:line="600" w:lineRule="auto"/>
        <w:jc w:val="left"/>
        <w:rPr>
          <w:rFonts w:hint="eastAsia" w:ascii="楷体_GB2312" w:hAnsi="楷体_GB2312" w:eastAsia="楷体_GB2312" w:cs="楷体_GB2312"/>
          <w:color w:val="000000"/>
          <w:sz w:val="40"/>
          <w:szCs w:val="40"/>
          <w:lang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：中国共产主义青年团石家庄市桥西区委员会</w:t>
      </w:r>
      <w:r>
        <w:rPr>
          <w:rFonts w:hint="eastAsia" w:ascii="楷体_GB2312" w:hAnsi="楷体_GB2312" w:eastAsia="楷体_GB2312" w:cs="楷体_GB2312"/>
          <w:color w:val="000000"/>
          <w:sz w:val="40"/>
          <w:szCs w:val="40"/>
          <w:lang w:eastAsia="zh-CN"/>
        </w:rPr>
        <w:t>（本级）</w:t>
      </w: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44A85582">
      <w:pPr>
        <w:widowControl/>
        <w:spacing w:before="0" w:beforeLines="0" w:beforeAutospacing="0" w:after="0" w:afterLines="0" w:afterAutospacing="0" w:line="360" w:lineRule="auto"/>
        <w:jc w:val="center"/>
        <w:rPr>
          <w:rFonts w:hint="eastAsia" w:ascii="Times New Roman" w:eastAsia="方正小标宋_GBK"/>
          <w:sz w:val="72"/>
          <w:szCs w:val="72"/>
          <w:lang w:eastAsia="zh-CN"/>
        </w:rPr>
      </w:pPr>
      <w:r>
        <w:rPr>
          <w:rFonts w:ascii="Times New Roman" w:eastAsia="方正小标宋_GBK"/>
          <w:b w:val="0"/>
          <w:sz w:val="72"/>
          <w:szCs w:val="72"/>
        </w:rPr>
        <w:t>中国共产主义青年团石家庄市桥西区委员会</w:t>
      </w:r>
      <w:r>
        <w:rPr>
          <w:rFonts w:hint="eastAsia" w:ascii="Times New Roman" w:eastAsia="方正小标宋_GBK"/>
          <w:b w:val="0"/>
          <w:sz w:val="72"/>
          <w:szCs w:val="72"/>
          <w:lang w:eastAsia="zh-CN"/>
        </w:rPr>
        <w:t>（本级）</w:t>
      </w:r>
    </w:p>
    <w:p w14:paraId="37337564">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bCs/>
          <w:sz w:val="72"/>
          <w:szCs w:val="72"/>
          <w:lang w:eastAsia="zh-CN"/>
        </w:rPr>
        <w:t>部门</w:t>
      </w:r>
      <w:r>
        <w:rPr>
          <w:rFonts w:ascii="Times New Roman" w:eastAsia="方正小标宋_GBK"/>
          <w:b w:val="0"/>
          <w:sz w:val="72"/>
          <w:szCs w:val="72"/>
        </w:rPr>
        <w:t>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1CE9F253">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中国共产主义青年团石家庄市桥西区委员会</w:t>
      </w:r>
      <w:r>
        <w:rPr>
          <w:rFonts w:hint="eastAsia" w:ascii="Times New Roman" w:eastAsia="楷体_GB2312"/>
          <w:b w:val="0"/>
          <w:sz w:val="44"/>
          <w:szCs w:val="44"/>
          <w:lang w:eastAsia="zh-CN"/>
        </w:rPr>
        <w:t>（本级）</w:t>
      </w:r>
      <w:r>
        <w:rPr>
          <w:rFonts w:ascii="Times New Roman" w:eastAsia="楷体_GB2312"/>
          <w:b w:val="0"/>
          <w:sz w:val="44"/>
          <w:szCs w:val="44"/>
        </w:rPr>
        <w:t>二〇二五年</w:t>
      </w:r>
      <w:r>
        <w:rPr>
          <w:rFonts w:hint="eastAsia" w:ascii="Times New Roman" w:eastAsia="楷体_GB2312"/>
          <w:b w:val="0"/>
          <w:sz w:val="44"/>
          <w:szCs w:val="44"/>
          <w:lang w:eastAsia="zh-CN"/>
        </w:rPr>
        <w:t>九</w:t>
      </w:r>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1BECB00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169AB7B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14:paraId="0BD979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eastAsia="zh-CN"/>
        </w:rPr>
        <w:t>单位</w:t>
      </w:r>
      <w:r>
        <w:rPr>
          <w:rFonts w:ascii="Times New Roman" w:eastAsia="仿宋_GB2312"/>
          <w:b w:val="0"/>
          <w:sz w:val="32"/>
          <w:szCs w:val="32"/>
        </w:rPr>
        <w:t>职责</w:t>
      </w:r>
    </w:p>
    <w:p w14:paraId="51EDDE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0FB2D684">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eastAsia="zh-CN"/>
        </w:rPr>
        <w:t>单位</w:t>
      </w:r>
      <w:r>
        <w:rPr>
          <w:rFonts w:ascii="Times New Roman" w:eastAsia="黑体"/>
          <w:b w:val="0"/>
          <w:sz w:val="32"/>
          <w:szCs w:val="32"/>
        </w:rPr>
        <w:t>决算报表</w:t>
      </w:r>
    </w:p>
    <w:p w14:paraId="29599A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913D71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047A8D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291FA60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658E6F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519BE5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75FFED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59B48F8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F4C1A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6B5E086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14:paraId="39AF10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3CE4B89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0AB05D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11B861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5B37A08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4F5926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4AA56C2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607879B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42A88E9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01D595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4113174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534F7B1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w:t>
      </w:r>
      <w:r>
        <w:rPr>
          <w:rFonts w:hint="eastAsia" w:ascii="Times New Roman" w:eastAsia="黑体"/>
          <w:b w:val="0"/>
          <w:sz w:val="44"/>
          <w:szCs w:val="44"/>
          <w:lang w:eastAsia="zh-CN"/>
        </w:rPr>
        <w:t>单位</w:t>
      </w:r>
      <w:r>
        <w:rPr>
          <w:rFonts w:ascii="Times New Roman" w:eastAsia="黑体"/>
          <w:b w:val="0"/>
          <w:sz w:val="44"/>
          <w:szCs w:val="44"/>
        </w:rPr>
        <w:t>概况</w:t>
      </w:r>
    </w:p>
    <w:p w14:paraId="7BC21F7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eastAsia="zh-CN"/>
        </w:rPr>
        <w:t>单位</w:t>
      </w:r>
      <w:r>
        <w:rPr>
          <w:rFonts w:ascii="Times New Roman" w:eastAsia="黑体"/>
          <w:b w:val="0"/>
          <w:sz w:val="32"/>
          <w:szCs w:val="32"/>
        </w:rPr>
        <w:t>职责</w:t>
      </w:r>
    </w:p>
    <w:p w14:paraId="7EA31BFD">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(一)广泛开展对青少年进行爱国主义、集体主义和社会主义的思想道德教育。</w:t>
      </w:r>
    </w:p>
    <w:p w14:paraId="797A6B9A">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(二)广泛开展对青年志愿者活动和完善“青年志愿者服务站”的建设。</w:t>
      </w:r>
    </w:p>
    <w:p w14:paraId="2A3B35E3">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(三)实施绿色希望工程，推进“新世纪青少年绿色行动”。</w:t>
      </w:r>
    </w:p>
    <w:p w14:paraId="3BE71A38">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(四)深入开展青年岗位能手和青年文明号活动。</w:t>
      </w:r>
    </w:p>
    <w:p w14:paraId="750918BF">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(五)深化青年文明社区创建活动。</w:t>
      </w:r>
    </w:p>
    <w:p w14:paraId="392868F0">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(六)开展“城乡青年1+1，双学双促求发展”活动。</w:t>
      </w:r>
    </w:p>
    <w:p w14:paraId="4C741B0A">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(七)进一步加强青少年权益工作，创建“优秀青少年维权岗”。</w:t>
      </w:r>
    </w:p>
    <w:p w14:paraId="2DB2E071">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(八)深化青年拔尖人才工程，培养一大批德才兼备的优秀人才。</w:t>
      </w:r>
    </w:p>
    <w:p w14:paraId="062212DF">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(九)积极实施新世纪企业青年创新创效活动。</w:t>
      </w:r>
    </w:p>
    <w:p w14:paraId="26D0D2D1">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(十)以“党建带区建”加强团的基层组织建设。</w:t>
      </w:r>
    </w:p>
    <w:p w14:paraId="5566D9BB">
      <w:pPr>
        <w:adjustRightInd w:val="0"/>
        <w:snapToGrid w:val="0"/>
        <w:spacing w:line="580" w:lineRule="exact"/>
        <w:ind w:firstLine="640" w:firstLineChars="200"/>
        <w:rPr>
          <w:rFonts w:hint="eastAsia" w:ascii="黑体" w:hAnsi="Calibri" w:eastAsia="黑体" w:cs="黑体"/>
          <w:kern w:val="0"/>
          <w:sz w:val="32"/>
          <w:szCs w:val="32"/>
        </w:rPr>
      </w:pP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十一</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加强团干部队伍和团员队伍建设。</w:t>
      </w:r>
    </w:p>
    <w:p w14:paraId="05290EA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5089D1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中国共产主义青年团石家庄市桥西区委员会(本级)</w:t>
            </w:r>
          </w:p>
        </w:tc>
        <w:tc>
          <w:tcPr>
            <w:tcW w:w="2445" w:type="dxa"/>
          </w:tcPr>
          <w:p w14:paraId="2E443189">
            <w:pPr>
              <w:spacing w:line="560" w:lineRule="exact"/>
              <w:jc w:val="center"/>
              <w:rPr>
                <w:rFonts w:ascii="仿宋_GB2312" w:hAnsi="Calibri" w:eastAsia="仿宋_GB2312" w:cs="ArialUnicodeMS"/>
                <w:kern w:val="0"/>
                <w:sz w:val="28"/>
                <w:szCs w:val="28"/>
              </w:rPr>
            </w:pPr>
            <w:r>
              <w:rPr>
                <w:rFonts w:hint="eastAsia" w:ascii="Times New Roman" w:hAnsi="Times New Roman" w:eastAsia="仿宋_GB2312" w:cs="Times New Roman"/>
                <w:kern w:val="0"/>
                <w:sz w:val="28"/>
                <w:szCs w:val="28"/>
                <w:lang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Times New Roman" w:hAnsi="Times New Roman" w:eastAsia="仿宋_GB2312" w:cs="Times New Roman"/>
                <w:kern w:val="0"/>
                <w:sz w:val="28"/>
                <w:szCs w:val="28"/>
                <w:lang w:eastAsia="zh-CN"/>
              </w:rPr>
              <w:t>财政拨款</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7A20D0E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部门</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部门（单位）：中国共产主义青年团石家庄市桥西区委员会（本级）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73.53</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61.91</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4.46</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3.16</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4.76</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73.53</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0.76</w:t>
            </w: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部门（单位）：中国共产主义青年团石家庄市桥西区委员会 （本级）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73.53</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73.53</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61.51</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61.51</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A93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55AC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w:t>
            </w:r>
          </w:p>
        </w:tc>
        <w:tc>
          <w:tcPr>
            <w:tcW w:w="1160" w:type="dxa"/>
            <w:tcBorders>
              <w:top w:val="nil"/>
              <w:left w:val="nil"/>
              <w:bottom w:val="single" w:color="000000" w:sz="4" w:space="0"/>
              <w:right w:val="single" w:color="000000" w:sz="4" w:space="0"/>
            </w:tcBorders>
            <w:noWrap/>
            <w:vAlign w:val="center"/>
          </w:tcPr>
          <w:p w14:paraId="44EC29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群众团体事务</w:t>
            </w:r>
          </w:p>
        </w:tc>
        <w:tc>
          <w:tcPr>
            <w:tcW w:w="1037" w:type="dxa"/>
            <w:tcBorders>
              <w:top w:val="nil"/>
              <w:left w:val="nil"/>
              <w:bottom w:val="single" w:color="000000" w:sz="4" w:space="0"/>
              <w:right w:val="single" w:color="000000" w:sz="4" w:space="0"/>
            </w:tcBorders>
            <w:noWrap/>
            <w:vAlign w:val="center"/>
          </w:tcPr>
          <w:p w14:paraId="4F804B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61.51</w:t>
            </w:r>
          </w:p>
        </w:tc>
        <w:tc>
          <w:tcPr>
            <w:tcW w:w="1037" w:type="dxa"/>
            <w:tcBorders>
              <w:top w:val="nil"/>
              <w:left w:val="nil"/>
              <w:bottom w:val="single" w:color="000000" w:sz="4" w:space="0"/>
              <w:right w:val="single" w:color="000000" w:sz="4" w:space="0"/>
            </w:tcBorders>
            <w:noWrap/>
            <w:vAlign w:val="center"/>
          </w:tcPr>
          <w:p w14:paraId="7CED27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61.51</w:t>
            </w:r>
          </w:p>
        </w:tc>
        <w:tc>
          <w:tcPr>
            <w:tcW w:w="1037" w:type="dxa"/>
            <w:tcBorders>
              <w:top w:val="nil"/>
              <w:left w:val="nil"/>
              <w:bottom w:val="single" w:color="000000" w:sz="4" w:space="0"/>
              <w:right w:val="single" w:color="000000" w:sz="4" w:space="0"/>
            </w:tcBorders>
            <w:noWrap/>
            <w:vAlign w:val="center"/>
          </w:tcPr>
          <w:p w14:paraId="73DFDF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FFC2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E76C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C2082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537B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8DA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F975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2012901</w:t>
            </w:r>
          </w:p>
        </w:tc>
        <w:tc>
          <w:tcPr>
            <w:tcW w:w="1160" w:type="dxa"/>
            <w:tcBorders>
              <w:top w:val="nil"/>
              <w:left w:val="nil"/>
              <w:bottom w:val="single" w:color="000000" w:sz="4" w:space="0"/>
              <w:right w:val="single" w:color="000000" w:sz="4" w:space="0"/>
            </w:tcBorders>
            <w:noWrap/>
            <w:vAlign w:val="center"/>
          </w:tcPr>
          <w:p w14:paraId="3031E8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20736D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42.02</w:t>
            </w:r>
          </w:p>
        </w:tc>
        <w:tc>
          <w:tcPr>
            <w:tcW w:w="1037" w:type="dxa"/>
            <w:tcBorders>
              <w:top w:val="nil"/>
              <w:left w:val="nil"/>
              <w:bottom w:val="single" w:color="000000" w:sz="4" w:space="0"/>
              <w:right w:val="single" w:color="000000" w:sz="4" w:space="0"/>
            </w:tcBorders>
            <w:noWrap/>
            <w:vAlign w:val="center"/>
          </w:tcPr>
          <w:p w14:paraId="796103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42.02</w:t>
            </w:r>
          </w:p>
        </w:tc>
        <w:tc>
          <w:tcPr>
            <w:tcW w:w="1037" w:type="dxa"/>
            <w:tcBorders>
              <w:top w:val="nil"/>
              <w:left w:val="nil"/>
              <w:bottom w:val="single" w:color="000000" w:sz="4" w:space="0"/>
              <w:right w:val="single" w:color="000000" w:sz="4" w:space="0"/>
            </w:tcBorders>
            <w:noWrap/>
            <w:vAlign w:val="center"/>
          </w:tcPr>
          <w:p w14:paraId="29A151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CA40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0A5E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4CD7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A795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AD3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5A3DE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2012902</w:t>
            </w:r>
          </w:p>
        </w:tc>
        <w:tc>
          <w:tcPr>
            <w:tcW w:w="1160" w:type="dxa"/>
            <w:tcBorders>
              <w:top w:val="nil"/>
              <w:left w:val="nil"/>
              <w:bottom w:val="single" w:color="000000" w:sz="4" w:space="0"/>
              <w:right w:val="single" w:color="000000" w:sz="4" w:space="0"/>
            </w:tcBorders>
            <w:noWrap/>
            <w:vAlign w:val="center"/>
          </w:tcPr>
          <w:p w14:paraId="416F104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7B6F3C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19.49</w:t>
            </w:r>
          </w:p>
        </w:tc>
        <w:tc>
          <w:tcPr>
            <w:tcW w:w="1037" w:type="dxa"/>
            <w:tcBorders>
              <w:top w:val="nil"/>
              <w:left w:val="nil"/>
              <w:bottom w:val="single" w:color="000000" w:sz="4" w:space="0"/>
              <w:right w:val="single" w:color="000000" w:sz="4" w:space="0"/>
            </w:tcBorders>
            <w:noWrap/>
            <w:vAlign w:val="center"/>
          </w:tcPr>
          <w:p w14:paraId="684256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19.49</w:t>
            </w:r>
          </w:p>
        </w:tc>
        <w:tc>
          <w:tcPr>
            <w:tcW w:w="1037" w:type="dxa"/>
            <w:tcBorders>
              <w:top w:val="nil"/>
              <w:left w:val="nil"/>
              <w:bottom w:val="single" w:color="000000" w:sz="4" w:space="0"/>
              <w:right w:val="single" w:color="000000" w:sz="4" w:space="0"/>
            </w:tcBorders>
            <w:noWrap/>
            <w:vAlign w:val="center"/>
          </w:tcPr>
          <w:p w14:paraId="6C86A0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57B3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BABF5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6310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D282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F417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A84DD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5AB4E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2AA3EA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4.46</w:t>
            </w:r>
          </w:p>
        </w:tc>
        <w:tc>
          <w:tcPr>
            <w:tcW w:w="1037" w:type="dxa"/>
            <w:tcBorders>
              <w:top w:val="nil"/>
              <w:left w:val="nil"/>
              <w:bottom w:val="single" w:color="000000" w:sz="4" w:space="0"/>
              <w:right w:val="single" w:color="000000" w:sz="4" w:space="0"/>
            </w:tcBorders>
            <w:noWrap/>
            <w:vAlign w:val="center"/>
          </w:tcPr>
          <w:p w14:paraId="413234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4.46</w:t>
            </w:r>
          </w:p>
        </w:tc>
        <w:tc>
          <w:tcPr>
            <w:tcW w:w="1037" w:type="dxa"/>
            <w:tcBorders>
              <w:top w:val="nil"/>
              <w:left w:val="nil"/>
              <w:bottom w:val="single" w:color="000000" w:sz="4" w:space="0"/>
              <w:right w:val="single" w:color="000000" w:sz="4" w:space="0"/>
            </w:tcBorders>
            <w:noWrap/>
            <w:vAlign w:val="center"/>
          </w:tcPr>
          <w:p w14:paraId="411CC7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2FD0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964D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D425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0C96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4B42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B5192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3831DA6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21FA1D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4.46</w:t>
            </w:r>
          </w:p>
        </w:tc>
        <w:tc>
          <w:tcPr>
            <w:tcW w:w="1037" w:type="dxa"/>
            <w:tcBorders>
              <w:top w:val="nil"/>
              <w:left w:val="nil"/>
              <w:bottom w:val="single" w:color="000000" w:sz="4" w:space="0"/>
              <w:right w:val="single" w:color="000000" w:sz="4" w:space="0"/>
            </w:tcBorders>
            <w:noWrap/>
            <w:vAlign w:val="center"/>
          </w:tcPr>
          <w:p w14:paraId="0617A0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4.46</w:t>
            </w:r>
          </w:p>
        </w:tc>
        <w:tc>
          <w:tcPr>
            <w:tcW w:w="1037" w:type="dxa"/>
            <w:tcBorders>
              <w:top w:val="nil"/>
              <w:left w:val="nil"/>
              <w:bottom w:val="single" w:color="000000" w:sz="4" w:space="0"/>
              <w:right w:val="single" w:color="000000" w:sz="4" w:space="0"/>
            </w:tcBorders>
            <w:noWrap/>
            <w:vAlign w:val="center"/>
          </w:tcPr>
          <w:p w14:paraId="344F70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5141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EC66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5909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DB9F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2E2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9D11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3DC73EB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11B404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4.46</w:t>
            </w:r>
          </w:p>
        </w:tc>
        <w:tc>
          <w:tcPr>
            <w:tcW w:w="1037" w:type="dxa"/>
            <w:tcBorders>
              <w:top w:val="nil"/>
              <w:left w:val="nil"/>
              <w:bottom w:val="single" w:color="000000" w:sz="4" w:space="0"/>
              <w:right w:val="single" w:color="000000" w:sz="4" w:space="0"/>
            </w:tcBorders>
            <w:noWrap/>
            <w:vAlign w:val="center"/>
          </w:tcPr>
          <w:p w14:paraId="1A9F4C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4.46</w:t>
            </w:r>
          </w:p>
        </w:tc>
        <w:tc>
          <w:tcPr>
            <w:tcW w:w="1037" w:type="dxa"/>
            <w:tcBorders>
              <w:top w:val="nil"/>
              <w:left w:val="nil"/>
              <w:bottom w:val="single" w:color="000000" w:sz="4" w:space="0"/>
              <w:right w:val="single" w:color="000000" w:sz="4" w:space="0"/>
            </w:tcBorders>
            <w:noWrap/>
            <w:vAlign w:val="center"/>
          </w:tcPr>
          <w:p w14:paraId="6FD7F9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99D3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86BA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9A12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BE14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35C7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7D28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427E1F6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4B801B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3.16</w:t>
            </w:r>
          </w:p>
        </w:tc>
        <w:tc>
          <w:tcPr>
            <w:tcW w:w="1037" w:type="dxa"/>
            <w:tcBorders>
              <w:top w:val="nil"/>
              <w:left w:val="nil"/>
              <w:bottom w:val="single" w:color="000000" w:sz="4" w:space="0"/>
              <w:right w:val="single" w:color="000000" w:sz="4" w:space="0"/>
            </w:tcBorders>
            <w:noWrap/>
            <w:vAlign w:val="center"/>
          </w:tcPr>
          <w:p w14:paraId="50E997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3.16</w:t>
            </w:r>
          </w:p>
        </w:tc>
        <w:tc>
          <w:tcPr>
            <w:tcW w:w="1037" w:type="dxa"/>
            <w:tcBorders>
              <w:top w:val="nil"/>
              <w:left w:val="nil"/>
              <w:bottom w:val="single" w:color="000000" w:sz="4" w:space="0"/>
              <w:right w:val="single" w:color="000000" w:sz="4" w:space="0"/>
            </w:tcBorders>
            <w:noWrap/>
            <w:vAlign w:val="center"/>
          </w:tcPr>
          <w:p w14:paraId="3CA4FE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D6DC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A3F8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71A47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76CF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8999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D85C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40713E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3996B6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3.16</w:t>
            </w:r>
          </w:p>
        </w:tc>
        <w:tc>
          <w:tcPr>
            <w:tcW w:w="1037" w:type="dxa"/>
            <w:tcBorders>
              <w:top w:val="nil"/>
              <w:left w:val="nil"/>
              <w:bottom w:val="single" w:color="000000" w:sz="4" w:space="0"/>
              <w:right w:val="single" w:color="000000" w:sz="4" w:space="0"/>
            </w:tcBorders>
            <w:noWrap/>
            <w:vAlign w:val="center"/>
          </w:tcPr>
          <w:p w14:paraId="6C4CF4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3.16</w:t>
            </w:r>
          </w:p>
        </w:tc>
        <w:tc>
          <w:tcPr>
            <w:tcW w:w="1037" w:type="dxa"/>
            <w:tcBorders>
              <w:top w:val="nil"/>
              <w:left w:val="nil"/>
              <w:bottom w:val="single" w:color="000000" w:sz="4" w:space="0"/>
              <w:right w:val="single" w:color="000000" w:sz="4" w:space="0"/>
            </w:tcBorders>
            <w:noWrap/>
            <w:vAlign w:val="center"/>
          </w:tcPr>
          <w:p w14:paraId="0A3792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35C8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AA55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634F0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E8D88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495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80BFA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5812B51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07A12E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3.16</w:t>
            </w:r>
          </w:p>
        </w:tc>
        <w:tc>
          <w:tcPr>
            <w:tcW w:w="1037" w:type="dxa"/>
            <w:tcBorders>
              <w:top w:val="nil"/>
              <w:left w:val="nil"/>
              <w:bottom w:val="single" w:color="000000" w:sz="4" w:space="0"/>
              <w:right w:val="single" w:color="000000" w:sz="4" w:space="0"/>
            </w:tcBorders>
            <w:noWrap/>
            <w:vAlign w:val="center"/>
          </w:tcPr>
          <w:p w14:paraId="528C6C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3.16</w:t>
            </w:r>
          </w:p>
        </w:tc>
        <w:tc>
          <w:tcPr>
            <w:tcW w:w="1037" w:type="dxa"/>
            <w:tcBorders>
              <w:top w:val="nil"/>
              <w:left w:val="nil"/>
              <w:bottom w:val="single" w:color="000000" w:sz="4" w:space="0"/>
              <w:right w:val="single" w:color="000000" w:sz="4" w:space="0"/>
            </w:tcBorders>
            <w:noWrap/>
            <w:vAlign w:val="center"/>
          </w:tcPr>
          <w:p w14:paraId="42040F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BD01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62AE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5B5E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2C0C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D3D5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19238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B7686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1542F4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w:t>
            </w:r>
          </w:p>
        </w:tc>
        <w:tc>
          <w:tcPr>
            <w:tcW w:w="1037" w:type="dxa"/>
            <w:tcBorders>
              <w:top w:val="nil"/>
              <w:left w:val="nil"/>
              <w:bottom w:val="single" w:color="000000" w:sz="4" w:space="0"/>
              <w:right w:val="single" w:color="000000" w:sz="4" w:space="0"/>
            </w:tcBorders>
            <w:noWrap/>
            <w:vAlign w:val="center"/>
          </w:tcPr>
          <w:p w14:paraId="74E236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w:t>
            </w:r>
          </w:p>
        </w:tc>
        <w:tc>
          <w:tcPr>
            <w:tcW w:w="1037" w:type="dxa"/>
            <w:tcBorders>
              <w:top w:val="nil"/>
              <w:left w:val="nil"/>
              <w:bottom w:val="single" w:color="000000" w:sz="4" w:space="0"/>
              <w:right w:val="single" w:color="000000" w:sz="4" w:space="0"/>
            </w:tcBorders>
            <w:noWrap/>
            <w:vAlign w:val="center"/>
          </w:tcPr>
          <w:p w14:paraId="3E5DC1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A089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9BF8A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4D28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9786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61B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93AF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3F5C3E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42B5EF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w:t>
            </w:r>
          </w:p>
        </w:tc>
        <w:tc>
          <w:tcPr>
            <w:tcW w:w="1037" w:type="dxa"/>
            <w:tcBorders>
              <w:top w:val="nil"/>
              <w:left w:val="nil"/>
              <w:bottom w:val="single" w:color="000000" w:sz="4" w:space="0"/>
              <w:right w:val="single" w:color="000000" w:sz="4" w:space="0"/>
            </w:tcBorders>
            <w:noWrap/>
            <w:vAlign w:val="center"/>
          </w:tcPr>
          <w:p w14:paraId="0E1C58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w:t>
            </w:r>
          </w:p>
        </w:tc>
        <w:tc>
          <w:tcPr>
            <w:tcW w:w="1037" w:type="dxa"/>
            <w:tcBorders>
              <w:top w:val="nil"/>
              <w:left w:val="nil"/>
              <w:bottom w:val="single" w:color="000000" w:sz="4" w:space="0"/>
              <w:right w:val="single" w:color="000000" w:sz="4" w:space="0"/>
            </w:tcBorders>
            <w:noWrap/>
            <w:vAlign w:val="center"/>
          </w:tcPr>
          <w:p w14:paraId="46C69F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6F7F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2735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0A19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0A16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D3B2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DB42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7070C51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36CA1E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w:t>
            </w:r>
          </w:p>
        </w:tc>
        <w:tc>
          <w:tcPr>
            <w:tcW w:w="1037" w:type="dxa"/>
            <w:tcBorders>
              <w:top w:val="nil"/>
              <w:left w:val="nil"/>
              <w:bottom w:val="single" w:color="000000" w:sz="4" w:space="0"/>
              <w:right w:val="single" w:color="000000" w:sz="4" w:space="0"/>
            </w:tcBorders>
            <w:noWrap/>
            <w:vAlign w:val="center"/>
          </w:tcPr>
          <w:p w14:paraId="5E9414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w:t>
            </w:r>
          </w:p>
        </w:tc>
        <w:tc>
          <w:tcPr>
            <w:tcW w:w="1037" w:type="dxa"/>
            <w:tcBorders>
              <w:top w:val="nil"/>
              <w:left w:val="nil"/>
              <w:bottom w:val="single" w:color="000000" w:sz="4" w:space="0"/>
              <w:right w:val="single" w:color="000000" w:sz="4" w:space="0"/>
            </w:tcBorders>
            <w:noWrap/>
            <w:vAlign w:val="center"/>
          </w:tcPr>
          <w:p w14:paraId="7EF341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00EA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0E16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1F8E7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2078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部门（单位）：中国共产主义青年团石家庄市桥西区委员会（本级）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54.80</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19.49</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61.91</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79FFF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2E85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w:t>
            </w:r>
          </w:p>
        </w:tc>
        <w:tc>
          <w:tcPr>
            <w:tcW w:w="635" w:type="pct"/>
            <w:tcBorders>
              <w:top w:val="nil"/>
              <w:left w:val="nil"/>
              <w:bottom w:val="single" w:color="000000" w:sz="4" w:space="0"/>
              <w:right w:val="single" w:color="000000" w:sz="4" w:space="0"/>
            </w:tcBorders>
            <w:noWrap/>
            <w:vAlign w:val="center"/>
          </w:tcPr>
          <w:p w14:paraId="3505EA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群众团体事务</w:t>
            </w:r>
          </w:p>
        </w:tc>
        <w:tc>
          <w:tcPr>
            <w:tcW w:w="603" w:type="pct"/>
            <w:tcBorders>
              <w:top w:val="nil"/>
              <w:left w:val="nil"/>
              <w:bottom w:val="single" w:color="000000" w:sz="4" w:space="0"/>
              <w:right w:val="single" w:color="000000" w:sz="4" w:space="0"/>
            </w:tcBorders>
            <w:noWrap/>
            <w:vAlign w:val="center"/>
          </w:tcPr>
          <w:p w14:paraId="48A7E7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61.91</w:t>
            </w:r>
          </w:p>
        </w:tc>
        <w:tc>
          <w:tcPr>
            <w:tcW w:w="602" w:type="pct"/>
            <w:gridSpan w:val="2"/>
            <w:tcBorders>
              <w:top w:val="nil"/>
              <w:left w:val="nil"/>
              <w:bottom w:val="single" w:color="000000" w:sz="4" w:space="0"/>
              <w:right w:val="single" w:color="000000" w:sz="4" w:space="0"/>
            </w:tcBorders>
            <w:noWrap/>
            <w:vAlign w:val="center"/>
          </w:tcPr>
          <w:p w14:paraId="2A22DC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w:t>
            </w:r>
          </w:p>
        </w:tc>
        <w:tc>
          <w:tcPr>
            <w:tcW w:w="602" w:type="pct"/>
            <w:tcBorders>
              <w:top w:val="nil"/>
              <w:left w:val="nil"/>
              <w:bottom w:val="single" w:color="000000" w:sz="4" w:space="0"/>
              <w:right w:val="single" w:color="000000" w:sz="4" w:space="0"/>
            </w:tcBorders>
            <w:noWrap/>
            <w:vAlign w:val="center"/>
          </w:tcPr>
          <w:p w14:paraId="170158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w:t>
            </w:r>
          </w:p>
        </w:tc>
        <w:tc>
          <w:tcPr>
            <w:tcW w:w="602" w:type="pct"/>
            <w:gridSpan w:val="2"/>
            <w:tcBorders>
              <w:top w:val="nil"/>
              <w:left w:val="nil"/>
              <w:bottom w:val="single" w:color="000000" w:sz="4" w:space="0"/>
              <w:right w:val="single" w:color="000000" w:sz="4" w:space="0"/>
            </w:tcBorders>
            <w:noWrap/>
            <w:vAlign w:val="center"/>
          </w:tcPr>
          <w:p w14:paraId="23BABE6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17BCEC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A4A4B89">
            <w:pPr>
              <w:jc w:val="right"/>
              <w:rPr>
                <w:rFonts w:hint="default" w:ascii="Times New Roman" w:hAnsi="Times New Roman" w:eastAsia="宋体" w:cs="Times New Roman"/>
                <w:i w:val="0"/>
                <w:iCs w:val="0"/>
                <w:color w:val="000000"/>
                <w:sz w:val="20"/>
                <w:szCs w:val="20"/>
                <w:highlight w:val="none"/>
                <w:u w:val="none"/>
              </w:rPr>
            </w:pPr>
          </w:p>
        </w:tc>
      </w:tr>
      <w:tr w14:paraId="7099B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0DA5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2012901</w:t>
            </w:r>
          </w:p>
        </w:tc>
        <w:tc>
          <w:tcPr>
            <w:tcW w:w="635" w:type="pct"/>
            <w:tcBorders>
              <w:top w:val="nil"/>
              <w:left w:val="nil"/>
              <w:bottom w:val="single" w:color="000000" w:sz="4" w:space="0"/>
              <w:right w:val="single" w:color="000000" w:sz="4" w:space="0"/>
            </w:tcBorders>
            <w:noWrap/>
            <w:vAlign w:val="center"/>
          </w:tcPr>
          <w:p w14:paraId="2B919D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00191C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w:t>
            </w:r>
          </w:p>
        </w:tc>
        <w:tc>
          <w:tcPr>
            <w:tcW w:w="602" w:type="pct"/>
            <w:gridSpan w:val="2"/>
            <w:tcBorders>
              <w:top w:val="nil"/>
              <w:left w:val="nil"/>
              <w:bottom w:val="single" w:color="000000" w:sz="4" w:space="0"/>
              <w:right w:val="single" w:color="000000" w:sz="4" w:space="0"/>
            </w:tcBorders>
            <w:noWrap/>
            <w:vAlign w:val="center"/>
          </w:tcPr>
          <w:p w14:paraId="766CA5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w:t>
            </w:r>
          </w:p>
        </w:tc>
        <w:tc>
          <w:tcPr>
            <w:tcW w:w="602" w:type="pct"/>
            <w:tcBorders>
              <w:top w:val="nil"/>
              <w:left w:val="nil"/>
              <w:bottom w:val="single" w:color="000000" w:sz="4" w:space="0"/>
              <w:right w:val="single" w:color="000000" w:sz="4" w:space="0"/>
            </w:tcBorders>
            <w:noWrap/>
            <w:vAlign w:val="center"/>
          </w:tcPr>
          <w:p w14:paraId="112D1D3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505202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D4975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069709">
            <w:pPr>
              <w:jc w:val="right"/>
              <w:rPr>
                <w:rFonts w:hint="default" w:ascii="Times New Roman" w:hAnsi="Times New Roman" w:eastAsia="宋体" w:cs="Times New Roman"/>
                <w:i w:val="0"/>
                <w:iCs w:val="0"/>
                <w:color w:val="000000"/>
                <w:sz w:val="20"/>
                <w:szCs w:val="20"/>
                <w:highlight w:val="none"/>
                <w:u w:val="none"/>
              </w:rPr>
            </w:pPr>
          </w:p>
        </w:tc>
      </w:tr>
      <w:tr w14:paraId="13AC9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DDDF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2012902</w:t>
            </w:r>
          </w:p>
        </w:tc>
        <w:tc>
          <w:tcPr>
            <w:tcW w:w="635" w:type="pct"/>
            <w:tcBorders>
              <w:top w:val="nil"/>
              <w:left w:val="nil"/>
              <w:bottom w:val="single" w:color="000000" w:sz="4" w:space="0"/>
              <w:right w:val="single" w:color="000000" w:sz="4" w:space="0"/>
            </w:tcBorders>
            <w:noWrap/>
            <w:vAlign w:val="center"/>
          </w:tcPr>
          <w:p w14:paraId="4EB2E5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7FB000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w:t>
            </w:r>
          </w:p>
        </w:tc>
        <w:tc>
          <w:tcPr>
            <w:tcW w:w="602" w:type="pct"/>
            <w:gridSpan w:val="2"/>
            <w:tcBorders>
              <w:top w:val="nil"/>
              <w:left w:val="nil"/>
              <w:bottom w:val="single" w:color="000000" w:sz="4" w:space="0"/>
              <w:right w:val="single" w:color="000000" w:sz="4" w:space="0"/>
            </w:tcBorders>
            <w:noWrap/>
            <w:vAlign w:val="center"/>
          </w:tcPr>
          <w:p w14:paraId="3F6D717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3C64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w:t>
            </w:r>
          </w:p>
        </w:tc>
        <w:tc>
          <w:tcPr>
            <w:tcW w:w="602" w:type="pct"/>
            <w:gridSpan w:val="2"/>
            <w:tcBorders>
              <w:top w:val="nil"/>
              <w:left w:val="nil"/>
              <w:bottom w:val="single" w:color="000000" w:sz="4" w:space="0"/>
              <w:right w:val="single" w:color="000000" w:sz="4" w:space="0"/>
            </w:tcBorders>
            <w:noWrap/>
            <w:vAlign w:val="center"/>
          </w:tcPr>
          <w:p w14:paraId="211B9FE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1634A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4CEE2EF">
            <w:pPr>
              <w:jc w:val="right"/>
              <w:rPr>
                <w:rFonts w:hint="default" w:ascii="Times New Roman" w:hAnsi="Times New Roman" w:eastAsia="宋体" w:cs="Times New Roman"/>
                <w:i w:val="0"/>
                <w:iCs w:val="0"/>
                <w:color w:val="000000"/>
                <w:sz w:val="20"/>
                <w:szCs w:val="20"/>
                <w:highlight w:val="none"/>
                <w:u w:val="none"/>
              </w:rPr>
            </w:pPr>
          </w:p>
        </w:tc>
      </w:tr>
      <w:tr w14:paraId="26446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A14B3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5610C5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03801A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602" w:type="pct"/>
            <w:gridSpan w:val="2"/>
            <w:tcBorders>
              <w:top w:val="nil"/>
              <w:left w:val="nil"/>
              <w:bottom w:val="single" w:color="000000" w:sz="4" w:space="0"/>
              <w:right w:val="single" w:color="000000" w:sz="4" w:space="0"/>
            </w:tcBorders>
            <w:noWrap/>
            <w:vAlign w:val="center"/>
          </w:tcPr>
          <w:p w14:paraId="2FEB44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602" w:type="pct"/>
            <w:tcBorders>
              <w:top w:val="nil"/>
              <w:left w:val="nil"/>
              <w:bottom w:val="single" w:color="000000" w:sz="4" w:space="0"/>
              <w:right w:val="single" w:color="000000" w:sz="4" w:space="0"/>
            </w:tcBorders>
            <w:noWrap/>
            <w:vAlign w:val="center"/>
          </w:tcPr>
          <w:p w14:paraId="54107EB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0CAFBD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38B8D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EA08A1D">
            <w:pPr>
              <w:jc w:val="right"/>
              <w:rPr>
                <w:rFonts w:hint="default" w:ascii="Times New Roman" w:hAnsi="Times New Roman" w:eastAsia="宋体" w:cs="Times New Roman"/>
                <w:i w:val="0"/>
                <w:iCs w:val="0"/>
                <w:color w:val="000000"/>
                <w:sz w:val="20"/>
                <w:szCs w:val="20"/>
                <w:highlight w:val="none"/>
                <w:u w:val="none"/>
              </w:rPr>
            </w:pPr>
          </w:p>
        </w:tc>
      </w:tr>
      <w:tr w14:paraId="2D1EE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F6E4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4D181D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454CDE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602" w:type="pct"/>
            <w:gridSpan w:val="2"/>
            <w:tcBorders>
              <w:top w:val="nil"/>
              <w:left w:val="nil"/>
              <w:bottom w:val="single" w:color="000000" w:sz="4" w:space="0"/>
              <w:right w:val="single" w:color="000000" w:sz="4" w:space="0"/>
            </w:tcBorders>
            <w:noWrap/>
            <w:vAlign w:val="center"/>
          </w:tcPr>
          <w:p w14:paraId="5D8C59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602" w:type="pct"/>
            <w:tcBorders>
              <w:top w:val="nil"/>
              <w:left w:val="nil"/>
              <w:bottom w:val="single" w:color="000000" w:sz="4" w:space="0"/>
              <w:right w:val="single" w:color="000000" w:sz="4" w:space="0"/>
            </w:tcBorders>
            <w:noWrap/>
            <w:vAlign w:val="center"/>
          </w:tcPr>
          <w:p w14:paraId="6FC2554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869D80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07697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2657A3">
            <w:pPr>
              <w:jc w:val="right"/>
              <w:rPr>
                <w:rFonts w:hint="default" w:ascii="Times New Roman" w:hAnsi="Times New Roman" w:eastAsia="宋体" w:cs="Times New Roman"/>
                <w:i w:val="0"/>
                <w:iCs w:val="0"/>
                <w:color w:val="000000"/>
                <w:sz w:val="20"/>
                <w:szCs w:val="20"/>
                <w:highlight w:val="none"/>
                <w:u w:val="none"/>
              </w:rPr>
            </w:pPr>
          </w:p>
        </w:tc>
      </w:tr>
      <w:tr w14:paraId="3651D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62B4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4DB3D1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04AD0C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602" w:type="pct"/>
            <w:gridSpan w:val="2"/>
            <w:tcBorders>
              <w:top w:val="nil"/>
              <w:left w:val="nil"/>
              <w:bottom w:val="single" w:color="000000" w:sz="4" w:space="0"/>
              <w:right w:val="single" w:color="000000" w:sz="4" w:space="0"/>
            </w:tcBorders>
            <w:noWrap/>
            <w:vAlign w:val="center"/>
          </w:tcPr>
          <w:p w14:paraId="373794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602" w:type="pct"/>
            <w:tcBorders>
              <w:top w:val="nil"/>
              <w:left w:val="nil"/>
              <w:bottom w:val="single" w:color="000000" w:sz="4" w:space="0"/>
              <w:right w:val="single" w:color="000000" w:sz="4" w:space="0"/>
            </w:tcBorders>
            <w:noWrap/>
            <w:vAlign w:val="center"/>
          </w:tcPr>
          <w:p w14:paraId="1AAFC99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4C56DA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A4C25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3758AE7">
            <w:pPr>
              <w:jc w:val="right"/>
              <w:rPr>
                <w:rFonts w:hint="default" w:ascii="Times New Roman" w:hAnsi="Times New Roman" w:eastAsia="宋体" w:cs="Times New Roman"/>
                <w:i w:val="0"/>
                <w:iCs w:val="0"/>
                <w:color w:val="000000"/>
                <w:sz w:val="20"/>
                <w:szCs w:val="20"/>
                <w:highlight w:val="none"/>
                <w:u w:val="none"/>
              </w:rPr>
            </w:pPr>
          </w:p>
        </w:tc>
      </w:tr>
      <w:tr w14:paraId="5AA9A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91E38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73063B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27FE98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602" w:type="pct"/>
            <w:gridSpan w:val="2"/>
            <w:tcBorders>
              <w:top w:val="nil"/>
              <w:left w:val="nil"/>
              <w:bottom w:val="single" w:color="000000" w:sz="4" w:space="0"/>
              <w:right w:val="single" w:color="000000" w:sz="4" w:space="0"/>
            </w:tcBorders>
            <w:noWrap/>
            <w:vAlign w:val="center"/>
          </w:tcPr>
          <w:p w14:paraId="28323A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602" w:type="pct"/>
            <w:tcBorders>
              <w:top w:val="nil"/>
              <w:left w:val="nil"/>
              <w:bottom w:val="single" w:color="000000" w:sz="4" w:space="0"/>
              <w:right w:val="single" w:color="000000" w:sz="4" w:space="0"/>
            </w:tcBorders>
            <w:noWrap/>
            <w:vAlign w:val="center"/>
          </w:tcPr>
          <w:p w14:paraId="35A06EA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3419D0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66B90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0CA6F6A">
            <w:pPr>
              <w:jc w:val="right"/>
              <w:rPr>
                <w:rFonts w:hint="default" w:ascii="Times New Roman" w:hAnsi="Times New Roman" w:eastAsia="宋体" w:cs="Times New Roman"/>
                <w:i w:val="0"/>
                <w:iCs w:val="0"/>
                <w:color w:val="000000"/>
                <w:sz w:val="20"/>
                <w:szCs w:val="20"/>
                <w:highlight w:val="none"/>
                <w:u w:val="none"/>
              </w:rPr>
            </w:pPr>
          </w:p>
        </w:tc>
      </w:tr>
      <w:tr w14:paraId="6A6EEF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4A8A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609EC9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4771F1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602" w:type="pct"/>
            <w:gridSpan w:val="2"/>
            <w:tcBorders>
              <w:top w:val="nil"/>
              <w:left w:val="nil"/>
              <w:bottom w:val="single" w:color="000000" w:sz="4" w:space="0"/>
              <w:right w:val="single" w:color="000000" w:sz="4" w:space="0"/>
            </w:tcBorders>
            <w:noWrap/>
            <w:vAlign w:val="center"/>
          </w:tcPr>
          <w:p w14:paraId="71BEF2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602" w:type="pct"/>
            <w:tcBorders>
              <w:top w:val="nil"/>
              <w:left w:val="nil"/>
              <w:bottom w:val="single" w:color="000000" w:sz="4" w:space="0"/>
              <w:right w:val="single" w:color="000000" w:sz="4" w:space="0"/>
            </w:tcBorders>
            <w:noWrap/>
            <w:vAlign w:val="center"/>
          </w:tcPr>
          <w:p w14:paraId="2D1C737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5A7579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9F635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71870C2">
            <w:pPr>
              <w:jc w:val="right"/>
              <w:rPr>
                <w:rFonts w:hint="default" w:ascii="Times New Roman" w:hAnsi="Times New Roman" w:eastAsia="宋体" w:cs="Times New Roman"/>
                <w:i w:val="0"/>
                <w:iCs w:val="0"/>
                <w:color w:val="000000"/>
                <w:sz w:val="20"/>
                <w:szCs w:val="20"/>
                <w:highlight w:val="none"/>
                <w:u w:val="none"/>
              </w:rPr>
            </w:pPr>
          </w:p>
        </w:tc>
      </w:tr>
      <w:tr w14:paraId="2694C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1389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7CAE0A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431575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602" w:type="pct"/>
            <w:gridSpan w:val="2"/>
            <w:tcBorders>
              <w:top w:val="nil"/>
              <w:left w:val="nil"/>
              <w:bottom w:val="single" w:color="000000" w:sz="4" w:space="0"/>
              <w:right w:val="single" w:color="000000" w:sz="4" w:space="0"/>
            </w:tcBorders>
            <w:noWrap/>
            <w:vAlign w:val="center"/>
          </w:tcPr>
          <w:p w14:paraId="145A01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602" w:type="pct"/>
            <w:tcBorders>
              <w:top w:val="nil"/>
              <w:left w:val="nil"/>
              <w:bottom w:val="single" w:color="000000" w:sz="4" w:space="0"/>
              <w:right w:val="single" w:color="000000" w:sz="4" w:space="0"/>
            </w:tcBorders>
            <w:noWrap/>
            <w:vAlign w:val="center"/>
          </w:tcPr>
          <w:p w14:paraId="22DE58C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8C4366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42C02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9C504DA">
            <w:pPr>
              <w:jc w:val="right"/>
              <w:rPr>
                <w:rFonts w:hint="default" w:ascii="Times New Roman" w:hAnsi="Times New Roman" w:eastAsia="宋体" w:cs="Times New Roman"/>
                <w:i w:val="0"/>
                <w:iCs w:val="0"/>
                <w:color w:val="000000"/>
                <w:sz w:val="20"/>
                <w:szCs w:val="20"/>
                <w:highlight w:val="none"/>
                <w:u w:val="none"/>
              </w:rPr>
            </w:pPr>
          </w:p>
        </w:tc>
      </w:tr>
      <w:tr w14:paraId="4D36E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37F0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07F2C9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11F606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602" w:type="pct"/>
            <w:gridSpan w:val="2"/>
            <w:tcBorders>
              <w:top w:val="nil"/>
              <w:left w:val="nil"/>
              <w:bottom w:val="single" w:color="000000" w:sz="4" w:space="0"/>
              <w:right w:val="single" w:color="000000" w:sz="4" w:space="0"/>
            </w:tcBorders>
            <w:noWrap/>
            <w:vAlign w:val="center"/>
          </w:tcPr>
          <w:p w14:paraId="203B4A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602" w:type="pct"/>
            <w:tcBorders>
              <w:top w:val="nil"/>
              <w:left w:val="nil"/>
              <w:bottom w:val="single" w:color="000000" w:sz="4" w:space="0"/>
              <w:right w:val="single" w:color="000000" w:sz="4" w:space="0"/>
            </w:tcBorders>
            <w:noWrap/>
            <w:vAlign w:val="center"/>
          </w:tcPr>
          <w:p w14:paraId="7BE3A00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71B20A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22103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034D8E5">
            <w:pPr>
              <w:jc w:val="right"/>
              <w:rPr>
                <w:rFonts w:hint="default" w:ascii="Times New Roman" w:hAnsi="Times New Roman" w:eastAsia="宋体" w:cs="Times New Roman"/>
                <w:i w:val="0"/>
                <w:iCs w:val="0"/>
                <w:color w:val="000000"/>
                <w:sz w:val="20"/>
                <w:szCs w:val="20"/>
                <w:highlight w:val="none"/>
                <w:u w:val="none"/>
              </w:rPr>
            </w:pPr>
          </w:p>
        </w:tc>
      </w:tr>
      <w:tr w14:paraId="32C98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5DC6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6D7BB6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6A79C9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602" w:type="pct"/>
            <w:gridSpan w:val="2"/>
            <w:tcBorders>
              <w:top w:val="nil"/>
              <w:left w:val="nil"/>
              <w:bottom w:val="single" w:color="000000" w:sz="4" w:space="0"/>
              <w:right w:val="single" w:color="000000" w:sz="4" w:space="0"/>
            </w:tcBorders>
            <w:noWrap/>
            <w:vAlign w:val="center"/>
          </w:tcPr>
          <w:p w14:paraId="18ECC7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602" w:type="pct"/>
            <w:tcBorders>
              <w:top w:val="nil"/>
              <w:left w:val="nil"/>
              <w:bottom w:val="single" w:color="000000" w:sz="4" w:space="0"/>
              <w:right w:val="single" w:color="000000" w:sz="4" w:space="0"/>
            </w:tcBorders>
            <w:noWrap/>
            <w:vAlign w:val="center"/>
          </w:tcPr>
          <w:p w14:paraId="0C77EC0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7959E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E1FFC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5D6F083">
            <w:pPr>
              <w:jc w:val="right"/>
              <w:rPr>
                <w:rFonts w:hint="default" w:ascii="Times New Roman" w:hAnsi="Times New Roman" w:eastAsia="宋体" w:cs="Times New Roman"/>
                <w:i w:val="0"/>
                <w:iCs w:val="0"/>
                <w:color w:val="000000"/>
                <w:sz w:val="20"/>
                <w:szCs w:val="20"/>
                <w:highlight w:val="none"/>
                <w:u w:val="none"/>
              </w:rPr>
            </w:pPr>
          </w:p>
        </w:tc>
      </w:tr>
      <w:tr w14:paraId="2A42C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165C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3AA483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7233F1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602" w:type="pct"/>
            <w:gridSpan w:val="2"/>
            <w:tcBorders>
              <w:top w:val="nil"/>
              <w:left w:val="nil"/>
              <w:bottom w:val="single" w:color="000000" w:sz="4" w:space="0"/>
              <w:right w:val="single" w:color="000000" w:sz="4" w:space="0"/>
            </w:tcBorders>
            <w:noWrap/>
            <w:vAlign w:val="center"/>
          </w:tcPr>
          <w:p w14:paraId="7C6086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602" w:type="pct"/>
            <w:tcBorders>
              <w:top w:val="nil"/>
              <w:left w:val="nil"/>
              <w:bottom w:val="single" w:color="000000" w:sz="4" w:space="0"/>
              <w:right w:val="single" w:color="000000" w:sz="4" w:space="0"/>
            </w:tcBorders>
            <w:noWrap/>
            <w:vAlign w:val="center"/>
          </w:tcPr>
          <w:p w14:paraId="262E157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43188B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38D1C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709398">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2ABE95C0">
      <w:pPr>
        <w:rPr>
          <w:rFonts w:hint="eastAsia" w:ascii="仿宋_GB2312" w:hAnsi="宋体" w:eastAsia="仿宋_GB2312"/>
          <w:b/>
          <w:color w:val="auto"/>
          <w:kern w:val="0"/>
          <w:sz w:val="32"/>
          <w:szCs w:val="32"/>
          <w:highlight w:val="none"/>
        </w:rPr>
      </w:pP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部门（单位）：中国共产主义青年团石家庄市桥西区委员会（本级）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73.53</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61.91</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61.91</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4.46</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4.46</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3.16</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3.16</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4.76</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4.76</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73.53</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0.76</w:t>
            </w: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0.76</w:t>
            </w: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74.29</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054"/>
        <w:gridCol w:w="2800"/>
        <w:gridCol w:w="1179"/>
        <w:gridCol w:w="637"/>
        <w:gridCol w:w="667"/>
        <w:gridCol w:w="319"/>
        <w:gridCol w:w="1041"/>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编制部门（单位）：中国共产主义青年团石家庄市桥西区委员会（本级）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74.29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54.80</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19.49</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w:t>
            </w:r>
          </w:p>
        </w:tc>
      </w:tr>
      <w:tr w14:paraId="3EA80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97877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w:t>
            </w:r>
          </w:p>
        </w:tc>
        <w:tc>
          <w:tcPr>
            <w:tcW w:w="756" w:type="pct"/>
            <w:tcBorders>
              <w:top w:val="single" w:color="auto" w:sz="4" w:space="0"/>
              <w:left w:val="single" w:color="auto" w:sz="4" w:space="0"/>
              <w:bottom w:val="single" w:color="auto" w:sz="4" w:space="0"/>
              <w:right w:val="single" w:color="auto" w:sz="4" w:space="0"/>
            </w:tcBorders>
            <w:noWrap/>
            <w:vAlign w:val="center"/>
          </w:tcPr>
          <w:p w14:paraId="02375E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群众团体事务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A0CC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81FF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w:t>
            </w:r>
          </w:p>
        </w:tc>
        <w:tc>
          <w:tcPr>
            <w:tcW w:w="1218" w:type="pct"/>
            <w:tcBorders>
              <w:top w:val="single" w:color="auto" w:sz="4" w:space="0"/>
              <w:left w:val="single" w:color="auto" w:sz="4" w:space="0"/>
              <w:bottom w:val="single" w:color="auto" w:sz="4" w:space="0"/>
              <w:right w:val="single" w:color="auto" w:sz="4" w:space="0"/>
            </w:tcBorders>
            <w:noWrap/>
            <w:vAlign w:val="center"/>
          </w:tcPr>
          <w:p w14:paraId="39EA60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w:t>
            </w:r>
          </w:p>
        </w:tc>
      </w:tr>
      <w:tr w14:paraId="4B887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71D0F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2012901</w:t>
            </w:r>
          </w:p>
        </w:tc>
        <w:tc>
          <w:tcPr>
            <w:tcW w:w="756" w:type="pct"/>
            <w:tcBorders>
              <w:top w:val="single" w:color="auto" w:sz="4" w:space="0"/>
              <w:left w:val="single" w:color="auto" w:sz="4" w:space="0"/>
              <w:bottom w:val="single" w:color="auto" w:sz="4" w:space="0"/>
              <w:right w:val="single" w:color="auto" w:sz="4" w:space="0"/>
            </w:tcBorders>
            <w:noWrap/>
            <w:vAlign w:val="center"/>
          </w:tcPr>
          <w:p w14:paraId="793668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7EBC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AF98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42.42</w:t>
            </w:r>
          </w:p>
        </w:tc>
        <w:tc>
          <w:tcPr>
            <w:tcW w:w="1218" w:type="pct"/>
            <w:tcBorders>
              <w:top w:val="single" w:color="auto" w:sz="4" w:space="0"/>
              <w:left w:val="single" w:color="auto" w:sz="4" w:space="0"/>
              <w:bottom w:val="single" w:color="auto" w:sz="4" w:space="0"/>
              <w:right w:val="single" w:color="auto" w:sz="4" w:space="0"/>
            </w:tcBorders>
            <w:noWrap/>
            <w:vAlign w:val="center"/>
          </w:tcPr>
          <w:p w14:paraId="766087EF">
            <w:pPr>
              <w:jc w:val="right"/>
              <w:rPr>
                <w:rFonts w:hint="default" w:ascii="Times New Roman" w:hAnsi="Times New Roman" w:eastAsia="宋体" w:cs="Times New Roman"/>
                <w:i w:val="0"/>
                <w:iCs w:val="0"/>
                <w:color w:val="000000"/>
                <w:sz w:val="20"/>
                <w:szCs w:val="20"/>
                <w:highlight w:val="none"/>
                <w:u w:val="none"/>
              </w:rPr>
            </w:pPr>
          </w:p>
        </w:tc>
      </w:tr>
      <w:tr w14:paraId="70625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8588F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2012902</w:t>
            </w:r>
          </w:p>
        </w:tc>
        <w:tc>
          <w:tcPr>
            <w:tcW w:w="756" w:type="pct"/>
            <w:tcBorders>
              <w:top w:val="single" w:color="auto" w:sz="4" w:space="0"/>
              <w:left w:val="single" w:color="auto" w:sz="4" w:space="0"/>
              <w:bottom w:val="single" w:color="auto" w:sz="4" w:space="0"/>
              <w:right w:val="single" w:color="auto" w:sz="4" w:space="0"/>
            </w:tcBorders>
            <w:noWrap/>
            <w:vAlign w:val="center"/>
          </w:tcPr>
          <w:p w14:paraId="27ED8E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94B8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AB60F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7D843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w:t>
            </w:r>
          </w:p>
        </w:tc>
      </w:tr>
      <w:tr w14:paraId="797AC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4B8C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4E9150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F6DD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26CE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1218" w:type="pct"/>
            <w:tcBorders>
              <w:top w:val="single" w:color="auto" w:sz="4" w:space="0"/>
              <w:left w:val="single" w:color="auto" w:sz="4" w:space="0"/>
              <w:bottom w:val="single" w:color="auto" w:sz="4" w:space="0"/>
              <w:right w:val="single" w:color="auto" w:sz="4" w:space="0"/>
            </w:tcBorders>
            <w:noWrap/>
            <w:vAlign w:val="center"/>
          </w:tcPr>
          <w:p w14:paraId="288522C8">
            <w:pPr>
              <w:jc w:val="right"/>
              <w:rPr>
                <w:rFonts w:hint="default" w:ascii="Times New Roman" w:hAnsi="Times New Roman" w:eastAsia="宋体" w:cs="Times New Roman"/>
                <w:i w:val="0"/>
                <w:iCs w:val="0"/>
                <w:color w:val="000000"/>
                <w:sz w:val="20"/>
                <w:szCs w:val="20"/>
                <w:highlight w:val="none"/>
                <w:u w:val="none"/>
              </w:rPr>
            </w:pPr>
          </w:p>
        </w:tc>
      </w:tr>
      <w:tr w14:paraId="481FA0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8FFD3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111254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929C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8A26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1218" w:type="pct"/>
            <w:tcBorders>
              <w:top w:val="single" w:color="auto" w:sz="4" w:space="0"/>
              <w:left w:val="single" w:color="auto" w:sz="4" w:space="0"/>
              <w:bottom w:val="single" w:color="auto" w:sz="4" w:space="0"/>
              <w:right w:val="single" w:color="auto" w:sz="4" w:space="0"/>
            </w:tcBorders>
            <w:noWrap/>
            <w:vAlign w:val="center"/>
          </w:tcPr>
          <w:p w14:paraId="27DAEC6A">
            <w:pPr>
              <w:jc w:val="right"/>
              <w:rPr>
                <w:rFonts w:hint="default" w:ascii="Times New Roman" w:hAnsi="Times New Roman" w:eastAsia="宋体" w:cs="Times New Roman"/>
                <w:i w:val="0"/>
                <w:iCs w:val="0"/>
                <w:color w:val="000000"/>
                <w:sz w:val="20"/>
                <w:szCs w:val="20"/>
                <w:highlight w:val="none"/>
                <w:u w:val="none"/>
              </w:rPr>
            </w:pPr>
          </w:p>
        </w:tc>
      </w:tr>
      <w:tr w14:paraId="1969E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2F034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4617B3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22F98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030B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4.46</w:t>
            </w:r>
          </w:p>
        </w:tc>
        <w:tc>
          <w:tcPr>
            <w:tcW w:w="1218" w:type="pct"/>
            <w:tcBorders>
              <w:top w:val="single" w:color="auto" w:sz="4" w:space="0"/>
              <w:left w:val="single" w:color="auto" w:sz="4" w:space="0"/>
              <w:bottom w:val="single" w:color="auto" w:sz="4" w:space="0"/>
              <w:right w:val="single" w:color="auto" w:sz="4" w:space="0"/>
            </w:tcBorders>
            <w:noWrap/>
            <w:vAlign w:val="center"/>
          </w:tcPr>
          <w:p w14:paraId="65419281">
            <w:pPr>
              <w:jc w:val="right"/>
              <w:rPr>
                <w:rFonts w:hint="default" w:ascii="Times New Roman" w:hAnsi="Times New Roman" w:eastAsia="宋体" w:cs="Times New Roman"/>
                <w:i w:val="0"/>
                <w:iCs w:val="0"/>
                <w:color w:val="000000"/>
                <w:sz w:val="20"/>
                <w:szCs w:val="20"/>
                <w:highlight w:val="none"/>
                <w:u w:val="none"/>
              </w:rPr>
            </w:pPr>
          </w:p>
        </w:tc>
      </w:tr>
      <w:tr w14:paraId="02D2C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0F62D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543C8F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5B77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DB6D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1218" w:type="pct"/>
            <w:tcBorders>
              <w:top w:val="single" w:color="auto" w:sz="4" w:space="0"/>
              <w:left w:val="single" w:color="auto" w:sz="4" w:space="0"/>
              <w:bottom w:val="single" w:color="auto" w:sz="4" w:space="0"/>
              <w:right w:val="single" w:color="auto" w:sz="4" w:space="0"/>
            </w:tcBorders>
            <w:noWrap/>
            <w:vAlign w:val="center"/>
          </w:tcPr>
          <w:p w14:paraId="05AEA391">
            <w:pPr>
              <w:jc w:val="right"/>
              <w:rPr>
                <w:rFonts w:hint="default" w:ascii="Times New Roman" w:hAnsi="Times New Roman" w:eastAsia="宋体" w:cs="Times New Roman"/>
                <w:i w:val="0"/>
                <w:iCs w:val="0"/>
                <w:color w:val="000000"/>
                <w:sz w:val="20"/>
                <w:szCs w:val="20"/>
                <w:highlight w:val="none"/>
                <w:u w:val="none"/>
              </w:rPr>
            </w:pPr>
          </w:p>
        </w:tc>
      </w:tr>
      <w:tr w14:paraId="43014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3AD2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DDE1E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B6F3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7633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1218" w:type="pct"/>
            <w:tcBorders>
              <w:top w:val="single" w:color="auto" w:sz="4" w:space="0"/>
              <w:left w:val="single" w:color="auto" w:sz="4" w:space="0"/>
              <w:bottom w:val="single" w:color="auto" w:sz="4" w:space="0"/>
              <w:right w:val="single" w:color="auto" w:sz="4" w:space="0"/>
            </w:tcBorders>
            <w:noWrap/>
            <w:vAlign w:val="center"/>
          </w:tcPr>
          <w:p w14:paraId="1FCB005A">
            <w:pPr>
              <w:jc w:val="right"/>
              <w:rPr>
                <w:rFonts w:hint="default" w:ascii="Times New Roman" w:hAnsi="Times New Roman" w:eastAsia="宋体" w:cs="Times New Roman"/>
                <w:i w:val="0"/>
                <w:iCs w:val="0"/>
                <w:color w:val="000000"/>
                <w:sz w:val="20"/>
                <w:szCs w:val="20"/>
                <w:highlight w:val="none"/>
                <w:u w:val="none"/>
              </w:rPr>
            </w:pPr>
          </w:p>
        </w:tc>
      </w:tr>
      <w:tr w14:paraId="3C15D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3D27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12B8CD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F79A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1BCB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3.16</w:t>
            </w:r>
          </w:p>
        </w:tc>
        <w:tc>
          <w:tcPr>
            <w:tcW w:w="1218" w:type="pct"/>
            <w:tcBorders>
              <w:top w:val="single" w:color="auto" w:sz="4" w:space="0"/>
              <w:left w:val="single" w:color="auto" w:sz="4" w:space="0"/>
              <w:bottom w:val="single" w:color="auto" w:sz="4" w:space="0"/>
              <w:right w:val="single" w:color="auto" w:sz="4" w:space="0"/>
            </w:tcBorders>
            <w:noWrap/>
            <w:vAlign w:val="center"/>
          </w:tcPr>
          <w:p w14:paraId="67522EAB">
            <w:pPr>
              <w:jc w:val="right"/>
              <w:rPr>
                <w:rFonts w:hint="default" w:ascii="Times New Roman" w:hAnsi="Times New Roman" w:eastAsia="宋体" w:cs="Times New Roman"/>
                <w:i w:val="0"/>
                <w:iCs w:val="0"/>
                <w:color w:val="000000"/>
                <w:sz w:val="20"/>
                <w:szCs w:val="20"/>
                <w:highlight w:val="none"/>
                <w:u w:val="none"/>
              </w:rPr>
            </w:pPr>
          </w:p>
        </w:tc>
      </w:tr>
      <w:tr w14:paraId="396BD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90AA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66F66B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92FA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9C88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1218" w:type="pct"/>
            <w:tcBorders>
              <w:top w:val="single" w:color="auto" w:sz="4" w:space="0"/>
              <w:left w:val="single" w:color="auto" w:sz="4" w:space="0"/>
              <w:bottom w:val="single" w:color="auto" w:sz="4" w:space="0"/>
              <w:right w:val="single" w:color="auto" w:sz="4" w:space="0"/>
            </w:tcBorders>
            <w:noWrap/>
            <w:vAlign w:val="center"/>
          </w:tcPr>
          <w:p w14:paraId="2ECF19B4">
            <w:pPr>
              <w:jc w:val="right"/>
              <w:rPr>
                <w:rFonts w:hint="default" w:ascii="Times New Roman" w:hAnsi="Times New Roman" w:eastAsia="宋体" w:cs="Times New Roman"/>
                <w:i w:val="0"/>
                <w:iCs w:val="0"/>
                <w:color w:val="000000"/>
                <w:sz w:val="20"/>
                <w:szCs w:val="20"/>
                <w:highlight w:val="none"/>
                <w:u w:val="none"/>
              </w:rPr>
            </w:pPr>
          </w:p>
        </w:tc>
      </w:tr>
      <w:tr w14:paraId="2FCCD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9048F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45140D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8C8C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FB52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1218" w:type="pct"/>
            <w:tcBorders>
              <w:top w:val="single" w:color="auto" w:sz="4" w:space="0"/>
              <w:left w:val="single" w:color="auto" w:sz="4" w:space="0"/>
              <w:bottom w:val="single" w:color="auto" w:sz="4" w:space="0"/>
              <w:right w:val="single" w:color="auto" w:sz="4" w:space="0"/>
            </w:tcBorders>
            <w:noWrap/>
            <w:vAlign w:val="center"/>
          </w:tcPr>
          <w:p w14:paraId="60DC2466">
            <w:pPr>
              <w:jc w:val="right"/>
              <w:rPr>
                <w:rFonts w:hint="default" w:ascii="Times New Roman" w:hAnsi="Times New Roman" w:eastAsia="宋体" w:cs="Times New Roman"/>
                <w:i w:val="0"/>
                <w:iCs w:val="0"/>
                <w:color w:val="000000"/>
                <w:sz w:val="20"/>
                <w:szCs w:val="20"/>
                <w:highlight w:val="none"/>
                <w:u w:val="none"/>
              </w:rPr>
            </w:pPr>
          </w:p>
        </w:tc>
      </w:tr>
      <w:tr w14:paraId="4C8C0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D28A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6D50A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30EE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38D4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4.76</w:t>
            </w:r>
          </w:p>
        </w:tc>
        <w:tc>
          <w:tcPr>
            <w:tcW w:w="1218" w:type="pct"/>
            <w:tcBorders>
              <w:top w:val="single" w:color="auto" w:sz="4" w:space="0"/>
              <w:left w:val="single" w:color="auto" w:sz="4" w:space="0"/>
              <w:bottom w:val="single" w:color="auto" w:sz="4" w:space="0"/>
              <w:right w:val="single" w:color="auto" w:sz="4" w:space="0"/>
            </w:tcBorders>
            <w:noWrap/>
            <w:vAlign w:val="center"/>
          </w:tcPr>
          <w:p w14:paraId="48B3B3D4">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部门（单位）：中国共产主义青年团石家庄市桥西区委员会</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（本级）</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49.88</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4.93</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17.28</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0.17</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7.66</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9.83</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4.46</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1.74</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3.16</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1.47</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0.40</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4.76</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0.03</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1.24</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0.41</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0.28</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1.86</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49.88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4.93</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部门（单位）：中国共产主义青年团石家庄市桥西区委员会（本级）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部门（单位）：中国共产主义青年团石家庄市桥西区委员会（本级）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部门（单位）：中国共产主义青年团石家庄市桥西区委员会</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footerReference r:id="rId9"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AA0C69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部门</w:t>
      </w:r>
      <w:r>
        <w:rPr>
          <w:rFonts w:ascii="Times New Roman" w:eastAsia="黑体"/>
          <w:b w:val="0"/>
          <w:sz w:val="44"/>
          <w:szCs w:val="44"/>
        </w:rPr>
        <w:t>决算情况说明</w:t>
      </w:r>
    </w:p>
    <w:p w14:paraId="654F037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361DB8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2024年度收、支总计（含结转和结余）均为74.29万元。与2023年度决算相比，收支各减少37.43万元，下降33.5%，主要原因是</w:t>
      </w:r>
      <w:r>
        <w:rPr>
          <w:rFonts w:hint="eastAsia" w:ascii="Times New Roman" w:hAnsi="Times New Roman" w:eastAsia="仿宋_GB2312" w:cs="Times New Roman"/>
          <w:sz w:val="32"/>
          <w:szCs w:val="32"/>
          <w:lang w:eastAsia="zh-CN"/>
        </w:rPr>
        <w:t>人员调出</w:t>
      </w:r>
      <w:r>
        <w:rPr>
          <w:rFonts w:hint="eastAsia" w:ascii="Times New Roman" w:hAnsi="Times New Roman" w:eastAsia="仿宋_GB2312" w:cs="Times New Roman"/>
          <w:sz w:val="32"/>
          <w:szCs w:val="32"/>
          <w:lang w:val="en-US" w:eastAsia="zh-CN"/>
        </w:rPr>
        <w:t>1人</w:t>
      </w:r>
      <w:r>
        <w:rPr>
          <w:rFonts w:ascii="Times New Roman" w:eastAsia="仿宋_GB2312"/>
          <w:b w:val="0"/>
          <w:sz w:val="32"/>
          <w:szCs w:val="32"/>
        </w:rPr>
        <w:t>。</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3B5720C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3781EE8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本年收入合计73.53万元，其中：财政拨款收入73.53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2826832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3F61EC8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2024年度本年支出合计74.29万元，其中：基本支出54.80万元，占73.8%；项目支出19.49万元，占26.2%；上缴上级支出0.00万元，占0.0%；经营支出0.00万元，占0.0%；对附属单位补助支出0.00万元，占0.0%。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BCC7A4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2347E70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639EF2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2024年度财政拨款收、支总计（含结转和结余）均为74.29万元。与2023年度相比，财政拨款收支各减少37.43万元，降低33.5%，主要原因是</w:t>
      </w:r>
      <w:r>
        <w:rPr>
          <w:rFonts w:hint="eastAsia" w:ascii="Times New Roman" w:hAnsi="Times New Roman" w:eastAsia="仿宋_GB2312" w:cs="Times New Roman"/>
          <w:sz w:val="32"/>
          <w:szCs w:val="32"/>
          <w:lang w:eastAsia="zh-CN"/>
        </w:rPr>
        <w:t>人员调出</w:t>
      </w:r>
      <w:r>
        <w:rPr>
          <w:rFonts w:hint="eastAsia" w:ascii="Times New Roman" w:hAnsi="Times New Roman" w:eastAsia="仿宋_GB2312" w:cs="Times New Roman"/>
          <w:sz w:val="32"/>
          <w:szCs w:val="32"/>
          <w:lang w:val="en-US" w:eastAsia="zh-CN"/>
        </w:rPr>
        <w:t>1人</w:t>
      </w:r>
      <w:r>
        <w:rPr>
          <w:rFonts w:ascii="Times New Roman" w:eastAsia="仿宋_GB2312"/>
          <w:b w:val="0"/>
          <w:sz w:val="32"/>
          <w:szCs w:val="32"/>
        </w:rPr>
        <w:t>。</w:t>
      </w:r>
    </w:p>
    <w:p w14:paraId="6D8CED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2024年度财政拨款本年收入73.53万元,比上年减少38.20万元，降低34.2%，主要原因是</w:t>
      </w:r>
      <w:r>
        <w:rPr>
          <w:rFonts w:hint="eastAsia" w:ascii="Times New Roman" w:hAnsi="Times New Roman" w:eastAsia="仿宋_GB2312" w:cs="Times New Roman"/>
          <w:sz w:val="32"/>
          <w:szCs w:val="32"/>
          <w:lang w:eastAsia="zh-CN"/>
        </w:rPr>
        <w:t>人员调出</w:t>
      </w:r>
      <w:r>
        <w:rPr>
          <w:rFonts w:hint="eastAsia" w:ascii="Times New Roman" w:hAnsi="Times New Roman" w:eastAsia="仿宋_GB2312" w:cs="Times New Roman"/>
          <w:sz w:val="32"/>
          <w:szCs w:val="32"/>
          <w:lang w:val="en-US" w:eastAsia="zh-CN"/>
        </w:rPr>
        <w:t>1人</w:t>
      </w:r>
      <w:r>
        <w:rPr>
          <w:rFonts w:ascii="Times New Roman" w:eastAsia="仿宋_GB2312"/>
          <w:b w:val="0"/>
          <w:sz w:val="32"/>
          <w:szCs w:val="32"/>
        </w:rPr>
        <w:t>；本年支出74.29万元，比上年减少36.67万元，降低33.0%，主要原因是</w:t>
      </w:r>
      <w:r>
        <w:rPr>
          <w:rFonts w:hint="eastAsia" w:ascii="Times New Roman" w:hAnsi="Times New Roman" w:eastAsia="仿宋_GB2312" w:cs="Times New Roman"/>
          <w:sz w:val="32"/>
          <w:szCs w:val="32"/>
          <w:lang w:eastAsia="zh-CN"/>
        </w:rPr>
        <w:t>人员调出</w:t>
      </w:r>
      <w:r>
        <w:rPr>
          <w:rFonts w:hint="eastAsia" w:ascii="Times New Roman" w:hAnsi="Times New Roman" w:eastAsia="仿宋_GB2312" w:cs="Times New Roman"/>
          <w:sz w:val="32"/>
          <w:szCs w:val="32"/>
          <w:lang w:val="en-US" w:eastAsia="zh-CN"/>
        </w:rPr>
        <w:t>1人</w:t>
      </w:r>
      <w:r>
        <w:rPr>
          <w:rFonts w:ascii="Times New Roman" w:eastAsia="仿宋_GB2312"/>
          <w:b w:val="0"/>
          <w:sz w:val="32"/>
          <w:szCs w:val="32"/>
        </w:rPr>
        <w:t>。具体情况如下：</w:t>
      </w:r>
    </w:p>
    <w:p w14:paraId="31E89FA7">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一般公共预算财政拨款本年收入73.53万元,比上年减少38.20万元，降低34.2%，主要原因是</w:t>
      </w:r>
      <w:r>
        <w:rPr>
          <w:rFonts w:hint="eastAsia" w:ascii="Times New Roman" w:hAnsi="Times New Roman" w:eastAsia="仿宋_GB2312" w:cs="Times New Roman"/>
          <w:sz w:val="32"/>
          <w:szCs w:val="32"/>
          <w:lang w:eastAsia="zh-CN"/>
        </w:rPr>
        <w:t>人员调出</w:t>
      </w:r>
      <w:r>
        <w:rPr>
          <w:rFonts w:hint="eastAsia" w:ascii="Times New Roman" w:hAnsi="Times New Roman" w:eastAsia="仿宋_GB2312" w:cs="Times New Roman"/>
          <w:sz w:val="32"/>
          <w:szCs w:val="32"/>
          <w:lang w:val="en-US" w:eastAsia="zh-CN"/>
        </w:rPr>
        <w:t>1人</w:t>
      </w:r>
      <w:r>
        <w:rPr>
          <w:rFonts w:ascii="Times New Roman" w:eastAsia="仿宋_GB2312"/>
          <w:b w:val="0"/>
          <w:sz w:val="32"/>
          <w:szCs w:val="32"/>
        </w:rPr>
        <w:t>；本年支出74.29万元，比上年减少36.67万元，降低33.0%，主要原因是</w:t>
      </w:r>
      <w:r>
        <w:rPr>
          <w:rFonts w:hint="eastAsia" w:ascii="Times New Roman" w:hAnsi="Times New Roman" w:eastAsia="仿宋_GB2312" w:cs="Times New Roman"/>
          <w:sz w:val="32"/>
          <w:szCs w:val="32"/>
          <w:lang w:eastAsia="zh-CN"/>
        </w:rPr>
        <w:t>人员调出</w:t>
      </w:r>
      <w:r>
        <w:rPr>
          <w:rFonts w:hint="eastAsia" w:ascii="Times New Roman" w:hAnsi="Times New Roman" w:eastAsia="仿宋_GB2312" w:cs="Times New Roman"/>
          <w:sz w:val="32"/>
          <w:szCs w:val="32"/>
          <w:lang w:val="en-US" w:eastAsia="zh-CN"/>
        </w:rPr>
        <w:t>1人</w:t>
      </w:r>
      <w:r>
        <w:rPr>
          <w:rFonts w:ascii="Times New Roman" w:eastAsia="仿宋_GB2312"/>
          <w:b w:val="0"/>
          <w:sz w:val="32"/>
          <w:szCs w:val="32"/>
        </w:rPr>
        <w:t>。</w:t>
      </w:r>
    </w:p>
    <w:p w14:paraId="6BF353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政府性基金预算财政拨款本年收入0.00万元，比上年增加0.00万元，增长0.00%；本年支出0.00万元，比上年增加0.00万元，增长0.00%。</w:t>
      </w:r>
    </w:p>
    <w:p w14:paraId="50BEFA9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国有资本经营预算财政拨款本年收入0.00万元，比上年增加0.00万元，增长0.00%；本年支出0.00万元，比上年增加0.00万元，增长0.00%。</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5F5EEF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1FF0534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2024年度财政拨款本年收入73.53万元，完成年初预算的97.0%，比年初预算减少2.27万元，决算数小于预算数主要原因是 ；本年支出74.29万元，完成年初预算的98.0%，比年初预算减少1.51万元，决算数小于预算数主要原因是</w:t>
      </w:r>
      <w:r>
        <w:rPr>
          <w:rFonts w:hint="eastAsia" w:ascii="Times New Roman" w:hAnsi="Times New Roman" w:eastAsia="仿宋_GB2312" w:cs="Times New Roman"/>
          <w:sz w:val="32"/>
          <w:szCs w:val="32"/>
          <w:lang w:eastAsia="zh-CN"/>
        </w:rPr>
        <w:t>人员调出</w:t>
      </w:r>
      <w:r>
        <w:rPr>
          <w:rFonts w:hint="eastAsia" w:ascii="Times New Roman" w:hAnsi="Times New Roman" w:eastAsia="仿宋_GB2312" w:cs="Times New Roman"/>
          <w:sz w:val="32"/>
          <w:szCs w:val="32"/>
          <w:lang w:val="en-US" w:eastAsia="zh-CN"/>
        </w:rPr>
        <w:t>1人</w:t>
      </w:r>
      <w:r>
        <w:rPr>
          <w:rFonts w:ascii="Times New Roman" w:eastAsia="仿宋_GB2312"/>
          <w:b w:val="0"/>
          <w:sz w:val="32"/>
          <w:szCs w:val="32"/>
        </w:rPr>
        <w:t> 。具体情况如下：</w:t>
      </w:r>
    </w:p>
    <w:p w14:paraId="7482E5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一般公共预算财政拨款本年收入完成年初预算的97.0%，比年初预算减少2.27万元，主要原因是；支出完成年初预算的98.0%，比年初预算减少1.51万元，主要原因是</w:t>
      </w:r>
      <w:r>
        <w:rPr>
          <w:rFonts w:hint="eastAsia" w:ascii="Times New Roman" w:hAnsi="Times New Roman" w:eastAsia="仿宋_GB2312" w:cs="Times New Roman"/>
          <w:sz w:val="32"/>
          <w:szCs w:val="32"/>
          <w:lang w:eastAsia="zh-CN"/>
        </w:rPr>
        <w:t>人员调出</w:t>
      </w:r>
      <w:r>
        <w:rPr>
          <w:rFonts w:hint="eastAsia" w:ascii="Times New Roman" w:hAnsi="Times New Roman" w:eastAsia="仿宋_GB2312" w:cs="Times New Roman"/>
          <w:sz w:val="32"/>
          <w:szCs w:val="32"/>
          <w:lang w:val="en-US" w:eastAsia="zh-CN"/>
        </w:rPr>
        <w:t>1人</w:t>
      </w:r>
      <w:r>
        <w:rPr>
          <w:rFonts w:ascii="Times New Roman" w:eastAsia="仿宋_GB2312"/>
          <w:b w:val="0"/>
          <w:sz w:val="32"/>
          <w:szCs w:val="32"/>
        </w:rPr>
        <w:t>。</w:t>
      </w:r>
    </w:p>
    <w:p w14:paraId="2ED07E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2. </w:t>
      </w:r>
      <w:r>
        <w:rPr>
          <w:rFonts w:ascii="Times New Roman" w:hAnsi="Times New Roman" w:eastAsia="仿宋_GB2312" w:cs="Times New Roman"/>
          <w:sz w:val="32"/>
          <w:szCs w:val="32"/>
        </w:rPr>
        <w:t>政府性基金预算财政拨款本年收入完成年初预算</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本单位无此项支出</w:t>
      </w:r>
      <w:r>
        <w:rPr>
          <w:rFonts w:ascii="Times New Roman" w:hAnsi="Times New Roman" w:eastAsia="仿宋_GB2312" w:cs="Times New Roman"/>
          <w:sz w:val="32"/>
          <w:szCs w:val="32"/>
        </w:rPr>
        <w:t>；支出完成年初预算</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本单位无此项支出</w:t>
      </w:r>
      <w:r>
        <w:rPr>
          <w:rFonts w:ascii="Times New Roman" w:hAnsi="Times New Roman" w:eastAsia="仿宋_GB2312" w:cs="Times New Roman"/>
          <w:sz w:val="32"/>
          <w:szCs w:val="32"/>
        </w:rPr>
        <w:t>。</w:t>
      </w:r>
    </w:p>
    <w:p w14:paraId="395F3107">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eastAsia="仿宋_GB2312"/>
          <w:b w:val="0"/>
          <w:sz w:val="32"/>
          <w:szCs w:val="32"/>
        </w:rPr>
        <w:t xml:space="preserve">3. </w:t>
      </w:r>
      <w:r>
        <w:rPr>
          <w:rFonts w:ascii="Times New Roman" w:hAnsi="Times New Roman" w:eastAsia="仿宋_GB2312" w:cs="Times New Roman"/>
          <w:sz w:val="32"/>
          <w:szCs w:val="32"/>
        </w:rPr>
        <w:t>国有资本经营预算财政拨款本年收入完成年初预算</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本单位无此项支出</w:t>
      </w:r>
      <w:r>
        <w:rPr>
          <w:rFonts w:ascii="Times New Roman" w:hAnsi="Times New Roman" w:eastAsia="仿宋_GB2312" w:cs="Times New Roman"/>
          <w:sz w:val="32"/>
          <w:szCs w:val="32"/>
        </w:rPr>
        <w:t>；支出完成年初预算</w:t>
      </w:r>
      <w:r>
        <w:rPr>
          <w:rFonts w:hint="eastAsia" w:ascii="Times New Roman" w:hAnsi="Times New Roman" w:eastAsia="仿宋_GB2312" w:cs="Times New Roman"/>
          <w:sz w:val="32"/>
          <w:szCs w:val="32"/>
          <w:lang w:val="en-US" w:eastAsia="zh-CN"/>
        </w:rPr>
        <w:t>0</w:t>
      </w:r>
      <w:r>
        <w:rPr>
          <w:rFonts w:ascii="Times New Roman" w:hAnsi="Times New Roman" w:eastAsia="仿宋_GB2312" w:cs="Times New Roman"/>
          <w:sz w:val="32"/>
          <w:szCs w:val="32"/>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本单位无此项支出</w:t>
      </w:r>
      <w:r>
        <w:rPr>
          <w:rFonts w:ascii="Times New Roman" w:hAnsi="Times New Roman" w:eastAsia="仿宋_GB2312" w:cs="Times New Roman"/>
          <w:sz w:val="32"/>
          <w:szCs w:val="32"/>
        </w:rPr>
        <w:t>。</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C1AC85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06AF5E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2024年度财政拨款支出74.29万元，主要用于以下方面：</w:t>
      </w:r>
    </w:p>
    <w:p w14:paraId="122FC9B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189119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一般公共服务（类）支出​61.91万元，占​83.3​%，主要用于</w:t>
      </w:r>
      <w:r>
        <w:rPr>
          <w:rFonts w:hint="eastAsia" w:ascii="Times New Roman" w:eastAsia="仿宋_GB2312"/>
          <w:b w:val="0"/>
          <w:sz w:val="32"/>
          <w:szCs w:val="32"/>
          <w:lang w:eastAsia="zh-CN"/>
        </w:rPr>
        <w:t>基本工资、绩效工资、奖金</w:t>
      </w:r>
      <w:r>
        <w:rPr>
          <w:rFonts w:ascii="Times New Roman" w:eastAsia="仿宋_GB2312"/>
          <w:b w:val="0"/>
          <w:sz w:val="32"/>
          <w:szCs w:val="32"/>
        </w:rPr>
        <w:t>等支出；外交（类）支出0.00万元，占0.0%；国防（类）支出0.00万元，占0.0%；公共安全类（类）支出0.00万元，占0.0%；教育（类）支出0.00万元，占0.0%；科学技术（类）支出</w:t>
      </w:r>
      <w:r>
        <w:rPr>
          <w:rFonts w:hint="eastAsia" w:ascii="Times New Roman" w:eastAsia="仿宋_GB2312"/>
          <w:b w:val="0"/>
          <w:sz w:val="32"/>
          <w:szCs w:val="32"/>
          <w:lang w:val="en-US" w:eastAsia="zh-CN"/>
        </w:rPr>
        <w:t>0</w:t>
      </w:r>
      <w:r>
        <w:rPr>
          <w:rFonts w:ascii="Times New Roman" w:eastAsia="仿宋_GB2312"/>
          <w:b w:val="0"/>
          <w:sz w:val="32"/>
          <w:szCs w:val="32"/>
        </w:rPr>
        <w:t>.00万元，占0.0%；文化旅游体育与传媒（类）支出0.00万元，占0.0%；社会保障和就业（类）支出4.46万元，占6.0​%，主要用于</w:t>
      </w:r>
      <w:r>
        <w:rPr>
          <w:rFonts w:hint="eastAsia" w:ascii="Times New Roman" w:hAnsi="Times New Roman" w:eastAsia="仿宋_GB2312" w:cs="Times New Roman"/>
          <w:sz w:val="32"/>
          <w:szCs w:val="32"/>
          <w:lang w:eastAsia="zh-CN"/>
        </w:rPr>
        <w:t>养老保险单位部分</w:t>
      </w:r>
      <w:r>
        <w:rPr>
          <w:rFonts w:ascii="Times New Roman" w:eastAsia="仿宋_GB2312"/>
          <w:b w:val="0"/>
          <w:sz w:val="32"/>
          <w:szCs w:val="32"/>
        </w:rPr>
        <w:t>等支出；卫生健康（类）支出3.16万元，占4.3%，主要用于</w:t>
      </w:r>
      <w:r>
        <w:rPr>
          <w:rFonts w:hint="eastAsia" w:ascii="Times New Roman" w:hAnsi="Times New Roman" w:eastAsia="仿宋_GB2312" w:cs="Times New Roman"/>
          <w:sz w:val="32"/>
          <w:szCs w:val="32"/>
          <w:lang w:eastAsia="zh-CN"/>
        </w:rPr>
        <w:t>医疗保险单位部分</w:t>
      </w:r>
      <w:r>
        <w:rPr>
          <w:rFonts w:ascii="Times New Roman" w:eastAsia="仿宋_GB2312"/>
          <w:b w:val="0"/>
          <w:sz w:val="32"/>
          <w:szCs w:val="32"/>
        </w:rPr>
        <w:t>等支出；节能环保（类）支出0.00万元，占0.0%；城乡社区（类）支出0.00万元，占0.0​%；农林水（类）支出0.00万元，占0.0%；交通运输（类）支出0.00万元，占0.0​%；资源勘探信息等（类）支出0.00万元，占0.0%；商业服务业等（类）支出0.00​万元，占0.0%；金融（类）支出0.00万元，占0.0%，主要用于等支出；援助其他地区（类）支出0.00万元，占0.0​%；自然资源海洋气象等（类）支出0.00万元，占0.0%，主要用于等支出；住房保障（类）支出4.76万元，占6.4%，主要用于</w:t>
      </w:r>
      <w:r>
        <w:rPr>
          <w:rFonts w:hint="eastAsia" w:ascii="Times New Roman" w:hAnsi="Times New Roman" w:eastAsia="仿宋_GB2312" w:cs="Times New Roman"/>
          <w:sz w:val="32"/>
          <w:szCs w:val="32"/>
          <w:lang w:eastAsia="zh-CN"/>
        </w:rPr>
        <w:t>住房公积金单位</w:t>
      </w:r>
      <w:r>
        <w:rPr>
          <w:rFonts w:ascii="Times New Roman" w:eastAsia="仿宋_GB2312"/>
          <w:b w:val="0"/>
          <w:sz w:val="32"/>
          <w:szCs w:val="32"/>
        </w:rPr>
        <w:t>等支出；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A26583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1419E3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2024年度财政拨款基本支出54.80万元，其中：</w:t>
      </w:r>
    </w:p>
    <w:p w14:paraId="54ECBAF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人员经费​49.88​万元，主要包括基本工资、津贴补贴、奖金</w:t>
      </w:r>
      <w:r>
        <w:rPr>
          <w:rFonts w:hint="eastAsia" w:ascii="Times New Roman" w:eastAsia="仿宋_GB2312"/>
          <w:b w:val="0"/>
          <w:sz w:val="32"/>
          <w:szCs w:val="32"/>
          <w:lang w:eastAsia="zh-CN"/>
        </w:rPr>
        <w:t>、</w:t>
      </w:r>
      <w:r>
        <w:rPr>
          <w:rFonts w:ascii="Times New Roman" w:eastAsia="仿宋_GB2312"/>
          <w:b w:val="0"/>
          <w:sz w:val="32"/>
          <w:szCs w:val="32"/>
        </w:rPr>
        <w:t>机关事业部门基本养老保险缴费、职工基本医疗保险缴费、公务员医疗补助缴费、住房公积金、其他社会保障缴费、其他工资福利支出、奖励金、其他对个人和家庭的补助支出。</w:t>
      </w:r>
    </w:p>
    <w:p w14:paraId="31D49C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公用经费4.93万元，主要包括办公费、印刷费、邮电费、差旅费、工会经费、福利费</w:t>
      </w:r>
      <w:bookmarkStart w:id="0" w:name="_GoBack"/>
      <w:bookmarkEnd w:id="0"/>
      <w:r>
        <w:rPr>
          <w:rFonts w:ascii="Times New Roman" w:eastAsia="仿宋_GB2312"/>
          <w:b w:val="0"/>
          <w:sz w:val="32"/>
          <w:szCs w:val="32"/>
        </w:rPr>
        <w:t>、其他交通费用其他商品和服务支出。</w:t>
      </w:r>
    </w:p>
    <w:p w14:paraId="04AA39A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3CB7349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8365C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本部门2024年度“三公”经费财政拨款支出预算为0.00万元，支出决算为0.00万元，完成预算的0.0%，较预算增加0.00万元，增长0.0%，主要原因是；较2023年度决算增加0.00万元，增长0.00%，主要原因是</w:t>
      </w:r>
      <w:r>
        <w:rPr>
          <w:rFonts w:hint="eastAsia" w:ascii="Times New Roman" w:eastAsia="仿宋_GB2312"/>
          <w:b w:val="0"/>
          <w:sz w:val="32"/>
          <w:szCs w:val="32"/>
          <w:lang w:val="zh-CN"/>
        </w:rPr>
        <w:t>本单位无此项支出</w:t>
      </w:r>
      <w:r>
        <w:rPr>
          <w:rFonts w:ascii="Times New Roman" w:eastAsia="仿宋_GB2312"/>
          <w:b w:val="0"/>
          <w:sz w:val="32"/>
          <w:szCs w:val="32"/>
        </w:rPr>
        <w:t>。</w:t>
      </w:r>
    </w:p>
    <w:p w14:paraId="7DD4265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8ED5C9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w:t>
      </w:r>
      <w:r>
        <w:rPr>
          <w:rFonts w:hint="eastAsia" w:ascii="Times New Roman" w:hAnsi="Times New Roman" w:eastAsia="仿宋_GB2312" w:cs="Times New Roman"/>
          <w:kern w:val="2"/>
          <w:sz w:val="32"/>
          <w:szCs w:val="32"/>
          <w:lang w:val="zh-CN"/>
        </w:rPr>
        <w:t>本单位无此项支出</w:t>
      </w:r>
      <w:r>
        <w:rPr>
          <w:rFonts w:ascii="Times New Roman" w:eastAsia="仿宋_GB2312"/>
          <w:b w:val="0"/>
          <w:sz w:val="32"/>
          <w:szCs w:val="32"/>
        </w:rPr>
        <w:t>；较上年增加0.00万元，增长0.00%,主要原因是</w:t>
      </w:r>
      <w:r>
        <w:rPr>
          <w:rFonts w:hint="eastAsia" w:ascii="Times New Roman" w:hAnsi="Times New Roman" w:eastAsia="仿宋_GB2312" w:cs="Times New Roman"/>
          <w:kern w:val="2"/>
          <w:sz w:val="32"/>
          <w:szCs w:val="32"/>
          <w:lang w:val="zh-CN"/>
        </w:rPr>
        <w:t>本单位无此项支出</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人/无本部门组织的出国（境）团组。</w:t>
      </w:r>
    </w:p>
    <w:p w14:paraId="3C39C7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2024年度公务用车购置及运行维护费预算为0.00万元，支出决算0.00万元，完成预算的0.0%,较预算增加0.00万元，增长0.0%,主要原因是；较上年增加0.00万元，增长0.00%,主要原因是。其中：</w:t>
      </w:r>
    </w:p>
    <w:p w14:paraId="489053B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2024年度公务用车购置量0辆，发生“公务用车购置”经费支出0.00 万元。公务用车购置费支出较预算增加0.00万元，增长0.0%,主要原因是</w:t>
      </w:r>
      <w:r>
        <w:rPr>
          <w:rFonts w:hint="eastAsia" w:ascii="Times New Roman" w:hAnsi="Times New Roman" w:eastAsia="仿宋_GB2312" w:cs="Times New Roman"/>
          <w:kern w:val="2"/>
          <w:sz w:val="32"/>
          <w:szCs w:val="32"/>
          <w:lang w:val="zh-CN"/>
        </w:rPr>
        <w:t>本单位无此项支出</w:t>
      </w:r>
      <w:r>
        <w:rPr>
          <w:rFonts w:ascii="Times New Roman" w:eastAsia="仿宋_GB2312"/>
          <w:b w:val="0"/>
          <w:sz w:val="32"/>
          <w:szCs w:val="32"/>
        </w:rPr>
        <w:t>；较上年增加0.00万元，增长0.00%,主要原因是</w:t>
      </w:r>
      <w:r>
        <w:rPr>
          <w:rFonts w:hint="eastAsia" w:ascii="Times New Roman" w:hAnsi="Times New Roman" w:eastAsia="仿宋_GB2312" w:cs="Times New Roman"/>
          <w:kern w:val="2"/>
          <w:sz w:val="32"/>
          <w:szCs w:val="32"/>
          <w:lang w:val="zh-CN"/>
        </w:rPr>
        <w:t>本单位无此项支出</w:t>
      </w:r>
      <w:r>
        <w:rPr>
          <w:rFonts w:ascii="Times New Roman" w:eastAsia="仿宋_GB2312"/>
          <w:b w:val="0"/>
          <w:sz w:val="32"/>
          <w:szCs w:val="32"/>
        </w:rPr>
        <w:t>。</w:t>
      </w:r>
    </w:p>
    <w:p w14:paraId="70C11C7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2024年度单位公务用车保有量0辆，发生运行维护费支出0.00万元。公车运行维护费支出较预算增加0.00万元，增长0.0%,主要原因是</w:t>
      </w:r>
      <w:r>
        <w:rPr>
          <w:rFonts w:hint="eastAsia" w:ascii="Times New Roman" w:hAnsi="Times New Roman" w:eastAsia="仿宋_GB2312" w:cs="Times New Roman"/>
          <w:kern w:val="2"/>
          <w:sz w:val="32"/>
          <w:szCs w:val="32"/>
          <w:lang w:val="zh-CN"/>
        </w:rPr>
        <w:t>本单位无此项支出</w:t>
      </w:r>
      <w:r>
        <w:rPr>
          <w:rFonts w:ascii="Times New Roman" w:eastAsia="仿宋_GB2312"/>
          <w:b w:val="0"/>
          <w:sz w:val="32"/>
          <w:szCs w:val="32"/>
        </w:rPr>
        <w:t>；较上年增加0.00万元，增长0.00%，主要原因是</w:t>
      </w:r>
      <w:r>
        <w:rPr>
          <w:rFonts w:hint="eastAsia" w:ascii="Times New Roman" w:hAnsi="Times New Roman" w:eastAsia="仿宋_GB2312" w:cs="Times New Roman"/>
          <w:kern w:val="2"/>
          <w:sz w:val="32"/>
          <w:szCs w:val="32"/>
          <w:lang w:val="zh-CN"/>
        </w:rPr>
        <w:t>本单位无此项支出</w:t>
      </w:r>
      <w:r>
        <w:rPr>
          <w:rFonts w:ascii="Times New Roman" w:eastAsia="仿宋_GB2312"/>
          <w:b w:val="0"/>
          <w:sz w:val="32"/>
          <w:szCs w:val="32"/>
        </w:rPr>
        <w:t>。</w:t>
      </w:r>
    </w:p>
    <w:p w14:paraId="3FB5288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2024年度公务接待费支出预算为0.00万元，支出决算0.00万元，完成预算的0.0%。公务接待费支出较预算增加0.00万元，增长0.0%,主要原因是</w:t>
      </w:r>
      <w:r>
        <w:rPr>
          <w:rFonts w:hint="eastAsia" w:ascii="Times New Roman" w:hAnsi="Times New Roman" w:eastAsia="仿宋_GB2312" w:cs="Times New Roman"/>
          <w:kern w:val="2"/>
          <w:sz w:val="32"/>
          <w:szCs w:val="32"/>
          <w:lang w:val="zh-CN"/>
        </w:rPr>
        <w:t>本单位无此项支出</w:t>
      </w:r>
      <w:r>
        <w:rPr>
          <w:rFonts w:ascii="Times New Roman" w:eastAsia="仿宋_GB2312"/>
          <w:b w:val="0"/>
          <w:sz w:val="32"/>
          <w:szCs w:val="32"/>
        </w:rPr>
        <w:t>；较上年度增加0.00万元，增长0.00%,主要原因是</w:t>
      </w:r>
      <w:r>
        <w:rPr>
          <w:rFonts w:hint="eastAsia" w:ascii="Times New Roman" w:hAnsi="Times New Roman" w:eastAsia="仿宋_GB2312" w:cs="Times New Roman"/>
          <w:kern w:val="2"/>
          <w:sz w:val="32"/>
          <w:szCs w:val="32"/>
          <w:lang w:val="zh-CN"/>
        </w:rPr>
        <w:t>本单位无此项支出</w:t>
      </w:r>
      <w:r>
        <w:rPr>
          <w:rFonts w:ascii="Times New Roman" w:eastAsia="仿宋_GB2312"/>
          <w:b w:val="0"/>
          <w:sz w:val="32"/>
          <w:szCs w:val="32"/>
        </w:rPr>
        <w:t>。本年度共发生公务接待0批次、0人次。</w:t>
      </w:r>
    </w:p>
    <w:p w14:paraId="686D4B3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0082F8B9">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2024年度机关运行经费支出4.93万元，较2023年度减少1.72万元，降低25.9%。主要原因是</w:t>
      </w:r>
      <w:r>
        <w:rPr>
          <w:rFonts w:hint="eastAsia" w:ascii="Times New Roman" w:hAnsi="Times New Roman" w:eastAsia="仿宋_GB2312" w:cs="Times New Roman"/>
          <w:color w:val="auto"/>
          <w:kern w:val="2"/>
          <w:sz w:val="32"/>
          <w:szCs w:val="32"/>
          <w:lang w:val="zh-CN" w:eastAsia="zh-CN" w:bidi="ar-SA"/>
        </w:rPr>
        <w:t>厉行节约，有效控制支出</w:t>
      </w:r>
      <w:r>
        <w:rPr>
          <w:rFonts w:ascii="Times New Roman" w:hAnsi="Times New Roman" w:eastAsia="仿宋_GB2312" w:cs="Times New Roman"/>
          <w:sz w:val="32"/>
          <w:szCs w:val="32"/>
        </w:rPr>
        <w:t>。</w:t>
      </w:r>
    </w:p>
    <w:p w14:paraId="04565DF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5817B11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3A89C34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672B58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eastAsia="zh-CN"/>
        </w:rPr>
        <w:t>单位</w:t>
      </w:r>
      <w:r>
        <w:rPr>
          <w:rFonts w:ascii="Times New Roman" w:eastAsia="仿宋_GB2312"/>
          <w:b w:val="0"/>
          <w:sz w:val="32"/>
          <w:szCs w:val="32"/>
        </w:rPr>
        <w:t>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14:paraId="1BC1145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3ECEA88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6F2669E1">
      <w:pPr>
        <w:spacing w:line="579" w:lineRule="exact"/>
        <w:ind w:firstLine="640" w:firstLineChars="200"/>
        <w:rPr>
          <w:rFonts w:hint="eastAsia" w:ascii="仿宋_GB2312" w:eastAsia="仿宋_GB2312" w:cs="楷体"/>
          <w:color w:val="000000"/>
          <w:kern w:val="0"/>
          <w:sz w:val="32"/>
          <w:szCs w:val="32"/>
          <w:lang w:val="zh-CN"/>
        </w:rPr>
      </w:pPr>
      <w:r>
        <w:rPr>
          <w:rFonts w:hint="eastAsia" w:ascii="仿宋_GB2312" w:eastAsia="仿宋_GB2312" w:cs="楷体"/>
          <w:color w:val="000000"/>
          <w:kern w:val="0"/>
          <w:sz w:val="32"/>
          <w:szCs w:val="32"/>
          <w:highlight w:val="none"/>
          <w:lang w:val="zh-CN"/>
        </w:rPr>
        <w:t>根据预算绩效管理要求，本单位</w:t>
      </w:r>
      <w:r>
        <w:rPr>
          <w:rFonts w:hint="eastAsia" w:ascii="仿宋_GB2312" w:eastAsia="仿宋_GB2312" w:cs="楷体"/>
          <w:color w:val="000000"/>
          <w:kern w:val="0"/>
          <w:sz w:val="32"/>
          <w:szCs w:val="32"/>
          <w:lang w:val="zh-CN"/>
        </w:rPr>
        <w:t>组织对2024年度本级预算项目支出全面开展绩效自评，共涉及资金</w:t>
      </w:r>
      <w:r>
        <w:rPr>
          <w:rFonts w:hint="eastAsia" w:ascii="Times New Roman" w:hAnsi="Times New Roman" w:eastAsia="仿宋_GB2312" w:cs="Times New Roman"/>
          <w:sz w:val="32"/>
          <w:szCs w:val="32"/>
          <w:lang w:val="en-US" w:eastAsia="zh-CN"/>
        </w:rPr>
        <w:t>19.49</w:t>
      </w:r>
      <w:r>
        <w:rPr>
          <w:rFonts w:hint="eastAsia" w:ascii="仿宋_GB2312" w:eastAsia="仿宋_GB2312" w:cs="楷体"/>
          <w:color w:val="000000"/>
          <w:kern w:val="0"/>
          <w:sz w:val="32"/>
          <w:szCs w:val="32"/>
          <w:lang w:val="zh-CN"/>
        </w:rPr>
        <w:t>万元（决算金额）。其中，一般公共预算项目</w:t>
      </w:r>
      <w:r>
        <w:rPr>
          <w:rFonts w:hint="eastAsia" w:ascii="Times New Roman" w:hAnsi="Times New Roman" w:eastAsia="仿宋_GB2312" w:cs="Times New Roman"/>
          <w:sz w:val="32"/>
          <w:szCs w:val="32"/>
          <w:lang w:val="en-US" w:eastAsia="zh-CN"/>
        </w:rPr>
        <w:t>5</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19.49</w:t>
      </w:r>
      <w:r>
        <w:rPr>
          <w:rFonts w:hint="eastAsia" w:ascii="仿宋_GB2312" w:eastAsia="仿宋_GB2312" w:cs="楷体"/>
          <w:color w:val="000000"/>
          <w:kern w:val="0"/>
          <w:sz w:val="32"/>
          <w:szCs w:val="32"/>
          <w:lang w:val="zh-CN"/>
        </w:rPr>
        <w:t>万元，占一般公共预算项目支出总额的100%；政府性基金预算项目</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万元，占政府性基金预算项目支出总额的</w:t>
      </w:r>
      <w:r>
        <w:rPr>
          <w:rFonts w:hint="eastAsia" w:ascii="仿宋_GB2312" w:eastAsia="仿宋_GB2312" w:cs="楷体"/>
          <w:color w:val="000000"/>
          <w:kern w:val="0"/>
          <w:sz w:val="32"/>
          <w:szCs w:val="32"/>
          <w:lang w:val="en-US" w:eastAsia="zh-CN"/>
        </w:rPr>
        <w:t>0</w:t>
      </w:r>
      <w:r>
        <w:rPr>
          <w:rFonts w:hint="eastAsia" w:ascii="仿宋_GB2312" w:eastAsia="仿宋_GB2312" w:cs="楷体"/>
          <w:color w:val="000000"/>
          <w:kern w:val="0"/>
          <w:sz w:val="32"/>
          <w:szCs w:val="32"/>
          <w:lang w:val="zh-CN"/>
        </w:rPr>
        <w:t>%；国有资本经营预算项目</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个，涉及资金</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万元，占国有资本经营预算项目支出总额的</w:t>
      </w:r>
      <w:r>
        <w:rPr>
          <w:rFonts w:hint="eastAsia" w:ascii="仿宋_GB2312" w:eastAsia="仿宋_GB2312" w:cs="楷体"/>
          <w:color w:val="000000"/>
          <w:kern w:val="0"/>
          <w:sz w:val="32"/>
          <w:szCs w:val="32"/>
          <w:lang w:val="en-US" w:eastAsia="zh-CN"/>
        </w:rPr>
        <w:t>0</w:t>
      </w:r>
      <w:r>
        <w:rPr>
          <w:rFonts w:hint="eastAsia" w:ascii="仿宋_GB2312" w:eastAsia="仿宋_GB2312" w:cs="楷体"/>
          <w:color w:val="000000"/>
          <w:kern w:val="0"/>
          <w:sz w:val="32"/>
          <w:szCs w:val="32"/>
          <w:lang w:val="zh-CN"/>
        </w:rPr>
        <w:t>%。</w:t>
      </w:r>
    </w:p>
    <w:p w14:paraId="53F7B424">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一、坚持强化思想引领，促进广大青年牢记使命担当</w:t>
      </w:r>
    </w:p>
    <w:p w14:paraId="2F7B50C8">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（一）不断强化思想引领</w:t>
      </w:r>
    </w:p>
    <w:p w14:paraId="28D6D72F">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是举办2024年“青马工程”培训班。为深入学习贯彻习近平新时代中国特色社会主义思想，认真落实习近平总书记关于青年工作的重要思想，加强我区团干部队伍建设和共青团标准化建设，7月2日上午，共青团桥西区委举办了2024年“青马工程”培训班，团区委机关干部、非公企业团组织负责人、团属社会组织负责人、街道团工委书记、青少年事务工作者、中学团委书记、中职团委书记、少先队大队辅导员以及桥西区青联委员等100余人参加此次培训。二是组织召开纪念五四运动105周年座谈会。为纪念五四运动105周年，大力弘扬五四运动精神，增强团员和青年使命感、责任感，4月28日上午，桥西区纪念五四运动105周年座谈会在区委1001会议室召开，全国优秀共青团员代表，在优化营商环境中涌现出来的优秀青年代表，为桥西经济社会发展做出突出贡献的青年，创新创业、社会服务、基层治理等领域的青年代表，品牌项目培树的职业青年人才代表等40余人参加，9位优秀青年代表逐一发言，区委书记孙鹏云出席并讲话，对共青团和青年提出明确要求和殷切期望。三是宣讲党的二十届三中全会精神。为认真学习宣传党的二十届三中全会精神，切实把广大青年的思想和行动统一到全会精神上来，按照区委有关要求，团区委于9月19日召开了党的二十届三中全会精神宣讲会，各中学团委书记、各街道团委书记和青少年事务工作者以及部分桥西区青联委员参加了会议。</w:t>
      </w:r>
    </w:p>
    <w:p w14:paraId="5509E756">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（二）扎实做好团员发展相关工作</w:t>
      </w:r>
    </w:p>
    <w:p w14:paraId="765D0E56">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是做好各项工作部署。坚持把学校团组织工作特别是发展团员工作作为政治责任抓好落实，先后于4月16日和9月19日，组织各中学、中职学校团委书记发展团员工作部署会，明确全年和各阶段工作任务和要求；二是积极迎接上级团委调研。4月19日上午，团市委一行先后到石家庄市第四十一中学、第十七中学和石家庄铁路职业高级技工学校、法商中等专业学校调研发展团员工作，察看发展团员各环节档案、公示内容等规范性建设情况，并提出指导意见。9月14日上午，团省委副书记孙贺一行到我区第四十一中学、第十七中学调研团员发展调控工作，调研组一行详细了解了发展团员各环节规范性建设情况，以及各学校发展团员工作中遇到的问题。三是保质保量完成发展任务。按照上级团委工作安排和部署，分别于5月、10月集中力量从严审核4000余份入团志愿书，圆满完成了全年工作任务。</w:t>
      </w:r>
    </w:p>
    <w:p w14:paraId="6AFBE19D">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（三）举办2024年少先队辅导员技能大赛</w:t>
      </w:r>
    </w:p>
    <w:p w14:paraId="5C0B4549">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为全面贯彻党的二十大精神，深入落实习近平总书记关于少年儿童和少先队工作的重要论述，加强我区少先队辅导员队伍建设，提升少先队辅导员专业素养，5月14日至16日，桥西区少工委举办了2024年桥西区少先队辅导员技能大赛。参赛辅导员围绕学习二十大，提升辅导员素质的主题，紧紧围绕对2023年本职岗位上的重点工作的思考进行呈现。聚焦少先队主责主业，围绕深入推进少先队改革，坚持组织教育、自主教育、实践教育相统一，从少先队活动课程、红领巾研学、少先队制度建设及阵地建设、少先队小干部培养等内容出发，采用PPT、微视频、图文解说等多种形式展示了所在学校少先队自身建设、开展少先队特色工作和少先队活动案例。</w:t>
      </w:r>
    </w:p>
    <w:p w14:paraId="376DE819">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二、坚持服务青年工作生命线，凝聚广大青年团结奋斗助力桥西建设</w:t>
      </w:r>
    </w:p>
    <w:p w14:paraId="0E6DD41D">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是召开第六次青年联席会。6月26日上午，桥西区青年工作联席会议第六次全体会议召开，区政府副区长安立辉，30余个成员单位相关负责同志参加。会上传达了中长期青年发展规划实施工作部际联席会议第六次全体会议精神、河北省中长期青年发展规划联席会议第六次全体会议精神；汇报了桥西区落实《河北省中长期青年发展规划（2018-2025年）》2023年工作进展情况及2024年度重点工作说明；审议通过了《桥西区落实&lt;河北省中长期青年发展规划（2018-2025年）&gt;2024年度重点工作（草案）》。二是开展“返家乡”社会实践活动。继续深入实施“桑梓计划”大学生专题——2024年青年英才“返家乡”社会实践活动，对接各街道和区直各部门，期间累计联系55个区直部门，发布岗位120余个，400余名大学生报名，140人被录取到相关单位参加社会实践，反响热烈；同时，联合区委组织部和区保密局组织70多名返家乡大学生举行了2024年暑期大学生“返家乡”社会实践启动仪式暨岗前培训会。</w:t>
      </w:r>
    </w:p>
    <w:p w14:paraId="266F0586">
      <w:pPr>
        <w:spacing w:line="579"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三、逐步拓宽团的基层组织基础，推动成立桥西区青年联合会</w:t>
      </w:r>
    </w:p>
    <w:p w14:paraId="1798ECA5">
      <w:pPr>
        <w:spacing w:line="579" w:lineRule="exact"/>
        <w:ind w:firstLine="640" w:firstLineChars="200"/>
        <w:rPr>
          <w:rFonts w:ascii="仿宋_GB2312" w:eastAsia="仿宋_GB2312" w:cs="楷体"/>
          <w:color w:val="000000"/>
          <w:kern w:val="0"/>
          <w:sz w:val="32"/>
          <w:szCs w:val="32"/>
          <w:lang w:val="zh-CN"/>
        </w:rPr>
      </w:pPr>
      <w:r>
        <w:rPr>
          <w:rFonts w:hint="eastAsia" w:ascii="仿宋" w:hAnsi="仿宋" w:eastAsia="仿宋" w:cs="黑体"/>
          <w:kern w:val="2"/>
          <w:sz w:val="32"/>
          <w:szCs w:val="32"/>
          <w:lang w:val="en-US" w:eastAsia="zh-CN" w:bidi="ar-SA"/>
        </w:rPr>
        <w:t>按照团市委有关要求，团区委扎实推动成立桥西区青年联合会。5月21日上午，桥西区青年联合会第一届委员会全体会议胜利召开。团市委书记王玮，团市委副书记李庆赟，区政府副区长安立辉，区人大常委会副主任赵欢，区政协副主席赵国海出席会议开幕式。来自全区各界百余名青联委员齐聚一堂，共商青联发展大计，共话青年美好未来。大会审议通过了《桥西区青年联合会第一届委员会选举办法（草案）》，《桥西区青年联合会第一届委员会全体会议总监票人、监票人建议名单（草案）》等，以无记名投票方式选举产生了桥西区青年联合会第一届委员会主席1名、副主席3名、常务委员17名。</w:t>
      </w:r>
    </w:p>
    <w:p w14:paraId="146173DE">
      <w:pPr>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cs="楷体"/>
          <w:color w:val="000000"/>
          <w:kern w:val="0"/>
          <w:sz w:val="32"/>
          <w:szCs w:val="32"/>
          <w:lang w:val="en-US" w:eastAsia="zh-CN"/>
        </w:rPr>
      </w:pPr>
      <w:r>
        <w:rPr>
          <w:rFonts w:hint="eastAsia" w:ascii="仿宋_GB2312" w:eastAsia="仿宋_GB2312" w:cs="楷体"/>
          <w:color w:val="000000"/>
          <w:kern w:val="0"/>
          <w:sz w:val="32"/>
          <w:szCs w:val="32"/>
          <w:lang w:val="zh-CN"/>
        </w:rPr>
        <w:t>组织对“</w:t>
      </w:r>
      <w:r>
        <w:rPr>
          <w:rFonts w:hint="eastAsia" w:ascii="Times New Roman" w:hAnsi="Times New Roman" w:eastAsia="仿宋_GB2312" w:cs="Times New Roman"/>
          <w:sz w:val="32"/>
          <w:szCs w:val="32"/>
          <w:lang w:eastAsia="zh-CN"/>
        </w:rPr>
        <w:t>团组织阵地建设</w:t>
      </w:r>
      <w:r>
        <w:rPr>
          <w:rFonts w:hint="eastAsia" w:ascii="仿宋_GB2312" w:eastAsia="仿宋_GB2312" w:cs="楷体"/>
          <w:color w:val="000000"/>
          <w:kern w:val="0"/>
          <w:sz w:val="32"/>
          <w:szCs w:val="32"/>
          <w:lang w:val="zh-CN"/>
        </w:rPr>
        <w:t>”</w:t>
      </w:r>
      <w:r>
        <w:rPr>
          <w:rFonts w:hint="eastAsia" w:ascii="仿宋_GB2312" w:eastAsia="仿宋_GB2312" w:cs="楷体"/>
          <w:color w:val="000000"/>
          <w:kern w:val="0"/>
          <w:sz w:val="32"/>
          <w:szCs w:val="32"/>
          <w:lang w:val="en-US" w:eastAsia="zh-CN"/>
        </w:rPr>
        <w:t>1</w:t>
      </w:r>
      <w:r>
        <w:rPr>
          <w:rFonts w:hint="eastAsia" w:ascii="仿宋_GB2312" w:eastAsia="仿宋_GB2312" w:cs="楷体"/>
          <w:color w:val="000000"/>
          <w:kern w:val="0"/>
          <w:sz w:val="32"/>
          <w:szCs w:val="32"/>
          <w:lang w:val="zh-CN"/>
        </w:rPr>
        <w:t>个项目开展了部门重点评价，涉及一般公共预算支出</w:t>
      </w:r>
      <w:r>
        <w:rPr>
          <w:rFonts w:hint="eastAsia" w:ascii="Times New Roman" w:hAnsi="Times New Roman" w:eastAsia="仿宋_GB2312" w:cs="Times New Roman"/>
          <w:sz w:val="32"/>
          <w:szCs w:val="32"/>
          <w:lang w:val="en-US" w:eastAsia="zh-CN"/>
        </w:rPr>
        <w:t>8</w:t>
      </w:r>
      <w:r>
        <w:rPr>
          <w:rFonts w:hint="eastAsia" w:ascii="仿宋_GB2312" w:eastAsia="仿宋_GB2312" w:cs="楷体"/>
          <w:color w:val="000000"/>
          <w:kern w:val="0"/>
          <w:sz w:val="32"/>
          <w:szCs w:val="32"/>
          <w:lang w:val="zh-CN"/>
        </w:rPr>
        <w:t>万元，政府性基金预算支出</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万元，国有资本经营预算支出</w:t>
      </w:r>
      <w:r>
        <w:rPr>
          <w:rFonts w:hint="eastAsia" w:ascii="Times New Roman" w:hAnsi="Times New Roman" w:eastAsia="仿宋_GB2312" w:cs="Times New Roman"/>
          <w:sz w:val="32"/>
          <w:szCs w:val="32"/>
          <w:lang w:val="en-US" w:eastAsia="zh-CN"/>
        </w:rPr>
        <w:t>0</w:t>
      </w:r>
      <w:r>
        <w:rPr>
          <w:rFonts w:hint="eastAsia" w:ascii="仿宋_GB2312" w:eastAsia="仿宋_GB2312" w:cs="楷体"/>
          <w:color w:val="000000"/>
          <w:kern w:val="0"/>
          <w:sz w:val="32"/>
          <w:szCs w:val="32"/>
          <w:lang w:val="zh-CN"/>
        </w:rPr>
        <w:t>万元。从评价情况来看，</w:t>
      </w:r>
      <w:r>
        <w:rPr>
          <w:rFonts w:hint="eastAsia" w:ascii="仿宋_GB2312" w:eastAsia="仿宋_GB2312" w:cs="楷体"/>
          <w:color w:val="000000"/>
          <w:kern w:val="0"/>
          <w:sz w:val="32"/>
          <w:szCs w:val="32"/>
          <w:lang w:val="en-US" w:eastAsia="zh-CN"/>
        </w:rPr>
        <w:t>该项目通过各青年之家开展形式多样的活动，让更多的青少年参与到活动中来并受益；通过开展相关活动和工作，加大对未成年人教育和引导，预防和减少青少年犯罪的发生；通过开展活动，丰富少先队员课余文化生活、规范校队室建设、强化少先队辅导员业务水平。</w:t>
      </w:r>
    </w:p>
    <w:p w14:paraId="4141653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4DF429CE">
      <w:pPr>
        <w:adjustRightInd w:val="0"/>
        <w:snapToGrid w:val="0"/>
        <w:spacing w:line="580" w:lineRule="exact"/>
        <w:ind w:firstLine="640" w:firstLineChars="200"/>
        <w:rPr>
          <w:rFonts w:ascii="Times New Roman" w:hAnsi="Times New Roman" w:eastAsia="仿宋_GB2312" w:cs="Times New Roman"/>
          <w:b/>
          <w:color w:val="FF0000"/>
          <w:sz w:val="32"/>
          <w:szCs w:val="32"/>
        </w:rPr>
      </w:pPr>
      <w:r>
        <w:rPr>
          <w:rFonts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ascii="Times New Roman" w:hAnsi="Times New Roman" w:eastAsia="仿宋_GB2312" w:cs="Times New Roman"/>
          <w:sz w:val="32"/>
          <w:szCs w:val="32"/>
        </w:rPr>
        <w:t>在今年部门决算公开中反映</w:t>
      </w:r>
      <w:r>
        <w:rPr>
          <w:rFonts w:hint="eastAsia" w:ascii="Times New Roman" w:hAnsi="Times New Roman" w:eastAsia="仿宋_GB2312" w:cs="Times New Roman"/>
          <w:sz w:val="32"/>
          <w:szCs w:val="32"/>
          <w:lang w:eastAsia="zh-CN"/>
        </w:rPr>
        <w:t>团组织阵地建设</w:t>
      </w:r>
      <w:r>
        <w:rPr>
          <w:rFonts w:ascii="Times New Roman" w:hAnsi="Times New Roman" w:eastAsia="仿宋_GB2312" w:cs="Times New Roman"/>
          <w:sz w:val="32"/>
          <w:szCs w:val="32"/>
        </w:rPr>
        <w:t>项目及</w:t>
      </w:r>
      <w:r>
        <w:rPr>
          <w:rFonts w:hint="eastAsia" w:ascii="Times New Roman" w:hAnsi="Times New Roman" w:eastAsia="仿宋_GB2312" w:cs="Times New Roman"/>
          <w:sz w:val="32"/>
          <w:szCs w:val="32"/>
          <w:lang w:eastAsia="zh-CN"/>
        </w:rPr>
        <w:t>团委各项活动经费</w:t>
      </w:r>
      <w:r>
        <w:rPr>
          <w:rFonts w:ascii="Times New Roman" w:hAnsi="Times New Roman" w:eastAsia="仿宋_GB2312" w:cs="Times New Roman"/>
          <w:sz w:val="32"/>
          <w:szCs w:val="32"/>
        </w:rPr>
        <w:t>项目等</w:t>
      </w:r>
      <w:r>
        <w:rPr>
          <w:rFonts w:hint="eastAsia" w:ascii="Times New Roman" w:hAnsi="Times New Roman" w:eastAsia="仿宋_GB2312" w:cs="Times New Roman"/>
          <w:sz w:val="32"/>
          <w:szCs w:val="32"/>
          <w:lang w:val="en-US" w:eastAsia="zh-CN"/>
        </w:rPr>
        <w:t>5</w:t>
      </w:r>
      <w:r>
        <w:rPr>
          <w:rFonts w:ascii="Times New Roman" w:hAnsi="Times New Roman" w:eastAsia="仿宋_GB2312" w:cs="Times New Roman"/>
          <w:sz w:val="32"/>
          <w:szCs w:val="32"/>
        </w:rPr>
        <w:t>个项目绩效自评结果。</w:t>
      </w:r>
    </w:p>
    <w:p w14:paraId="58229D10">
      <w:pPr>
        <w:adjustRightInd w:val="0"/>
        <w:snapToGrid w:val="0"/>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团委各项活动经费</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团委各项活动经费</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7</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7</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w:t>
      </w:r>
      <w:r>
        <w:rPr>
          <w:rFonts w:hint="default" w:ascii="Times New Roman" w:hAnsi="Times New Roman" w:eastAsia="仿宋_GB2312" w:cs="Times New Roman"/>
          <w:color w:val="auto"/>
          <w:kern w:val="2"/>
          <w:sz w:val="32"/>
          <w:szCs w:val="32"/>
          <w:lang w:val="zh-CN" w:eastAsia="zh-CN" w:bidi="ar-SA"/>
        </w:rPr>
        <w:t>项目绩效目标完成情况：</w:t>
      </w:r>
      <w:r>
        <w:rPr>
          <w:rFonts w:hint="eastAsia" w:ascii="仿宋_GB2312" w:hAnsi="仿宋_GB2312" w:eastAsia="仿宋_GB2312" w:cs="仿宋_GB2312"/>
          <w:sz w:val="32"/>
          <w:szCs w:val="32"/>
        </w:rPr>
        <w:t>该项目整体运行良好，内控制度制定及执行良好。该项目整体运行良好，内控制度制定及执行良好。深入学习贯彻习近平新时代中国特色社会主义思想，团结带领全区广大团员青年深入开展党的二十大精神的学习宣传贯彻活动，认真落实习近平总书记关于青年工作的重要思想，强化共青团政治属性，紧紧围绕党委工作中心，服务大局，按照“凝聚青年、服务大局、当好桥梁、从严治团”的工作思路，不断创新工作方法，推进桥西区共青团工作科学发展，</w:t>
      </w:r>
      <w:r>
        <w:rPr>
          <w:rFonts w:hint="eastAsia" w:ascii="Times New Roman" w:hAnsi="Times New Roman" w:eastAsia="仿宋_GB2312" w:cs="Times New Roman"/>
          <w:color w:val="auto"/>
          <w:kern w:val="2"/>
          <w:sz w:val="32"/>
          <w:szCs w:val="32"/>
          <w:lang w:val="zh-CN" w:eastAsia="zh-CN" w:bidi="ar-SA"/>
        </w:rPr>
        <w:t>未发现问题。</w:t>
      </w:r>
    </w:p>
    <w:p w14:paraId="5D47DFA0">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团组织阵地建设经费</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团组织阵地建设经费</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96</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8</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8</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w:t>
      </w:r>
      <w:r>
        <w:rPr>
          <w:rFonts w:hint="default" w:ascii="Times New Roman" w:hAnsi="Times New Roman" w:eastAsia="仿宋_GB2312" w:cs="Times New Roman"/>
          <w:color w:val="auto"/>
          <w:kern w:val="2"/>
          <w:sz w:val="32"/>
          <w:szCs w:val="32"/>
          <w:lang w:val="zh-CN" w:eastAsia="zh-CN" w:bidi="ar-SA"/>
        </w:rPr>
        <w:t>该项目整体运行良好，执行情况良好。团结带领全区广大团员青年深入开展党的二十大精神的学习宣传贯彻活动，认真落实习近平总书记关于青年工作的重要思想，强化共青团政治属性，紧紧围绕党委工作中心，服务大局，按照“凝聚青年、服务大局、当好桥梁、从严治团”的工作思路，不断创新工作方法，推进桥西区共青团工作科学发展，青年之家改造升级，为各街道青年之家活动提供资金支持，有效丰富街道青年之家活动，丰富青少年业余生活。下一年度将继续保证财政资金使用效率和效果，保证工作正常运转</w:t>
      </w:r>
      <w:r>
        <w:rPr>
          <w:rFonts w:hint="eastAsia" w:ascii="Times New Roman" w:hAnsi="Times New Roman" w:eastAsia="仿宋_GB2312" w:cs="Times New Roman"/>
          <w:color w:val="auto"/>
          <w:kern w:val="2"/>
          <w:sz w:val="32"/>
          <w:szCs w:val="32"/>
          <w:lang w:val="zh-CN" w:eastAsia="zh-CN" w:bidi="ar-SA"/>
        </w:rPr>
        <w:t>。未发现问题。</w:t>
      </w:r>
    </w:p>
    <w:p w14:paraId="3E96D40E">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Times New Roman" w:hAnsi="Times New Roman" w:eastAsia="仿宋_GB2312" w:cs="Times New Roman"/>
          <w:sz w:val="32"/>
          <w:szCs w:val="32"/>
          <w:lang w:eastAsia="zh-CN"/>
        </w:rPr>
        <w:t>青年发展工作经费</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青年发展工作经费</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3</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3</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w:t>
      </w:r>
      <w:r>
        <w:rPr>
          <w:rFonts w:hint="eastAsia" w:ascii="仿宋_GB2312" w:hAnsi="仿宋_GB2312" w:eastAsia="仿宋_GB2312" w:cs="仿宋_GB2312"/>
          <w:sz w:val="32"/>
          <w:szCs w:val="32"/>
          <w:lang w:eastAsia="zh-CN"/>
        </w:rPr>
        <w:t>该项目整体运行良好，提升了就业服务能力，推进教育均衡发展，推进健康桥西建设，增强社会保障能力，促进青年高质量发展，内控制度制定及执行良好。下一年度将继续保证财政资金使用效率和效果，保证工作正常运转。</w:t>
      </w:r>
      <w:r>
        <w:rPr>
          <w:rFonts w:hint="eastAsia" w:ascii="Times New Roman" w:hAnsi="Times New Roman" w:eastAsia="仿宋_GB2312" w:cs="Times New Roman"/>
          <w:color w:val="auto"/>
          <w:kern w:val="2"/>
          <w:sz w:val="32"/>
          <w:szCs w:val="32"/>
          <w:lang w:val="zh-CN" w:eastAsia="zh-CN" w:bidi="ar-SA"/>
        </w:rPr>
        <w:t>未发现问题。</w:t>
      </w:r>
    </w:p>
    <w:p w14:paraId="7679CB7F">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sz w:val="32"/>
          <w:szCs w:val="32"/>
          <w:lang w:eastAsia="zh-CN"/>
        </w:rPr>
        <w:t>代理记账服务经费</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，代理记账服务经费</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0.84</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0.84</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w:t>
      </w:r>
      <w:r>
        <w:rPr>
          <w:rFonts w:hint="default" w:ascii="Times New Roman" w:hAnsi="Times New Roman" w:eastAsia="仿宋_GB2312" w:cs="Times New Roman"/>
          <w:color w:val="auto"/>
          <w:kern w:val="2"/>
          <w:sz w:val="32"/>
          <w:szCs w:val="32"/>
          <w:lang w:val="zh-CN" w:eastAsia="zh-CN" w:bidi="ar-SA"/>
        </w:rPr>
        <w:t>该项目运行良好，有效完成财务记账、决算、固定资产等相关数据的处理工作。下一年度将继续保证财政资金使用效率和效果，保证工作正常运转。</w:t>
      </w:r>
      <w:r>
        <w:rPr>
          <w:rFonts w:hint="eastAsia" w:ascii="Times New Roman" w:hAnsi="Times New Roman" w:eastAsia="仿宋_GB2312" w:cs="Times New Roman"/>
          <w:color w:val="auto"/>
          <w:kern w:val="2"/>
          <w:sz w:val="32"/>
          <w:szCs w:val="32"/>
          <w:lang w:val="zh-CN" w:eastAsia="zh-CN" w:bidi="ar-SA"/>
        </w:rPr>
        <w:t>未发现问题。</w:t>
      </w:r>
    </w:p>
    <w:p w14:paraId="31D66B37">
      <w:pPr>
        <w:adjustRightInd w:val="0"/>
        <w:snapToGrid w:val="0"/>
        <w:spacing w:line="580" w:lineRule="exact"/>
        <w:ind w:firstLine="640" w:firstLineChars="200"/>
        <w:rPr>
          <w:rFonts w:hint="eastAsia"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sz w:val="32"/>
          <w:szCs w:val="32"/>
          <w:lang w:eastAsia="zh-CN"/>
        </w:rPr>
        <w:t>国产电脑购置替换</w:t>
      </w:r>
      <w:r>
        <w:rPr>
          <w:rFonts w:ascii="Times New Roman" w:hAnsi="Times New Roman" w:eastAsia="仿宋_GB2312" w:cs="Times New Roman"/>
          <w:sz w:val="32"/>
          <w:szCs w:val="32"/>
        </w:rPr>
        <w:t>项目绩效自评情况：根据年初设定的绩效目标，</w:t>
      </w:r>
      <w:r>
        <w:rPr>
          <w:rFonts w:hint="eastAsia" w:ascii="Times New Roman" w:hAnsi="Times New Roman" w:eastAsia="仿宋_GB2312" w:cs="Times New Roman"/>
          <w:sz w:val="32"/>
          <w:szCs w:val="32"/>
          <w:lang w:eastAsia="zh-CN"/>
        </w:rPr>
        <w:t>国产电脑购置替换</w:t>
      </w:r>
      <w:r>
        <w:rPr>
          <w:rFonts w:ascii="Times New Roman" w:hAnsi="Times New Roman" w:eastAsia="仿宋_GB2312" w:cs="Times New Roman"/>
          <w:sz w:val="32"/>
          <w:szCs w:val="32"/>
        </w:rPr>
        <w:t>项目绩效自评得分为</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分（绩效自评表附后）。全年预算数为</w:t>
      </w:r>
      <w:r>
        <w:rPr>
          <w:rFonts w:hint="eastAsia" w:ascii="Times New Roman" w:hAnsi="Times New Roman" w:eastAsia="仿宋_GB2312" w:cs="Times New Roman"/>
          <w:sz w:val="32"/>
          <w:szCs w:val="32"/>
          <w:lang w:val="en-US" w:eastAsia="zh-CN"/>
        </w:rPr>
        <w:t>0.65</w:t>
      </w:r>
      <w:r>
        <w:rPr>
          <w:rFonts w:ascii="Times New Roman" w:hAnsi="Times New Roman" w:eastAsia="仿宋_GB2312" w:cs="Times New Roman"/>
          <w:sz w:val="32"/>
          <w:szCs w:val="32"/>
        </w:rPr>
        <w:t>万元，执行数为</w:t>
      </w:r>
      <w:r>
        <w:rPr>
          <w:rFonts w:hint="eastAsia" w:ascii="Times New Roman" w:hAnsi="Times New Roman" w:eastAsia="仿宋_GB2312" w:cs="Times New Roman"/>
          <w:sz w:val="32"/>
          <w:szCs w:val="32"/>
          <w:lang w:val="en-US" w:eastAsia="zh-CN"/>
        </w:rPr>
        <w:t>0.65</w:t>
      </w:r>
      <w:r>
        <w:rPr>
          <w:rFonts w:ascii="Times New Roman" w:hAnsi="Times New Roman" w:eastAsia="仿宋_GB2312" w:cs="Times New Roman"/>
          <w:sz w:val="32"/>
          <w:szCs w:val="32"/>
        </w:rPr>
        <w:t>万元，完成预算的</w:t>
      </w:r>
      <w:r>
        <w:rPr>
          <w:rFonts w:hint="eastAsia" w:ascii="Times New Roman" w:hAnsi="Times New Roman" w:eastAsia="仿宋_GB2312" w:cs="Times New Roman"/>
          <w:sz w:val="32"/>
          <w:szCs w:val="32"/>
          <w:lang w:val="en-US" w:eastAsia="zh-CN"/>
        </w:rPr>
        <w:t>100</w:t>
      </w:r>
      <w:r>
        <w:rPr>
          <w:rFonts w:ascii="Times New Roman" w:hAnsi="Times New Roman" w:eastAsia="仿宋_GB2312" w:cs="Times New Roman"/>
          <w:sz w:val="32"/>
          <w:szCs w:val="32"/>
        </w:rPr>
        <w:t>%。项目绩效目标完成情况：</w:t>
      </w:r>
      <w:r>
        <w:rPr>
          <w:rFonts w:hint="default" w:ascii="Times New Roman" w:hAnsi="Times New Roman" w:eastAsia="仿宋_GB2312" w:cs="Times New Roman"/>
          <w:color w:val="auto"/>
          <w:kern w:val="2"/>
          <w:sz w:val="32"/>
          <w:szCs w:val="32"/>
          <w:lang w:val="zh-CN" w:eastAsia="zh-CN" w:bidi="ar-SA"/>
        </w:rPr>
        <w:t>该项目运行良好，有效完成</w:t>
      </w:r>
      <w:r>
        <w:rPr>
          <w:rFonts w:hint="eastAsia" w:ascii="Times New Roman" w:hAnsi="Times New Roman" w:eastAsia="仿宋_GB2312" w:cs="Times New Roman"/>
          <w:color w:val="auto"/>
          <w:kern w:val="2"/>
          <w:sz w:val="32"/>
          <w:szCs w:val="32"/>
          <w:lang w:val="zh-CN" w:eastAsia="zh-CN" w:bidi="ar-SA"/>
        </w:rPr>
        <w:t>全区工作部署文件要求的国产电脑替代任务，提高工作效率</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未发现问题。</w:t>
      </w:r>
    </w:p>
    <w:p w14:paraId="71F2AE1A">
      <w:pPr>
        <w:adjustRightInd w:val="0"/>
        <w:snapToGrid w:val="0"/>
        <w:spacing w:line="580" w:lineRule="exact"/>
        <w:rPr>
          <w:rFonts w:hint="eastAsia" w:ascii="Times New Roman" w:hAnsi="Times New Roman" w:eastAsia="仿宋_GB2312" w:cs="Times New Roman"/>
          <w:color w:val="auto"/>
          <w:kern w:val="2"/>
          <w:sz w:val="32"/>
          <w:szCs w:val="32"/>
          <w:lang w:val="zh-CN" w:eastAsia="zh-CN" w:bidi="ar-SA"/>
        </w:rPr>
      </w:pPr>
      <w:r>
        <w:drawing>
          <wp:anchor distT="0" distB="0" distL="114300" distR="114300" simplePos="0" relativeHeight="251662336" behindDoc="0" locked="0" layoutInCell="1" allowOverlap="1">
            <wp:simplePos x="0" y="0"/>
            <wp:positionH relativeFrom="column">
              <wp:posOffset>-669925</wp:posOffset>
            </wp:positionH>
            <wp:positionV relativeFrom="paragraph">
              <wp:posOffset>-5631180</wp:posOffset>
            </wp:positionV>
            <wp:extent cx="7092950" cy="9883140"/>
            <wp:effectExtent l="0" t="0" r="12700" b="3810"/>
            <wp:wrapTopAndBottom/>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18"/>
                    <a:stretch>
                      <a:fillRect/>
                    </a:stretch>
                  </pic:blipFill>
                  <pic:spPr>
                    <a:xfrm>
                      <a:off x="0" y="0"/>
                      <a:ext cx="7092950" cy="9883140"/>
                    </a:xfrm>
                    <a:prstGeom prst="rect">
                      <a:avLst/>
                    </a:prstGeom>
                    <a:noFill/>
                    <a:ln>
                      <a:noFill/>
                    </a:ln>
                  </pic:spPr>
                </pic:pic>
              </a:graphicData>
            </a:graphic>
          </wp:anchor>
        </w:drawing>
      </w:r>
    </w:p>
    <w:p w14:paraId="3500A456">
      <w:pPr>
        <w:widowControl/>
        <w:spacing w:before="0" w:beforeLines="0" w:beforeAutospacing="0" w:after="0" w:afterLines="0" w:afterAutospacing="0" w:line="360" w:lineRule="auto"/>
        <w:ind w:firstLine="480" w:firstLineChars="200"/>
        <w:jc w:val="left"/>
        <w:rPr>
          <w:rFonts w:hint="eastAsia" w:ascii="Times New Roman" w:eastAsia="仿宋_GB2312"/>
          <w:sz w:val="32"/>
          <w:szCs w:val="32"/>
          <w:lang w:eastAsia="zh-CN"/>
        </w:rPr>
      </w:pPr>
      <w:r>
        <w:drawing>
          <wp:anchor distT="0" distB="0" distL="114300" distR="114300" simplePos="0" relativeHeight="251664384" behindDoc="0" locked="0" layoutInCell="1" allowOverlap="1">
            <wp:simplePos x="0" y="0"/>
            <wp:positionH relativeFrom="column">
              <wp:posOffset>-869950</wp:posOffset>
            </wp:positionH>
            <wp:positionV relativeFrom="paragraph">
              <wp:posOffset>-638810</wp:posOffset>
            </wp:positionV>
            <wp:extent cx="7546340" cy="8862695"/>
            <wp:effectExtent l="0" t="0" r="16510" b="14605"/>
            <wp:wrapTopAndBottom/>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19"/>
                    <a:stretch>
                      <a:fillRect/>
                    </a:stretch>
                  </pic:blipFill>
                  <pic:spPr>
                    <a:xfrm>
                      <a:off x="0" y="0"/>
                      <a:ext cx="7546340" cy="8862695"/>
                    </a:xfrm>
                    <a:prstGeom prst="rect">
                      <a:avLst/>
                    </a:prstGeom>
                    <a:noFill/>
                    <a:ln>
                      <a:noFill/>
                    </a:ln>
                  </pic:spPr>
                </pic:pic>
              </a:graphicData>
            </a:graphic>
          </wp:anchor>
        </w:drawing>
      </w:r>
    </w:p>
    <w:p w14:paraId="5198E34A">
      <w:pPr>
        <w:widowControl/>
        <w:spacing w:before="0" w:beforeLines="0" w:beforeAutospacing="0" w:after="0" w:afterLines="0" w:afterAutospacing="0" w:line="360" w:lineRule="auto"/>
        <w:ind w:firstLine="480" w:firstLineChars="200"/>
        <w:jc w:val="left"/>
        <w:rPr>
          <w:rFonts w:hint="eastAsia" w:ascii="Times New Roman" w:eastAsia="仿宋_GB2312"/>
          <w:sz w:val="32"/>
          <w:szCs w:val="32"/>
          <w:lang w:eastAsia="zh-CN"/>
        </w:rPr>
      </w:pPr>
      <w:r>
        <w:drawing>
          <wp:anchor distT="0" distB="0" distL="114300" distR="114300" simplePos="0" relativeHeight="251665408" behindDoc="0" locked="0" layoutInCell="1" allowOverlap="1">
            <wp:simplePos x="0" y="0"/>
            <wp:positionH relativeFrom="column">
              <wp:posOffset>-845820</wp:posOffset>
            </wp:positionH>
            <wp:positionV relativeFrom="paragraph">
              <wp:posOffset>-554990</wp:posOffset>
            </wp:positionV>
            <wp:extent cx="7505065" cy="8733155"/>
            <wp:effectExtent l="0" t="0" r="635" b="10795"/>
            <wp:wrapTopAndBottom/>
            <wp:docPr id="1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5"/>
                    <pic:cNvPicPr>
                      <a:picLocks noChangeAspect="1"/>
                    </pic:cNvPicPr>
                  </pic:nvPicPr>
                  <pic:blipFill>
                    <a:blip r:embed="rId20"/>
                    <a:stretch>
                      <a:fillRect/>
                    </a:stretch>
                  </pic:blipFill>
                  <pic:spPr>
                    <a:xfrm>
                      <a:off x="0" y="0"/>
                      <a:ext cx="7505065" cy="8733155"/>
                    </a:xfrm>
                    <a:prstGeom prst="rect">
                      <a:avLst/>
                    </a:prstGeom>
                    <a:noFill/>
                    <a:ln>
                      <a:noFill/>
                    </a:ln>
                  </pic:spPr>
                </pic:pic>
              </a:graphicData>
            </a:graphic>
          </wp:anchor>
        </w:drawing>
      </w:r>
    </w:p>
    <w:p w14:paraId="4B09DD1C">
      <w:pPr>
        <w:widowControl/>
        <w:spacing w:before="0" w:beforeLines="0" w:beforeAutospacing="0" w:after="0" w:afterLines="0" w:afterAutospacing="0" w:line="360" w:lineRule="auto"/>
        <w:ind w:firstLine="480" w:firstLineChars="200"/>
        <w:jc w:val="left"/>
        <w:rPr>
          <w:rFonts w:hint="eastAsia" w:ascii="Times New Roman" w:eastAsia="仿宋_GB2312"/>
          <w:sz w:val="32"/>
          <w:szCs w:val="32"/>
          <w:lang w:eastAsia="zh-CN"/>
        </w:rPr>
      </w:pPr>
      <w:r>
        <w:drawing>
          <wp:anchor distT="0" distB="0" distL="114300" distR="114300" simplePos="0" relativeHeight="251666432" behindDoc="0" locked="0" layoutInCell="1" allowOverlap="1">
            <wp:simplePos x="0" y="0"/>
            <wp:positionH relativeFrom="column">
              <wp:posOffset>-885190</wp:posOffset>
            </wp:positionH>
            <wp:positionV relativeFrom="paragraph">
              <wp:posOffset>-288290</wp:posOffset>
            </wp:positionV>
            <wp:extent cx="7573645" cy="8512175"/>
            <wp:effectExtent l="0" t="0" r="8255" b="3175"/>
            <wp:wrapTopAndBottom/>
            <wp:docPr id="1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
                    <pic:cNvPicPr>
                      <a:picLocks noChangeAspect="1"/>
                    </pic:cNvPicPr>
                  </pic:nvPicPr>
                  <pic:blipFill>
                    <a:blip r:embed="rId21"/>
                    <a:stretch>
                      <a:fillRect/>
                    </a:stretch>
                  </pic:blipFill>
                  <pic:spPr>
                    <a:xfrm>
                      <a:off x="0" y="0"/>
                      <a:ext cx="7573645" cy="8512175"/>
                    </a:xfrm>
                    <a:prstGeom prst="rect">
                      <a:avLst/>
                    </a:prstGeom>
                    <a:noFill/>
                    <a:ln>
                      <a:noFill/>
                    </a:ln>
                  </pic:spPr>
                </pic:pic>
              </a:graphicData>
            </a:graphic>
          </wp:anchor>
        </w:drawing>
      </w:r>
    </w:p>
    <w:p w14:paraId="09BA0717">
      <w:pPr>
        <w:widowControl/>
        <w:spacing w:before="0" w:beforeLines="0" w:beforeAutospacing="0" w:after="0" w:afterLines="0" w:afterAutospacing="0" w:line="360" w:lineRule="auto"/>
        <w:ind w:firstLine="480" w:firstLineChars="200"/>
        <w:jc w:val="left"/>
        <w:rPr>
          <w:rFonts w:hint="eastAsia" w:ascii="Times New Roman" w:eastAsia="仿宋_GB2312"/>
          <w:sz w:val="32"/>
          <w:szCs w:val="32"/>
          <w:lang w:eastAsia="zh-CN"/>
        </w:rPr>
      </w:pPr>
      <w:r>
        <w:drawing>
          <wp:anchor distT="0" distB="0" distL="114300" distR="114300" simplePos="0" relativeHeight="251663360" behindDoc="0" locked="0" layoutInCell="1" allowOverlap="1">
            <wp:simplePos x="0" y="0"/>
            <wp:positionH relativeFrom="column">
              <wp:posOffset>-730885</wp:posOffset>
            </wp:positionH>
            <wp:positionV relativeFrom="paragraph">
              <wp:posOffset>-494030</wp:posOffset>
            </wp:positionV>
            <wp:extent cx="7367905" cy="8244840"/>
            <wp:effectExtent l="0" t="0" r="4445" b="3810"/>
            <wp:wrapTopAndBottom/>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22"/>
                    <a:stretch>
                      <a:fillRect/>
                    </a:stretch>
                  </pic:blipFill>
                  <pic:spPr>
                    <a:xfrm>
                      <a:off x="0" y="0"/>
                      <a:ext cx="7367905" cy="8244840"/>
                    </a:xfrm>
                    <a:prstGeom prst="rect">
                      <a:avLst/>
                    </a:prstGeom>
                    <a:noFill/>
                    <a:ln>
                      <a:noFill/>
                    </a:ln>
                  </pic:spPr>
                </pic:pic>
              </a:graphicData>
            </a:graphic>
          </wp:anchor>
        </w:drawing>
      </w:r>
    </w:p>
    <w:p w14:paraId="1FAE2961">
      <w:pPr>
        <w:numPr>
          <w:ilvl w:val="0"/>
          <w:numId w:val="2"/>
        </w:numPr>
        <w:adjustRightInd w:val="0"/>
        <w:snapToGrid w:val="0"/>
        <w:spacing w:line="580" w:lineRule="exact"/>
        <w:ind w:left="48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部门评价项目绩效评价结果（如有）</w:t>
      </w:r>
    </w:p>
    <w:p w14:paraId="24EE0924">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p>
    <w:p w14:paraId="2B6405FB">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4797B6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w:t>
      </w:r>
      <w:r>
        <w:rPr>
          <w:rFonts w:hint="eastAsia" w:ascii="Times New Roman" w:eastAsia="仿宋_GB2312"/>
          <w:b w:val="0"/>
          <w:sz w:val="32"/>
          <w:szCs w:val="32"/>
          <w:lang w:eastAsia="zh-CN"/>
        </w:rPr>
        <w:t>单位</w:t>
      </w:r>
      <w:r>
        <w:rPr>
          <w:rFonts w:ascii="Times New Roman" w:eastAsia="仿宋_GB2312"/>
          <w:b w:val="0"/>
          <w:sz w:val="32"/>
          <w:szCs w:val="32"/>
        </w:rPr>
        <w:t>2024年度政府性基金预算财政拨款收入支出决算表（公开07表）、国有资本经营预算财政拨款支出决算表（公开08表）、财政拨款“三公”经费支出决算表（公开09表）无相应收支，故空表列示。</w:t>
      </w:r>
    </w:p>
    <w:p w14:paraId="00F877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CCC68B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2294767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1EB6053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43E538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347A23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2607D43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574A7F6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5260D50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17B93C7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4487416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1C3BAA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0B2CA5C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51D6DC1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4907B6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427003B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2F7D941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5C4FCB1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60B3DF4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229A6B9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40FFBCCE-1F8F-4202-8178-776AE0800DDC}"/>
  </w:font>
  <w:font w:name="黑体">
    <w:panose1 w:val="02010609060101010101"/>
    <w:charset w:val="86"/>
    <w:family w:val="auto"/>
    <w:pitch w:val="default"/>
    <w:sig w:usb0="800002BF" w:usb1="38CF7CFA" w:usb2="00000016" w:usb3="00000000" w:csb0="00040001" w:csb1="00000000"/>
    <w:embedRegular r:id="rId2" w:fontKey="{2C72358E-9F80-48CB-9B76-80BA5E49EA2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BBF07B7D-ACAB-4060-A06A-4CC971B87DDC}"/>
  </w:font>
  <w:font w:name="仿宋">
    <w:panose1 w:val="02010609060101010101"/>
    <w:charset w:val="86"/>
    <w:family w:val="modern"/>
    <w:pitch w:val="default"/>
    <w:sig w:usb0="800002BF" w:usb1="38CF7CFA" w:usb2="00000016" w:usb3="00000000" w:csb0="00040001" w:csb1="00000000"/>
    <w:embedRegular r:id="rId4" w:fontKey="{C74E0CA3-ECFD-4609-AAD5-6BBC86A09E9B}"/>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F648D0CD-F337-499E-8388-711DE1964E46}"/>
  </w:font>
  <w:font w:name="方正小标宋_GBK">
    <w:panose1 w:val="03000509000000000000"/>
    <w:charset w:val="86"/>
    <w:family w:val="script"/>
    <w:pitch w:val="default"/>
    <w:sig w:usb0="00000001" w:usb1="080E0000" w:usb2="00000000" w:usb3="00000000" w:csb0="00040000" w:csb1="00000000"/>
    <w:embedRegular r:id="rId6" w:fontKey="{D01510CF-B1ED-40E6-9BE0-094ACE038B0C}"/>
  </w:font>
  <w:font w:name="仿宋_GB2312">
    <w:panose1 w:val="02010609030101010101"/>
    <w:charset w:val="86"/>
    <w:family w:val="auto"/>
    <w:pitch w:val="default"/>
    <w:sig w:usb0="00000001" w:usb1="080E0000" w:usb2="00000000" w:usb3="00000000" w:csb0="00040000" w:csb1="00000000"/>
    <w:embedRegular r:id="rId7" w:fontKey="{EC743799-0DD9-46C6-93D5-EAC063ADB9C0}"/>
  </w:font>
  <w:font w:name="DengXian-Regular">
    <w:altName w:val="宋体"/>
    <w:panose1 w:val="00000000000000000000"/>
    <w:charset w:val="86"/>
    <w:family w:val="auto"/>
    <w:pitch w:val="default"/>
    <w:sig w:usb0="00000000" w:usb1="00000000" w:usb2="00000010" w:usb3="00000000" w:csb0="00040001" w:csb1="00000000"/>
    <w:embedRegular r:id="rId8" w:fontKey="{26A0EC6C-1327-4175-B1A4-8A70E63834BA}"/>
  </w:font>
  <w:font w:name="ArialUnicodeMS">
    <w:altName w:val="Malgun Gothic"/>
    <w:panose1 w:val="00000000000000000000"/>
    <w:charset w:val="81"/>
    <w:family w:val="auto"/>
    <w:pitch w:val="default"/>
    <w:sig w:usb0="00000000" w:usb1="00000000" w:usb2="00000010" w:usb3="00000000" w:csb0="00080001" w:csb1="00000000"/>
    <w:embedRegular r:id="rId9" w:fontKey="{EA03AB51-E5C8-4DCA-9749-5C09D27A2FC4}"/>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10" w:fontKey="{39F37D38-BD67-474E-96E0-E6353027214C}"/>
  </w:font>
  <w:font w:name="楷体">
    <w:panose1 w:val="02010609060101010101"/>
    <w:charset w:val="86"/>
    <w:family w:val="modern"/>
    <w:pitch w:val="default"/>
    <w:sig w:usb0="800002BF" w:usb1="38CF7CFA" w:usb2="00000016" w:usb3="00000000" w:csb0="00040001" w:csb1="00000000"/>
    <w:embedRegular r:id="rId11" w:fontKey="{2300DF5A-07B9-4678-AFDB-51CAD48C662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35ACB6">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1AA82C">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50F436">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4C3641A"/>
    <w:multiLevelType w:val="singleLevel"/>
    <w:tmpl w:val="D4C3641A"/>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180920"/>
    <w:rsid w:val="01A03C5A"/>
    <w:rsid w:val="01A5267D"/>
    <w:rsid w:val="01AF6A8D"/>
    <w:rsid w:val="024808A2"/>
    <w:rsid w:val="025C3821"/>
    <w:rsid w:val="02DA3B1B"/>
    <w:rsid w:val="02E57B4D"/>
    <w:rsid w:val="03450B90"/>
    <w:rsid w:val="037B12D4"/>
    <w:rsid w:val="03804D63"/>
    <w:rsid w:val="03FB73B0"/>
    <w:rsid w:val="047D389E"/>
    <w:rsid w:val="04806B11"/>
    <w:rsid w:val="049C1B9D"/>
    <w:rsid w:val="04BD008C"/>
    <w:rsid w:val="04C55939"/>
    <w:rsid w:val="04DA28BB"/>
    <w:rsid w:val="04F528BE"/>
    <w:rsid w:val="050E10CE"/>
    <w:rsid w:val="054F2DFB"/>
    <w:rsid w:val="05991C82"/>
    <w:rsid w:val="05CD1EC8"/>
    <w:rsid w:val="061416A9"/>
    <w:rsid w:val="061D60A6"/>
    <w:rsid w:val="06236884"/>
    <w:rsid w:val="067454FA"/>
    <w:rsid w:val="06B07006"/>
    <w:rsid w:val="06FC7C2A"/>
    <w:rsid w:val="07533AFE"/>
    <w:rsid w:val="07AC18F2"/>
    <w:rsid w:val="07B3657A"/>
    <w:rsid w:val="07C857D0"/>
    <w:rsid w:val="083F3A0A"/>
    <w:rsid w:val="08AB5AAF"/>
    <w:rsid w:val="09012C64"/>
    <w:rsid w:val="093B2E99"/>
    <w:rsid w:val="095D7943"/>
    <w:rsid w:val="09C006C6"/>
    <w:rsid w:val="09F45FD8"/>
    <w:rsid w:val="0A10621F"/>
    <w:rsid w:val="0A464C4F"/>
    <w:rsid w:val="0A6729A3"/>
    <w:rsid w:val="0A694877"/>
    <w:rsid w:val="0AA954BE"/>
    <w:rsid w:val="0AB37C41"/>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4DA3CEC"/>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4333E4"/>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1F7445F"/>
    <w:rsid w:val="220451AB"/>
    <w:rsid w:val="2237486E"/>
    <w:rsid w:val="223D1378"/>
    <w:rsid w:val="22451BC7"/>
    <w:rsid w:val="22940650"/>
    <w:rsid w:val="22AD4B1E"/>
    <w:rsid w:val="22C43743"/>
    <w:rsid w:val="22D31DF3"/>
    <w:rsid w:val="22E75781"/>
    <w:rsid w:val="22FD3CF7"/>
    <w:rsid w:val="232C221B"/>
    <w:rsid w:val="2356249E"/>
    <w:rsid w:val="236E713A"/>
    <w:rsid w:val="23700968"/>
    <w:rsid w:val="238761A6"/>
    <w:rsid w:val="23920578"/>
    <w:rsid w:val="23BB6F9A"/>
    <w:rsid w:val="23FC3864"/>
    <w:rsid w:val="24857B00"/>
    <w:rsid w:val="24F25212"/>
    <w:rsid w:val="25076FC0"/>
    <w:rsid w:val="251B0465"/>
    <w:rsid w:val="254B0AC6"/>
    <w:rsid w:val="25571AB6"/>
    <w:rsid w:val="25B40AD6"/>
    <w:rsid w:val="25BE7872"/>
    <w:rsid w:val="25BF702A"/>
    <w:rsid w:val="26390459"/>
    <w:rsid w:val="264D2D17"/>
    <w:rsid w:val="26D50E55"/>
    <w:rsid w:val="271A539C"/>
    <w:rsid w:val="273823FA"/>
    <w:rsid w:val="27440254"/>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818BA"/>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092244"/>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A51D02"/>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3F304E"/>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516138"/>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B2145E"/>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DE368B"/>
    <w:rsid w:val="49F42EAF"/>
    <w:rsid w:val="4A337323"/>
    <w:rsid w:val="4A5B28DC"/>
    <w:rsid w:val="4A675522"/>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8E12DD"/>
    <w:rsid w:val="51932FAD"/>
    <w:rsid w:val="51B177A9"/>
    <w:rsid w:val="51E066EB"/>
    <w:rsid w:val="52640E8B"/>
    <w:rsid w:val="5267570A"/>
    <w:rsid w:val="52707792"/>
    <w:rsid w:val="52A12CDC"/>
    <w:rsid w:val="52DF0C92"/>
    <w:rsid w:val="52E1159C"/>
    <w:rsid w:val="52E34D6A"/>
    <w:rsid w:val="52E951AC"/>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1D7E35"/>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0F1C0D"/>
    <w:rsid w:val="5E201A7B"/>
    <w:rsid w:val="5E3E6996"/>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04519F"/>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195F86"/>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3F387A"/>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932844"/>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942E2"/>
    <w:rsid w:val="71FE31A8"/>
    <w:rsid w:val="720C30AE"/>
    <w:rsid w:val="721A7983"/>
    <w:rsid w:val="721F6113"/>
    <w:rsid w:val="7233782C"/>
    <w:rsid w:val="726A729D"/>
    <w:rsid w:val="726F6CC7"/>
    <w:rsid w:val="72C31650"/>
    <w:rsid w:val="73177841"/>
    <w:rsid w:val="733774FE"/>
    <w:rsid w:val="73617E1B"/>
    <w:rsid w:val="736D7653"/>
    <w:rsid w:val="738035CB"/>
    <w:rsid w:val="73852C46"/>
    <w:rsid w:val="7396335C"/>
    <w:rsid w:val="73D13110"/>
    <w:rsid w:val="73F46595"/>
    <w:rsid w:val="73F47FAE"/>
    <w:rsid w:val="74283FA2"/>
    <w:rsid w:val="742C135B"/>
    <w:rsid w:val="74463733"/>
    <w:rsid w:val="74896172"/>
    <w:rsid w:val="748A2F40"/>
    <w:rsid w:val="74D84FF7"/>
    <w:rsid w:val="74F85778"/>
    <w:rsid w:val="75272439"/>
    <w:rsid w:val="758F1E9B"/>
    <w:rsid w:val="75CE266B"/>
    <w:rsid w:val="76120141"/>
    <w:rsid w:val="768216BE"/>
    <w:rsid w:val="76C23B43"/>
    <w:rsid w:val="76FD6F97"/>
    <w:rsid w:val="770218E8"/>
    <w:rsid w:val="77060EB2"/>
    <w:rsid w:val="779469CE"/>
    <w:rsid w:val="77C875A5"/>
    <w:rsid w:val="78A27DF6"/>
    <w:rsid w:val="79285B3A"/>
    <w:rsid w:val="79490B03"/>
    <w:rsid w:val="79625CA9"/>
    <w:rsid w:val="79A91196"/>
    <w:rsid w:val="7A0B32D3"/>
    <w:rsid w:val="7A513882"/>
    <w:rsid w:val="7AC13CD3"/>
    <w:rsid w:val="7AE10264"/>
    <w:rsid w:val="7AE4248E"/>
    <w:rsid w:val="7B4A207F"/>
    <w:rsid w:val="7B936F45"/>
    <w:rsid w:val="7BA47419"/>
    <w:rsid w:val="7BB10D45"/>
    <w:rsid w:val="7BB44151"/>
    <w:rsid w:val="7C656A39"/>
    <w:rsid w:val="7CB93996"/>
    <w:rsid w:val="7CBE0F99"/>
    <w:rsid w:val="7D4E45F1"/>
    <w:rsid w:val="7DFB6D82"/>
    <w:rsid w:val="7E1B7046"/>
    <w:rsid w:val="7E1D71D1"/>
    <w:rsid w:val="7E246254"/>
    <w:rsid w:val="7E553215"/>
    <w:rsid w:val="7E6D090F"/>
    <w:rsid w:val="7E9758AA"/>
    <w:rsid w:val="7ECC66B2"/>
    <w:rsid w:val="7F1615DE"/>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chart" Target="charts/chart6.xml"/><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111.73</c:v>
                </c:pt>
                <c:pt idx="1">
                  <c:v>74.29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735303.83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548048.67</c:v>
                </c:pt>
                <c:pt idx="1">
                  <c:v>194894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111.73</c:v>
                </c:pt>
                <c:pt idx="1">
                  <c:v>110.96</c:v>
                </c:pt>
                <c:pt idx="2">
                  <c:v>111.73</c:v>
                </c:pt>
                <c:pt idx="3">
                  <c:v>110.96</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73.53</c:v>
                </c:pt>
                <c:pt idx="1">
                  <c:v>74.29</c:v>
                </c:pt>
                <c:pt idx="2">
                  <c:v>73.53</c:v>
                </c:pt>
                <c:pt idx="3">
                  <c:v>74.29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75.8</c:v>
                </c:pt>
                <c:pt idx="1">
                  <c:v>75.8</c:v>
                </c:pt>
                <c:pt idx="2">
                  <c:v>75.8</c:v>
                </c:pt>
                <c:pt idx="3">
                  <c:v>75.8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73.53</c:v>
                </c:pt>
                <c:pt idx="1">
                  <c:v>74.29</c:v>
                </c:pt>
                <c:pt idx="2">
                  <c:v>73.53</c:v>
                </c:pt>
                <c:pt idx="3">
                  <c:v>74.29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61.91</c:v>
                </c:pt>
                <c:pt idx="1">
                  <c:v>0</c:v>
                </c:pt>
                <c:pt idx="2">
                  <c:v>0</c:v>
                </c:pt>
                <c:pt idx="3">
                  <c:v>0</c:v>
                </c:pt>
                <c:pt idx="4">
                  <c:v>0</c:v>
                </c:pt>
                <c:pt idx="5">
                  <c:v>0</c:v>
                </c:pt>
                <c:pt idx="6">
                  <c:v>0</c:v>
                </c:pt>
                <c:pt idx="7">
                  <c:v>4.46</c:v>
                </c:pt>
                <c:pt idx="8">
                  <c:v>3.16</c:v>
                </c:pt>
                <c:pt idx="9">
                  <c:v>0</c:v>
                </c:pt>
                <c:pt idx="10">
                  <c:v>0</c:v>
                </c:pt>
                <c:pt idx="11">
                  <c:v>0</c:v>
                </c:pt>
                <c:pt idx="12">
                  <c:v>0</c:v>
                </c:pt>
                <c:pt idx="13">
                  <c:v>0</c:v>
                </c:pt>
                <c:pt idx="14">
                  <c:v>0</c:v>
                </c:pt>
                <c:pt idx="15">
                  <c:v>0</c:v>
                </c:pt>
                <c:pt idx="16">
                  <c:v>0</c:v>
                </c:pt>
                <c:pt idx="17">
                  <c:v>0</c:v>
                </c:pt>
                <c:pt idx="18">
                  <c:v>4.76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44</Pages>
  <Words>2136</Words>
  <Characters>2592</Characters>
  <Lines>86</Lines>
  <Paragraphs>24</Paragraphs>
  <TotalTime>14</TotalTime>
  <ScaleCrop>false</ScaleCrop>
  <LinksUpToDate>false</LinksUpToDate>
  <CharactersWithSpaces>2939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H.M</cp:lastModifiedBy>
  <cp:lastPrinted>2023-08-04T01:00:00Z</cp:lastPrinted>
  <dcterms:modified xsi:type="dcterms:W3CDTF">2025-09-23T02:19:18Z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eyJoZGlkIjoiZjYwODFhOWY5YjE3NjE5MGE4ODhkZmM4NzhhYmMzZjIiLCJ1c2VySWQiOiIxMDI1NjYzMzcwIn0=</vt:lpwstr>
  </property>
</Properties>
</file>