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svg" ContentType="image/sv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cs="幼圆"/>
          <w:sz w:val="32"/>
          <w:szCs w:val="32"/>
        </w:rPr>
      </w:pPr>
      <w:r>
        <w:rPr>
          <w:rFonts w:ascii="Times New Roman" w:hAnsi="Times New Roman" w:eastAsia="黑体" w:cs="Times New Roman"/>
          <w:sz w:val="32"/>
          <w:szCs w:val="32"/>
        </w:rPr>
        <w:drawing>
          <wp:anchor distT="0" distB="0" distL="114300" distR="114300" simplePos="0" relativeHeight="251662336" behindDoc="1" locked="0" layoutInCell="1" allowOverlap="1">
            <wp:simplePos x="0" y="0"/>
            <wp:positionH relativeFrom="column">
              <wp:posOffset>-1447165</wp:posOffset>
            </wp:positionH>
            <wp:positionV relativeFrom="paragraph">
              <wp:posOffset>-1321435</wp:posOffset>
            </wp:positionV>
            <wp:extent cx="8646795" cy="10781665"/>
            <wp:effectExtent l="0" t="0" r="0" b="0"/>
            <wp:wrapNone/>
            <wp:docPr id="3" name="图片 3"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7b0a202020202266696c746572223a202230220a7d0a"/>
                    <pic:cNvPicPr>
                      <a:picLocks noChangeAspect="1"/>
                    </pic:cNvPicPr>
                  </pic:nvPicPr>
                  <pic:blipFill>
                    <a:blip r:embed="rId10">
                      <a:lum bright="6000"/>
                    </a:blip>
                    <a:srcRect t="559" b="3637"/>
                    <a:stretch>
                      <a:fillRect/>
                    </a:stretch>
                  </pic:blipFill>
                  <pic:spPr>
                    <a:xfrm>
                      <a:off x="0" y="0"/>
                      <a:ext cx="8646795" cy="10781665"/>
                    </a:xfrm>
                    <a:prstGeom prst="rect">
                      <a:avLst/>
                    </a:prstGeom>
                  </pic:spPr>
                </pic:pic>
              </a:graphicData>
            </a:graphic>
          </wp:anchor>
        </w:drawing>
      </w:r>
      <w:r>
        <w:rPr>
          <w:rFonts w:hint="eastAsia" w:ascii="黑体" w:hAnsi="黑体" w:eastAsia="黑体" w:cs="幼圆"/>
          <w:sz w:val="32"/>
          <w:szCs w:val="32"/>
        </w:rPr>
        <w:t>附件</w:t>
      </w:r>
      <w:r>
        <w:rPr>
          <w:rFonts w:ascii="Times New Roman" w:hAnsi="Times New Roman" w:eastAsia="黑体" w:cs="Times New Roman"/>
          <w:sz w:val="32"/>
          <w:szCs w:val="32"/>
        </w:rPr>
        <w:t>1</w:t>
      </w:r>
    </w:p>
    <w:p>
      <w:pPr>
        <w:rPr>
          <w:rFonts w:ascii="Times New Roman" w:hAnsi="Times New Roman" w:eastAsia="黑体" w:cs="Times New Roman"/>
          <w:b/>
          <w:bCs/>
          <w:sz w:val="72"/>
          <w:szCs w:val="96"/>
        </w:rPr>
        <w:sectPr>
          <w:footerReference r:id="rId3" w:type="default"/>
          <w:pgSz w:w="11906" w:h="16838"/>
          <w:pgMar w:top="2098" w:right="1418" w:bottom="1871" w:left="1418" w:header="851" w:footer="992" w:gutter="0"/>
          <w:cols w:space="0" w:num="1"/>
          <w:titlePg/>
          <w:docGrid w:type="lines" w:linePitch="312" w:charSpace="0"/>
        </w:sectPr>
      </w:pPr>
      <w:r>
        <w:pict>
          <v:shape id="文本框 61" o:spid="_x0000_s1028" o:spt="202" type="#_x0000_t202" style="position:absolute;left:0pt;margin-left:55.9pt;margin-top:493.15pt;height:153.8pt;width:309.5pt;z-index:251660288;mso-width-relative:page;mso-height-relative:page;" filled="f" stroked="f" coordsize="21600,21600">
            <v:path/>
            <v:fill on="f" focussize="0,0"/>
            <v:stroke on="f" joinstyle="miter"/>
            <v:imagedata o:title=""/>
            <o:lock v:ext="edit"/>
            <v:textbox>
              <w:txbxContent>
                <w:p>
                  <w:pPr>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石家庄市桥西区红十字会</w:t>
                  </w:r>
                </w:p>
                <w:p>
                  <w:pPr>
                    <w:spacing w:line="600" w:lineRule="auto"/>
                    <w:ind w:firstLine="1445" w:firstLineChars="300"/>
                    <w:jc w:val="left"/>
                    <w:rPr>
                      <w:rFonts w:ascii="楷体_GB2312" w:hAnsi="楷体_GB2312" w:eastAsia="楷体_GB2312" w:cs="楷体_GB2312"/>
                      <w:color w:val="000000"/>
                      <w:sz w:val="40"/>
                      <w:szCs w:val="40"/>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预算代码：</w:t>
                  </w:r>
                  <w:r>
                    <w:rPr>
                      <w:rFonts w:hint="eastAsia" w:ascii="楷体_GB2312" w:hAnsi="楷体_GB2312" w:eastAsia="楷体_GB2312" w:cs="楷体_GB2312"/>
                      <w:color w:val="000000"/>
                      <w:sz w:val="40"/>
                      <w:szCs w:val="40"/>
                    </w:rPr>
                    <w:t>761</w:t>
                  </w:r>
                </w:p>
                <w:p>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p>
                <w:p>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二〇二五年九月</w:t>
                  </w:r>
                </w:p>
              </w:txbxContent>
            </v:textbox>
          </v:shape>
        </w:pict>
      </w:r>
      <w:r>
        <w:pict>
          <v:shape id="文本框 48" o:spid="_x0000_s1032" o:spt="202" alt="7b0a2020202022776f7264617274223a20227b5c2269645c223a32353030323136362c5c227469645c223a5c225c227d220a7d0a" type="#_x0000_t202" style="position:absolute;left:0pt;margin-left:-10.7pt;margin-top:71pt;height:225.4pt;width:506.4pt;z-index:251659264;mso-width-relative:page;mso-height-relative:page;" filled="f" stroked="f" coordsize="21600,21600">
            <v:path/>
            <v:fill on="f" focussize="0,0"/>
            <v:stroke on="f" joinstyle="miter"/>
            <v:imagedata o:title=""/>
            <o:lock v:ext="edit"/>
            <v:shadow on="t" opacity="32768f" offset="6pt,-6pt"/>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w:r>
      <w:r>
        <w:drawing>
          <wp:anchor distT="0" distB="0" distL="114300" distR="114300" simplePos="0" relativeHeight="251661312" behindDoc="1" locked="0" layoutInCell="1" allowOverlap="1">
            <wp:simplePos x="0" y="0"/>
            <wp:positionH relativeFrom="column">
              <wp:posOffset>-552450</wp:posOffset>
            </wp:positionH>
            <wp:positionV relativeFrom="paragraph">
              <wp:posOffset>1809750</wp:posOffset>
            </wp:positionV>
            <wp:extent cx="1295400" cy="1295400"/>
            <wp:effectExtent l="0" t="0" r="0" b="0"/>
            <wp:wrapNone/>
            <wp:docPr id="2" name="图片 2" descr="10759009815"/>
            <wp:cNvGraphicFramePr>
              <a:graphicFrameLocks xmlns:a="http://schemas.openxmlformats.org/drawingml/2006/main" noChangeAspect="1"/>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icons&quot;,&quot;user&quot;:&quot;292216292&quot;}"/>
                  </s:tag>
                </a:ext>
              </a:extLst>
            </wp:cNvGraphicFramePr>
            <a:graphic xmlns:a="http://schemas.openxmlformats.org/drawingml/2006/main">
              <a:graphicData uri="http://schemas.openxmlformats.org/drawingml/2006/picture">
                <pic:pic xmlns:pic="http://schemas.openxmlformats.org/drawingml/2006/picture">
                  <pic:nvPicPr>
                    <pic:cNvPr id="2" name="图片 2" descr="10759009815"/>
                    <pic:cNvPicPr>
                      <a:picLocks noChangeAspect="1"/>
                    </pic:cNvPicPr>
                  </pic:nvPicPr>
                  <pic:blipFill>
                    <a:blip r:embed="rId11">
                      <a:extLst>
                        <a:ext uri="{96DAC541-7B7A-43D3-8B79-37D633B846F1}">
                          <asvg:svgBlip xmlns:asvg="http://schemas.microsoft.com/office/drawing/2016/SVG/main" r:embed="rId12"/>
                        </a:ext>
                      </a:extLst>
                    </a:blip>
                    <a:stretch>
                      <a:fillRect/>
                    </a:stretch>
                  </pic:blipFill>
                  <pic:spPr>
                    <a:xfrm>
                      <a:off x="0" y="0"/>
                      <a:ext cx="1295400" cy="1295400"/>
                    </a:xfrm>
                    <a:prstGeom prst="rect">
                      <a:avLst/>
                    </a:prstGeom>
                  </pic:spPr>
                </pic:pic>
              </a:graphicData>
            </a:graphic>
          </wp:anchor>
        </w:drawing>
      </w:r>
    </w:p>
    <w:p>
      <w:pPr>
        <w:rPr>
          <w:rFonts w:ascii="Times New Roman" w:hAnsi="Times New Roman" w:eastAsia="黑体" w:cs="Times New Roman"/>
          <w:b/>
          <w:bCs/>
          <w:sz w:val="72"/>
          <w:szCs w:val="96"/>
        </w:rPr>
      </w:pPr>
    </w:p>
    <w:p>
      <w:pPr>
        <w:widowControl/>
        <w:spacing w:line="360" w:lineRule="auto"/>
        <w:jc w:val="center"/>
        <w:rPr>
          <w:rFonts w:ascii="方正小标宋_GBK" w:hAnsi="方正小标宋_GBK" w:eastAsia="方正小标宋_GBK" w:cs="方正小标宋_GBK"/>
          <w:sz w:val="72"/>
          <w:szCs w:val="96"/>
        </w:rPr>
      </w:pPr>
      <w:r>
        <w:rPr>
          <w:rFonts w:ascii="Times New Roman" w:eastAsia="方正小标宋_GBK"/>
          <w:sz w:val="72"/>
          <w:szCs w:val="72"/>
        </w:rPr>
        <w:t>石家庄市桥西区红十字会</w:t>
      </w:r>
    </w:p>
    <w:p>
      <w:pPr>
        <w:rPr>
          <w:rFonts w:ascii="方正小标宋_GBK" w:hAnsi="方正小标宋_GBK" w:eastAsia="方正小标宋_GBK" w:cs="方正小标宋_GBK"/>
          <w:sz w:val="72"/>
          <w:szCs w:val="96"/>
        </w:rPr>
      </w:pPr>
      <w:r>
        <w:rPr>
          <w:rFonts w:hint="eastAsia" w:ascii="方正小标宋_GBK" w:hAnsi="方正小标宋_GBK" w:eastAsia="方正小标宋_GBK" w:cs="方正小标宋_GBK"/>
          <w:sz w:val="72"/>
          <w:szCs w:val="96"/>
        </w:rPr>
        <w:t>2024年度部门决算公开文本</w:t>
      </w:r>
    </w:p>
    <w:p>
      <w:pPr>
        <w:spacing w:line="360" w:lineRule="auto"/>
        <w:jc w:val="center"/>
        <w:rPr>
          <w:rFonts w:ascii="Times New Roman" w:hAnsi="Times New Roman" w:eastAsia="黑体" w:cs="Times New Roman"/>
          <w:sz w:val="56"/>
          <w:szCs w:val="72"/>
        </w:rPr>
      </w:pPr>
    </w:p>
    <w:p>
      <w:pPr>
        <w:spacing w:line="600" w:lineRule="auto"/>
        <w:jc w:val="center"/>
        <w:rPr>
          <w:rFonts w:ascii="Times New Roman" w:hAnsi="Times New Roman" w:eastAsia="黑体" w:cs="Times New Roman"/>
          <w:sz w:val="56"/>
          <w:szCs w:val="72"/>
        </w:rPr>
      </w:pPr>
    </w:p>
    <w:p>
      <w:pPr>
        <w:spacing w:line="600" w:lineRule="auto"/>
        <w:jc w:val="center"/>
        <w:rPr>
          <w:rFonts w:ascii="Times New Roman" w:hAnsi="Times New Roman" w:eastAsia="黑体" w:cs="Times New Roman"/>
          <w:sz w:val="56"/>
          <w:szCs w:val="72"/>
        </w:rPr>
      </w:pPr>
    </w:p>
    <w:p>
      <w:pPr>
        <w:spacing w:line="600" w:lineRule="auto"/>
        <w:jc w:val="center"/>
        <w:rPr>
          <w:rFonts w:ascii="Times New Roman" w:hAnsi="Times New Roman" w:eastAsia="黑体" w:cs="Times New Roman"/>
          <w:sz w:val="56"/>
          <w:szCs w:val="72"/>
        </w:rPr>
      </w:pPr>
    </w:p>
    <w:p>
      <w:pPr>
        <w:spacing w:line="480" w:lineRule="auto"/>
        <w:jc w:val="center"/>
        <w:rPr>
          <w:rFonts w:ascii="Times New Roman" w:hAnsi="Times New Roman" w:eastAsia="黑体" w:cs="Times New Roman"/>
          <w:sz w:val="56"/>
          <w:szCs w:val="72"/>
        </w:rPr>
      </w:pPr>
    </w:p>
    <w:p>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ascii="Times New Roman" w:eastAsia="楷体_GB2312"/>
          <w:sz w:val="44"/>
          <w:szCs w:val="44"/>
        </w:rPr>
        <w:t>石家庄市桥西区红十字会</w:t>
      </w:r>
    </w:p>
    <w:p>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w:t>
      </w:r>
      <w:r>
        <w:rPr>
          <w:rFonts w:ascii="Times New Roman" w:hAnsi="Times New Roman" w:eastAsia="宋体"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〇</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二五年</w:t>
      </w:r>
      <w:r>
        <w:rPr>
          <w:rFonts w:hint="eastAsia"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tabs>
          <w:tab w:val="left" w:pos="2728"/>
        </w:tabs>
        <w:jc w:val="center"/>
        <w:rPr>
          <w:rFonts w:ascii="Times New Roman" w:hAnsi="Times New Roman" w:eastAsia="黑体" w:cs="Times New Roman"/>
          <w:sz w:val="44"/>
          <w:szCs w:val="44"/>
        </w:rPr>
      </w:pPr>
    </w:p>
    <w:p>
      <w:pPr>
        <w:tabs>
          <w:tab w:val="left" w:pos="2728"/>
        </w:tabs>
        <w:jc w:val="center"/>
        <w:rPr>
          <w:rFonts w:ascii="Times New Roman" w:hAnsi="Times New Roman" w:eastAsia="黑体" w:cs="Times New Roman"/>
          <w:sz w:val="44"/>
          <w:szCs w:val="44"/>
        </w:rPr>
      </w:pPr>
    </w:p>
    <w:p>
      <w:pPr>
        <w:tabs>
          <w:tab w:val="left" w:pos="2728"/>
        </w:tabs>
        <w:jc w:val="center"/>
        <w:rPr>
          <w:rFonts w:ascii="Times New Roman" w:hAnsi="Times New Roman" w:eastAsia="黑体" w:cs="Times New Roman"/>
          <w:sz w:val="44"/>
          <w:szCs w:val="44"/>
        </w:rPr>
      </w:pPr>
    </w:p>
    <w:p>
      <w:pPr>
        <w:tabs>
          <w:tab w:val="left" w:pos="2728"/>
        </w:tabs>
        <w:jc w:val="center"/>
        <w:rPr>
          <w:rFonts w:ascii="Times New Roman" w:hAnsi="Times New Roman" w:eastAsia="黑体" w:cs="Times New Roman"/>
          <w:sz w:val="44"/>
          <w:szCs w:val="44"/>
        </w:rPr>
      </w:pPr>
    </w:p>
    <w:p>
      <w:pPr>
        <w:tabs>
          <w:tab w:val="left" w:pos="2728"/>
        </w:tabs>
        <w:jc w:val="center"/>
        <w:rPr>
          <w:rFonts w:ascii="Times New Roman" w:hAnsi="Times New Roman" w:eastAsia="黑体" w:cs="Times New Roman"/>
          <w:sz w:val="44"/>
          <w:szCs w:val="44"/>
        </w:rPr>
      </w:pPr>
    </w:p>
    <w:p>
      <w:pPr>
        <w:tabs>
          <w:tab w:val="left" w:pos="2728"/>
        </w:tabs>
        <w:jc w:val="center"/>
        <w:rPr>
          <w:rFonts w:ascii="Times New Roman" w:hAnsi="Times New Roman" w:eastAsia="黑体" w:cs="Times New Roman"/>
          <w:sz w:val="44"/>
          <w:szCs w:val="44"/>
        </w:rPr>
      </w:pPr>
      <w:r>
        <w:rPr>
          <w:rFonts w:ascii="Times New Roman" w:hAnsi="Times New Roman" w:eastAsia="黑体" w:cs="Times New Roman"/>
          <w:sz w:val="44"/>
          <w:szCs w:val="44"/>
        </w:rPr>
        <w:t>目    录</w:t>
      </w: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2024年度部门决算报表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   2024年度部门决算情况说明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九、关于2024年度绩效评价情况的说明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第四部分  名词解释</w:t>
      </w: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2098" w:right="1418" w:bottom="1871" w:left="1418" w:header="851" w:footer="992" w:gutter="0"/>
          <w:cols w:space="0" w:num="1"/>
          <w:docGrid w:type="lines" w:linePitch="312" w:charSpace="0"/>
        </w:sect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部门概况</w:t>
      </w:r>
    </w:p>
    <w:p>
      <w:pPr>
        <w:widowControl/>
        <w:ind w:firstLine="640" w:firstLineChars="200"/>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kern w:val="0"/>
          <w:sz w:val="32"/>
          <w:szCs w:val="32"/>
        </w:rPr>
        <w:t>一、部门职责</w:t>
      </w:r>
    </w:p>
    <w:p>
      <w:pPr>
        <w:widowControl/>
        <w:spacing w:line="580" w:lineRule="exact"/>
        <w:ind w:firstLine="360" w:firstLineChars="200"/>
        <w:rPr>
          <w:rFonts w:ascii="仿宋_GB2312" w:hAnsi="Cambria" w:eastAsia="仿宋_GB2312" w:cs="ArialUnicodeMS"/>
          <w:kern w:val="0"/>
          <w:sz w:val="32"/>
          <w:szCs w:val="32"/>
        </w:rPr>
      </w:pPr>
      <w:r>
        <w:rPr>
          <w:rFonts w:ascii="Arial" w:hAnsi="Arial" w:eastAsia="Arial" w:cs="Arial"/>
          <w:color w:val="000000"/>
          <w:sz w:val="18"/>
          <w:szCs w:val="18"/>
          <w:shd w:val="clear" w:color="auto" w:fill="FFFFFF"/>
        </w:rPr>
        <w:t> </w:t>
      </w:r>
      <w:r>
        <w:rPr>
          <w:rFonts w:hint="eastAsia" w:ascii="Arial" w:hAnsi="Arial" w:eastAsia="宋体" w:cs="Arial"/>
          <w:color w:val="000000"/>
          <w:sz w:val="18"/>
          <w:szCs w:val="18"/>
          <w:shd w:val="clear" w:color="auto" w:fill="FFFFFF"/>
        </w:rPr>
        <w:t xml:space="preserve">   </w:t>
      </w:r>
      <w:r>
        <w:rPr>
          <w:rFonts w:hint="eastAsia" w:ascii="仿宋_GB2312" w:hAnsi="Cambria" w:eastAsia="仿宋_GB2312" w:cs="ArialUnicodeMS"/>
          <w:kern w:val="0"/>
          <w:sz w:val="32"/>
          <w:szCs w:val="32"/>
        </w:rPr>
        <w:t>1、社会救助通过应急救援来实现的绩效目标是完善应急救援体系建设，提高应急救助能力和备灾救灾水平。</w:t>
      </w:r>
    </w:p>
    <w:p>
      <w:pPr>
        <w:widowControl/>
        <w:spacing w:line="58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2、通过应急救护来实现的绩效目标是加强我区红十字应急救护师资队伍建设，承担应急救护知识普及和培训救护员任伍，提高红十字救护员占从业人员比例以及应急救护知识在人民群众中的普及率。</w:t>
      </w:r>
    </w:p>
    <w:p>
      <w:pPr>
        <w:widowControl/>
        <w:spacing w:line="58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3、通过人道救助来实现的绩效目标是使更多的贫困家庭、患病儿童、灾区群众和贫困学生得到救助。大力推动红十字博爱家园建设，使“博爱送万家”活动温暖人心。</w:t>
      </w:r>
    </w:p>
    <w:p>
      <w:pPr>
        <w:widowControl/>
        <w:spacing w:line="58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4、红十字事业发展通过“三献工作”来实现的绩效目标是加强无偿献血、造血干细胞捐献、遗体和人造器官捐献知识宣传普及和捐献工作。</w:t>
      </w:r>
    </w:p>
    <w:p>
      <w:pPr>
        <w:widowControl/>
        <w:spacing w:line="58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5、通过人道救助和志愿者工作来实现的绩效目标是 建立红十字青少年基层组织，创建学校红十字会，发展青少年红十字会员。开展红十字青少年培训，普及红十字活动基本知识。组织参与红十字青少年活动。加强红十字志愿服务组织建设。</w:t>
      </w:r>
    </w:p>
    <w:p>
      <w:pPr>
        <w:widowControl/>
        <w:spacing w:line="580" w:lineRule="exact"/>
        <w:ind w:firstLine="640" w:firstLineChars="200"/>
        <w:rPr>
          <w:rFonts w:ascii="Times New Roman" w:hAnsi="Times New Roman" w:eastAsia="仿宋_GB2312" w:cs="Times New Roman"/>
          <w:kern w:val="0"/>
          <w:sz w:val="32"/>
          <w:szCs w:val="32"/>
        </w:rPr>
      </w:pPr>
      <w:r>
        <w:rPr>
          <w:rFonts w:hint="eastAsia" w:ascii="仿宋_GB2312" w:hAnsi="Cambria" w:eastAsia="仿宋_GB2312" w:cs="ArialUnicodeMS"/>
          <w:kern w:val="0"/>
          <w:sz w:val="32"/>
          <w:szCs w:val="32"/>
        </w:rPr>
        <w:t>6、通过红十字综合事务工作来实现的绩效目标是总结安排全区红十字工作，开展广泛的宣传活动，加强对外交流合作、考察学习。</w:t>
      </w:r>
    </w:p>
    <w:p>
      <w:pPr>
        <w:widowControl/>
        <w:spacing w:line="580" w:lineRule="exact"/>
        <w:ind w:firstLine="640" w:firstLineChars="200"/>
        <w:rPr>
          <w:rFonts w:ascii="Times New Roman" w:hAnsi="Times New Roman" w:eastAsia="仿宋_GB2312" w:cs="Times New Roman"/>
          <w:kern w:val="0"/>
          <w:sz w:val="32"/>
          <w:szCs w:val="32"/>
          <w:highlight w:val="yellow"/>
        </w:rPr>
      </w:pPr>
      <w:r>
        <w:rPr>
          <w:rFonts w:ascii="Times New Roman" w:hAnsi="Times New Roman" w:eastAsia="黑体" w:cs="Times New Roman"/>
          <w:kern w:val="0"/>
          <w:sz w:val="32"/>
          <w:szCs w:val="32"/>
        </w:rPr>
        <w:t>二、机构设置</w:t>
      </w:r>
    </w:p>
    <w:p>
      <w:pPr>
        <w:spacing w:line="58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从决算编报单位构成看，纳入2024年度本部门决算汇编范围的独立核算单位（以下简称“单位”）共</w:t>
      </w:r>
      <w:r>
        <w:rPr>
          <w:rFonts w:hint="eastAsia" w:ascii="Times New Roman" w:hAnsi="Times New Roman" w:eastAsia="仿宋_GB2312" w:cs="Times New Roman"/>
          <w:kern w:val="0"/>
          <w:sz w:val="32"/>
          <w:szCs w:val="32"/>
        </w:rPr>
        <w:t>1</w:t>
      </w:r>
      <w:r>
        <w:rPr>
          <w:rFonts w:ascii="Times New Roman" w:hAnsi="Times New Roman" w:eastAsia="仿宋_GB2312" w:cs="Times New Roman"/>
          <w:kern w:val="0"/>
          <w:sz w:val="32"/>
          <w:szCs w:val="32"/>
        </w:rPr>
        <w:t>个，具体情况如下：</w:t>
      </w:r>
    </w:p>
    <w:tbl>
      <w:tblPr>
        <w:tblStyle w:val="9"/>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5"/>
        <w:gridCol w:w="4120"/>
        <w:gridCol w:w="1990"/>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805" w:type="dxa"/>
            <w:vAlign w:val="center"/>
          </w:tcPr>
          <w:p>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序号</w:t>
            </w:r>
          </w:p>
        </w:tc>
        <w:tc>
          <w:tcPr>
            <w:tcW w:w="4120" w:type="dxa"/>
            <w:vAlign w:val="center"/>
          </w:tcPr>
          <w:p>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单位名称</w:t>
            </w:r>
          </w:p>
        </w:tc>
        <w:tc>
          <w:tcPr>
            <w:tcW w:w="1990" w:type="dxa"/>
            <w:vAlign w:val="center"/>
          </w:tcPr>
          <w:p>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单位基本性质</w:t>
            </w:r>
          </w:p>
        </w:tc>
        <w:tc>
          <w:tcPr>
            <w:tcW w:w="2665" w:type="dxa"/>
            <w:vAlign w:val="center"/>
          </w:tcPr>
          <w:p>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05" w:type="dxa"/>
          </w:tcPr>
          <w:p>
            <w:pPr>
              <w:spacing w:line="560" w:lineRule="exact"/>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w:t>
            </w:r>
          </w:p>
        </w:tc>
        <w:tc>
          <w:tcPr>
            <w:tcW w:w="4120" w:type="dxa"/>
          </w:tcPr>
          <w:p>
            <w:pPr>
              <w:spacing w:line="560" w:lineRule="exact"/>
              <w:rPr>
                <w:rFonts w:ascii="Times New Roman" w:hAnsi="Times New Roman" w:eastAsia="仿宋_GB2312" w:cs="Times New Roman"/>
                <w:kern w:val="0"/>
                <w:sz w:val="28"/>
                <w:szCs w:val="28"/>
              </w:rPr>
            </w:pPr>
            <w:r>
              <w:rPr>
                <w:rFonts w:hint="eastAsia" w:ascii="仿宋_GB2312" w:hAnsi="Calibri" w:eastAsia="仿宋_GB2312" w:cs="ArialUnicodeMS"/>
                <w:kern w:val="0"/>
                <w:sz w:val="28"/>
                <w:szCs w:val="28"/>
              </w:rPr>
              <w:t>石家庄市桥西区红十字会(本级)</w:t>
            </w:r>
          </w:p>
        </w:tc>
        <w:tc>
          <w:tcPr>
            <w:tcW w:w="1990" w:type="dxa"/>
          </w:tcPr>
          <w:p>
            <w:pPr>
              <w:spacing w:line="560" w:lineRule="exact"/>
              <w:jc w:val="center"/>
              <w:rPr>
                <w:rFonts w:ascii="Times New Roman" w:hAnsi="Times New Roman" w:eastAsia="仿宋_GB2312" w:cs="Times New Roman"/>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Times New Roman" w:hAnsi="Times New Roman" w:eastAsia="仿宋_GB2312" w:cs="Times New Roman"/>
                <w:kern w:val="0"/>
                <w:sz w:val="28"/>
                <w:szCs w:val="28"/>
              </w:rPr>
            </w:pPr>
            <w:r>
              <w:rPr>
                <w:rFonts w:hint="eastAsia" w:ascii="仿宋_GB2312" w:hAnsi="Calibri" w:eastAsia="仿宋_GB2312" w:cs="ArialUnicodeMS"/>
                <w:kern w:val="0"/>
                <w:sz w:val="28"/>
                <w:szCs w:val="28"/>
              </w:rPr>
              <w:t>财政拨款</w:t>
            </w:r>
          </w:p>
        </w:tc>
      </w:tr>
    </w:tbl>
    <w:p>
      <w:pPr>
        <w:spacing w:line="58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我部门无二级预算单位，因此</w:t>
      </w:r>
      <w:r>
        <w:rPr>
          <w:rFonts w:hint="eastAsia" w:ascii="Times New Roman" w:hAnsi="Times New Roman" w:eastAsia="仿宋_GB2312" w:cs="Times New Roman"/>
          <w:kern w:val="0"/>
          <w:sz w:val="28"/>
          <w:szCs w:val="28"/>
        </w:rPr>
        <w:t>石家庄市桥西区民政局</w:t>
      </w:r>
      <w:r>
        <w:rPr>
          <w:rFonts w:ascii="Times New Roman" w:hAnsi="Times New Roman" w:eastAsia="仿宋_GB2312" w:cs="Times New Roman"/>
          <w:kern w:val="0"/>
          <w:sz w:val="32"/>
          <w:szCs w:val="32"/>
        </w:rPr>
        <w:t>2024年度部门决算即</w:t>
      </w:r>
      <w:r>
        <w:rPr>
          <w:rFonts w:hint="eastAsia" w:ascii="Times New Roman" w:hAnsi="Times New Roman" w:eastAsia="仿宋_GB2312" w:cs="Times New Roman"/>
          <w:kern w:val="0"/>
          <w:sz w:val="28"/>
          <w:szCs w:val="28"/>
        </w:rPr>
        <w:t>石家庄市桥西区民政局</w:t>
      </w:r>
      <w:r>
        <w:rPr>
          <w:rFonts w:ascii="Times New Roman" w:hAnsi="Times New Roman" w:eastAsia="仿宋_GB2312" w:cs="Times New Roman"/>
          <w:kern w:val="0"/>
          <w:sz w:val="32"/>
          <w:szCs w:val="32"/>
        </w:rPr>
        <w:t>本级2024年度决算。</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br w:type="page"/>
      </w: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bl>
      <w:tblPr>
        <w:tblStyle w:val="9"/>
        <w:tblW w:w="10260" w:type="dxa"/>
        <w:jc w:val="center"/>
        <w:tblLayout w:type="fixed"/>
        <w:tblCellMar>
          <w:top w:w="15" w:type="dxa"/>
          <w:left w:w="15" w:type="dxa"/>
          <w:bottom w:w="15" w:type="dxa"/>
          <w:right w:w="15" w:type="dxa"/>
        </w:tblCellMar>
      </w:tblPr>
      <w:tblGrid>
        <w:gridCol w:w="3490"/>
        <w:gridCol w:w="536"/>
        <w:gridCol w:w="26"/>
        <w:gridCol w:w="1324"/>
        <w:gridCol w:w="814"/>
        <w:gridCol w:w="2469"/>
        <w:gridCol w:w="502"/>
        <w:gridCol w:w="1099"/>
      </w:tblGrid>
      <w:tr>
        <w:trPr>
          <w:trHeight w:val="1350" w:hRule="exact"/>
          <w:jc w:val="center"/>
        </w:trPr>
        <w:tc>
          <w:tcPr>
            <w:tcW w:w="10260" w:type="dxa"/>
            <w:gridSpan w:val="8"/>
            <w:tcBorders>
              <w:top w:val="nil"/>
              <w:left w:val="nil"/>
              <w:bottom w:val="nil"/>
              <w:right w:val="nil"/>
            </w:tcBorders>
            <w:shd w:val="clear" w:color="auto" w:fill="FFFFFF"/>
            <w:vAlign w:val="bottom"/>
          </w:tcPr>
          <w:p>
            <w:pPr>
              <w:pStyle w:val="23"/>
              <w:widowControl/>
              <w:spacing w:line="500" w:lineRule="exact"/>
              <w:ind w:left="1760" w:firstLine="880"/>
              <w:jc w:val="left"/>
              <w:textAlignment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第二部分2024年度部门决算表</w:t>
            </w:r>
          </w:p>
          <w:p>
            <w:pPr>
              <w:pStyle w:val="23"/>
              <w:widowControl/>
              <w:spacing w:line="500" w:lineRule="exact"/>
              <w:ind w:left="1760" w:firstLine="1445" w:firstLineChars="400"/>
              <w:textAlignment w:val="center"/>
              <w:rPr>
                <w:rFonts w:ascii="Times New Roman" w:hAnsi="Times New Roman" w:eastAsia="仿宋_GB2312" w:cs="Times New Roman"/>
                <w:b/>
                <w:bCs/>
                <w:sz w:val="36"/>
                <w:szCs w:val="36"/>
              </w:rPr>
            </w:pPr>
            <w:r>
              <w:rPr>
                <w:rFonts w:ascii="Times New Roman" w:hAnsi="Times New Roman" w:eastAsia="仿宋_GB2312" w:cs="Times New Roman"/>
                <w:b/>
                <w:bCs/>
                <w:sz w:val="36"/>
                <w:szCs w:val="36"/>
              </w:rPr>
              <w:t>收入支出决算总表</w:t>
            </w:r>
          </w:p>
          <w:p>
            <w:pPr>
              <w:pStyle w:val="23"/>
              <w:widowControl/>
              <w:ind w:left="1760" w:firstLine="0" w:firstLineChars="0"/>
              <w:textAlignment w:val="center"/>
              <w:rPr>
                <w:rFonts w:ascii="Times New Roman" w:hAnsi="Times New Roman" w:eastAsia="仿宋_GB2312" w:cs="Times New Roman"/>
                <w:b/>
                <w:bCs/>
                <w:sz w:val="32"/>
                <w:szCs w:val="32"/>
              </w:rPr>
            </w:pPr>
          </w:p>
        </w:tc>
      </w:tr>
      <w:tr>
        <w:trPr>
          <w:trHeight w:val="358" w:hRule="exact"/>
          <w:jc w:val="center"/>
        </w:trPr>
        <w:tc>
          <w:tcPr>
            <w:tcW w:w="10260" w:type="dxa"/>
            <w:gridSpan w:val="8"/>
            <w:tcBorders>
              <w:top w:val="nil"/>
              <w:left w:val="nil"/>
              <w:bottom w:val="nil"/>
              <w:right w:val="nil"/>
            </w:tcBorders>
            <w:shd w:val="clear" w:color="auto" w:fill="FFFFFF"/>
            <w:vAlign w:val="center"/>
          </w:tcPr>
          <w:p>
            <w:pPr>
              <w:widowControl/>
              <w:jc w:val="right"/>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color w:val="000000"/>
                <w:kern w:val="0"/>
                <w:sz w:val="20"/>
                <w:szCs w:val="20"/>
                <w:lang w:bidi="ar"/>
              </w:rPr>
              <w:t>公开01表</w:t>
            </w:r>
          </w:p>
        </w:tc>
      </w:tr>
      <w:tr>
        <w:trPr>
          <w:trHeight w:val="350" w:hRule="exact"/>
          <w:jc w:val="center"/>
        </w:trPr>
        <w:tc>
          <w:tcPr>
            <w:tcW w:w="4052" w:type="dxa"/>
            <w:gridSpan w:val="3"/>
            <w:tcBorders>
              <w:top w:val="nil"/>
              <w:left w:val="nil"/>
              <w:bottom w:val="single" w:color="auto" w:sz="4" w:space="0"/>
              <w:right w:val="nil"/>
            </w:tcBorders>
            <w:shd w:val="clear" w:color="auto" w:fill="FFFFFF"/>
            <w:vAlign w:val="center"/>
          </w:tcPr>
          <w:p>
            <w:pPr>
              <w:widowControl/>
              <w:jc w:val="left"/>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color w:val="000000"/>
                <w:kern w:val="0"/>
                <w:sz w:val="20"/>
                <w:szCs w:val="20"/>
                <w:lang w:bidi="ar"/>
              </w:rPr>
              <w:t>石家庄市桥西区红十字会</w:t>
            </w:r>
            <w:r>
              <w:rPr>
                <w:rFonts w:ascii="Times New Roman" w:hAnsi="Times New Roman" w:eastAsia="仿宋_GB2312" w:cs="Times New Roman"/>
                <w:color w:val="000000"/>
                <w:kern w:val="0"/>
                <w:sz w:val="20"/>
                <w:szCs w:val="20"/>
                <w:lang w:bidi="ar"/>
              </w:rPr>
              <w:t xml:space="preserve">                    </w:t>
            </w:r>
          </w:p>
        </w:tc>
        <w:tc>
          <w:tcPr>
            <w:tcW w:w="2138" w:type="dxa"/>
            <w:gridSpan w:val="2"/>
            <w:tcBorders>
              <w:top w:val="nil"/>
              <w:left w:val="nil"/>
              <w:bottom w:val="single" w:color="auto" w:sz="4" w:space="0"/>
              <w:right w:val="nil"/>
            </w:tcBorders>
            <w:shd w:val="clear" w:color="auto" w:fill="FFFFFF"/>
            <w:vAlign w:val="center"/>
          </w:tcPr>
          <w:p>
            <w:pPr>
              <w:widowControl/>
              <w:jc w:val="center"/>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2024年度</w:t>
            </w:r>
          </w:p>
        </w:tc>
        <w:tc>
          <w:tcPr>
            <w:tcW w:w="4070" w:type="dxa"/>
            <w:gridSpan w:val="3"/>
            <w:tcBorders>
              <w:top w:val="nil"/>
              <w:left w:val="nil"/>
              <w:bottom w:val="single" w:color="auto" w:sz="4" w:space="0"/>
              <w:right w:val="nil"/>
            </w:tcBorders>
            <w:shd w:val="clear" w:color="auto" w:fill="FFFFFF"/>
            <w:vAlign w:val="center"/>
          </w:tcPr>
          <w:p>
            <w:pPr>
              <w:widowControl/>
              <w:jc w:val="right"/>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单位：万元</w:t>
            </w:r>
          </w:p>
        </w:tc>
      </w:tr>
      <w:tr>
        <w:trPr>
          <w:trHeight w:val="544" w:hRule="exact"/>
          <w:jc w:val="center"/>
        </w:trPr>
        <w:tc>
          <w:tcPr>
            <w:tcW w:w="5376"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收入</w:t>
            </w:r>
          </w:p>
        </w:tc>
        <w:tc>
          <w:tcPr>
            <w:tcW w:w="4884"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支出</w:t>
            </w:r>
          </w:p>
        </w:tc>
      </w:tr>
      <w:tr>
        <w:trPr>
          <w:trHeight w:val="600"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决算数</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决算数</w:t>
            </w:r>
          </w:p>
        </w:tc>
      </w:tr>
      <w:tr>
        <w:trPr>
          <w:trHeight w:val="474"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imes New Roman" w:hAnsi="Times New Roman" w:eastAsia="仿宋_GB2312" w:cs="Times New Roman"/>
                <w:color w:val="000000"/>
                <w:sz w:val="22"/>
              </w:rPr>
            </w:pP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imes New Roman" w:hAnsi="Times New Roman" w:eastAsia="仿宋_GB2312" w:cs="Times New Roman"/>
                <w:color w:val="000000"/>
                <w:sz w:val="22"/>
              </w:rPr>
            </w:pP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r>
      <w:tr>
        <w:trPr>
          <w:trHeight w:val="474" w:hRule="exact"/>
          <w:jc w:val="center"/>
        </w:trPr>
        <w:tc>
          <w:tcPr>
            <w:tcW w:w="3490" w:type="dxa"/>
            <w:tcBorders>
              <w:top w:val="single" w:color="auto"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一、一般公共预算财政拨款收入</w:t>
            </w:r>
          </w:p>
        </w:tc>
        <w:tc>
          <w:tcPr>
            <w:tcW w:w="536" w:type="dxa"/>
            <w:tcBorders>
              <w:top w:val="single" w:color="auto"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1350"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96.49</w:t>
            </w:r>
          </w:p>
        </w:tc>
        <w:tc>
          <w:tcPr>
            <w:tcW w:w="3283" w:type="dxa"/>
            <w:gridSpan w:val="2"/>
            <w:tcBorders>
              <w:top w:val="single" w:color="auto"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一、一般公共服务支出</w:t>
            </w:r>
          </w:p>
        </w:tc>
        <w:tc>
          <w:tcPr>
            <w:tcW w:w="502" w:type="dxa"/>
            <w:tcBorders>
              <w:top w:val="single" w:color="auto"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32</w:t>
            </w:r>
          </w:p>
        </w:tc>
        <w:tc>
          <w:tcPr>
            <w:tcW w:w="1099" w:type="dxa"/>
            <w:tcBorders>
              <w:top w:val="single" w:color="auto"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二、政府性基金预算财政拨款收入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二、外交支出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三、国有资本经营预算财政拨款收入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四、上级补助收入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四、公共安全支出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五、事业收入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五、教育支出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六、经营收入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六、科学技术支出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七、附属单位上缴收入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rPr>
              <w:t>七、文化旅游体育与传媒支出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八、其他收入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2"/>
              </w:rPr>
            </w:pPr>
            <w:r>
              <w:rPr>
                <w:rFonts w:ascii="Times New Roman" w:hAnsi="Times New Roman" w:eastAsia="仿宋_GB2312" w:cs="Times New Roman"/>
              </w:rPr>
              <w:t>八、社会保障和就业支出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85.20</w:t>
            </w: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九、卫生健康支出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4.61</w:t>
            </w: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十、节能环保支出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十一、城乡社区支出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十二、农林水支出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十三、交通运输支出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十四、资源勘探工业信息等支出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十五、商业服务业等支出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十六、金融支出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r>
      <w:tr>
        <w:trPr>
          <w:trHeight w:val="563"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十七、援助其他地区支出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十八、自然资源海洋气象等支出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十九、住房保障支出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6.51</w:t>
            </w: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二十、粮油物资储备支出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二十一、国有资本经营预算支出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二十二、灾害防治及应急管理支出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二十三、其他支出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二十四、债务还本支出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二十五、债务付息支出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二十六、抗疫特别国债安排的支出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本年收入合计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96.49</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本年支出合计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96.31</w:t>
            </w: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使用非财政拨款结余（含专用结余）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结余分配</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年初结转和结余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年末结转和结余</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60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0.17</w:t>
            </w:r>
          </w:p>
        </w:tc>
      </w:tr>
      <w:tr>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61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r>
      <w:tr>
        <w:trPr>
          <w:trHeight w:val="515"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pPr>
            <w:r>
              <w:rPr>
                <w:rFonts w:ascii="Times New Roman" w:hAnsi="Times New Roman" w:cs="Times New Roman"/>
                <w:sz w:val="20"/>
                <w:szCs w:val="20"/>
              </w:rPr>
              <w:t>96.49</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96.49</w:t>
            </w:r>
          </w:p>
        </w:tc>
      </w:tr>
    </w:tbl>
    <w:p>
      <w:pPr>
        <w:widowControl/>
        <w:jc w:val="left"/>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4"/>
          <w:szCs w:val="24"/>
          <w:lang w:bidi="ar"/>
        </w:rPr>
        <w:t>注：1.本表反映部门本年度的总收支和年末结转结余情况。</w:t>
      </w:r>
    </w:p>
    <w:p>
      <w:pPr>
        <w:rPr>
          <w:rFonts w:ascii="Times New Roman" w:hAnsi="Times New Roman" w:eastAsia="仿宋_GB2312" w:cs="Times New Roman"/>
        </w:rPr>
        <w:sectPr>
          <w:headerReference r:id="rId8" w:type="default"/>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lang w:bidi="ar"/>
        </w:rPr>
        <w:t xml:space="preserve">    2.本套报表金额单位转换时可能存在尾数误差。</w:t>
      </w:r>
    </w:p>
    <w:tbl>
      <w:tblPr>
        <w:tblStyle w:val="9"/>
        <w:tblW w:w="10040" w:type="dxa"/>
        <w:jc w:val="center"/>
        <w:tblLayout w:type="fixed"/>
        <w:tblCellMar>
          <w:top w:w="15" w:type="dxa"/>
          <w:left w:w="15" w:type="dxa"/>
          <w:bottom w:w="15" w:type="dxa"/>
          <w:right w:w="15" w:type="dxa"/>
        </w:tblCellMar>
      </w:tblPr>
      <w:tblGrid>
        <w:gridCol w:w="793"/>
        <w:gridCol w:w="693"/>
        <w:gridCol w:w="1174"/>
        <w:gridCol w:w="1487"/>
        <w:gridCol w:w="982"/>
        <w:gridCol w:w="982"/>
        <w:gridCol w:w="982"/>
        <w:gridCol w:w="982"/>
        <w:gridCol w:w="982"/>
        <w:gridCol w:w="983"/>
      </w:tblGrid>
      <w:tr>
        <w:tblPrEx>
          <w:tblCellMar>
            <w:top w:w="15" w:type="dxa"/>
            <w:left w:w="15" w:type="dxa"/>
            <w:bottom w:w="15" w:type="dxa"/>
            <w:right w:w="15" w:type="dxa"/>
          </w:tblCellMar>
        </w:tblPrEx>
        <w:trPr>
          <w:trHeight w:val="666" w:hRule="atLeast"/>
          <w:jc w:val="center"/>
        </w:trPr>
        <w:tc>
          <w:tcPr>
            <w:tcW w:w="10040" w:type="dxa"/>
            <w:gridSpan w:val="10"/>
            <w:shd w:val="clear" w:color="auto" w:fill="auto"/>
            <w:vAlign w:val="center"/>
          </w:tcPr>
          <w:p>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收入决算表</w:t>
            </w:r>
          </w:p>
        </w:tc>
      </w:tr>
      <w:tr>
        <w:tblPrEx>
          <w:tblCellMar>
            <w:top w:w="15" w:type="dxa"/>
            <w:left w:w="15" w:type="dxa"/>
            <w:bottom w:w="15" w:type="dxa"/>
            <w:right w:w="15" w:type="dxa"/>
          </w:tblCellMar>
        </w:tblPrEx>
        <w:trPr>
          <w:trHeight w:val="348" w:hRule="atLeast"/>
          <w:jc w:val="center"/>
        </w:trPr>
        <w:tc>
          <w:tcPr>
            <w:tcW w:w="793" w:type="dxa"/>
            <w:shd w:val="clear" w:color="auto" w:fill="FFFFFF"/>
            <w:vAlign w:val="center"/>
          </w:tcPr>
          <w:p>
            <w:pPr>
              <w:jc w:val="right"/>
              <w:rPr>
                <w:rFonts w:ascii="Times New Roman" w:hAnsi="Times New Roman" w:eastAsia="仿宋_GB2312" w:cs="Times New Roman"/>
                <w:color w:val="000000"/>
                <w:sz w:val="24"/>
              </w:rPr>
            </w:pPr>
          </w:p>
        </w:tc>
        <w:tc>
          <w:tcPr>
            <w:tcW w:w="693" w:type="dxa"/>
            <w:shd w:val="clear" w:color="auto" w:fill="FFFFFF"/>
            <w:vAlign w:val="center"/>
          </w:tcPr>
          <w:p>
            <w:pPr>
              <w:jc w:val="right"/>
              <w:rPr>
                <w:rFonts w:ascii="Times New Roman" w:hAnsi="Times New Roman" w:eastAsia="仿宋_GB2312" w:cs="Times New Roman"/>
                <w:color w:val="000000"/>
                <w:sz w:val="24"/>
              </w:rPr>
            </w:pPr>
          </w:p>
        </w:tc>
        <w:tc>
          <w:tcPr>
            <w:tcW w:w="1174" w:type="dxa"/>
            <w:shd w:val="clear" w:color="auto" w:fill="FFFFFF"/>
            <w:vAlign w:val="center"/>
          </w:tcPr>
          <w:p>
            <w:pPr>
              <w:jc w:val="right"/>
              <w:rPr>
                <w:rFonts w:ascii="Times New Roman" w:hAnsi="Times New Roman" w:eastAsia="仿宋_GB2312" w:cs="Times New Roman"/>
                <w:color w:val="000000"/>
                <w:sz w:val="24"/>
              </w:rPr>
            </w:pPr>
          </w:p>
        </w:tc>
        <w:tc>
          <w:tcPr>
            <w:tcW w:w="1487"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3"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公开02表</w:t>
            </w:r>
          </w:p>
        </w:tc>
      </w:tr>
      <w:tr>
        <w:tblPrEx>
          <w:tblCellMar>
            <w:top w:w="15" w:type="dxa"/>
            <w:left w:w="15" w:type="dxa"/>
            <w:bottom w:w="15" w:type="dxa"/>
            <w:right w:w="15" w:type="dxa"/>
          </w:tblCellMar>
        </w:tblPrEx>
        <w:trPr>
          <w:trHeight w:val="348" w:hRule="atLeast"/>
          <w:jc w:val="center"/>
        </w:trPr>
        <w:tc>
          <w:tcPr>
            <w:tcW w:w="4147" w:type="dxa"/>
            <w:gridSpan w:val="4"/>
            <w:shd w:val="clear" w:color="auto" w:fill="FFFFFF"/>
            <w:vAlign w:val="center"/>
          </w:tcPr>
          <w:p>
            <w:pPr>
              <w:jc w:val="left"/>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color w:val="000000"/>
                <w:kern w:val="0"/>
                <w:sz w:val="20"/>
                <w:szCs w:val="20"/>
                <w:lang w:bidi="ar"/>
              </w:rPr>
              <w:t>石家庄市桥西区红十字会</w:t>
            </w:r>
          </w:p>
        </w:tc>
        <w:tc>
          <w:tcPr>
            <w:tcW w:w="1964" w:type="dxa"/>
            <w:gridSpan w:val="2"/>
            <w:shd w:val="clear" w:color="auto" w:fill="FFFFFF"/>
            <w:vAlign w:val="center"/>
          </w:tcPr>
          <w:p>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4"/>
                <w:szCs w:val="24"/>
              </w:rPr>
              <w:t>2024年度</w:t>
            </w: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3"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499" w:hRule="atLeast"/>
          <w:jc w:val="center"/>
        </w:trPr>
        <w:tc>
          <w:tcPr>
            <w:tcW w:w="266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148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本年收入合计</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财政拨款收入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上级补助收入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事业收入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经营收入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附属单位上缴收入</w:t>
            </w:r>
          </w:p>
        </w:tc>
        <w:tc>
          <w:tcPr>
            <w:tcW w:w="983"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其他收入</w:t>
            </w:r>
          </w:p>
        </w:tc>
      </w:tr>
      <w:tr>
        <w:tblPrEx>
          <w:tblCellMar>
            <w:top w:w="15" w:type="dxa"/>
            <w:left w:w="15" w:type="dxa"/>
            <w:bottom w:w="15" w:type="dxa"/>
            <w:right w:w="15" w:type="dxa"/>
          </w:tblCellMar>
        </w:tblPrEx>
        <w:trPr>
          <w:trHeight w:val="499" w:hRule="atLeast"/>
          <w:jc w:val="center"/>
        </w:trPr>
        <w:tc>
          <w:tcPr>
            <w:tcW w:w="1486"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科目代码</w:t>
            </w:r>
          </w:p>
        </w:tc>
        <w:tc>
          <w:tcPr>
            <w:tcW w:w="117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科目名称</w:t>
            </w:r>
          </w:p>
        </w:tc>
        <w:tc>
          <w:tcPr>
            <w:tcW w:w="148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r>
      <w:tr>
        <w:tblPrEx>
          <w:tblCellMar>
            <w:top w:w="15" w:type="dxa"/>
            <w:left w:w="15" w:type="dxa"/>
            <w:bottom w:w="15" w:type="dxa"/>
            <w:right w:w="15" w:type="dxa"/>
          </w:tblCellMar>
        </w:tblPrEx>
        <w:trPr>
          <w:trHeight w:val="499" w:hRule="atLeast"/>
          <w:jc w:val="center"/>
        </w:trPr>
        <w:tc>
          <w:tcPr>
            <w:tcW w:w="148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17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48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99" w:hRule="atLeast"/>
          <w:jc w:val="center"/>
        </w:trPr>
        <w:tc>
          <w:tcPr>
            <w:tcW w:w="266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栏次</w:t>
            </w:r>
          </w:p>
        </w:tc>
        <w:tc>
          <w:tcPr>
            <w:tcW w:w="14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6</w:t>
            </w:r>
          </w:p>
        </w:tc>
        <w:tc>
          <w:tcPr>
            <w:tcW w:w="9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7</w:t>
            </w:r>
          </w:p>
        </w:tc>
      </w:tr>
      <w:tr>
        <w:tblPrEx>
          <w:tblCellMar>
            <w:top w:w="15" w:type="dxa"/>
            <w:left w:w="15" w:type="dxa"/>
            <w:bottom w:w="15" w:type="dxa"/>
            <w:right w:w="15" w:type="dxa"/>
          </w:tblCellMar>
        </w:tblPrEx>
        <w:trPr>
          <w:trHeight w:val="499" w:hRule="atLeast"/>
          <w:jc w:val="center"/>
        </w:trPr>
        <w:tc>
          <w:tcPr>
            <w:tcW w:w="266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hint="eastAsia" w:ascii="方正仿宋_GB2312" w:hAnsi="方正仿宋_GB2312" w:eastAsia="方正仿宋_GB2312" w:cs="方正仿宋_GB2312"/>
                <w:color w:val="000000"/>
                <w:kern w:val="0"/>
                <w:sz w:val="20"/>
                <w:szCs w:val="20"/>
                <w:lang w:bidi="ar"/>
              </w:rPr>
              <w:t>合计</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r>
              <w:rPr>
                <w:rFonts w:ascii="Times New Roman" w:hAnsi="Times New Roman" w:eastAsia="宋体" w:cs="Times New Roman"/>
                <w:color w:val="000000"/>
                <w:sz w:val="20"/>
                <w:szCs w:val="20"/>
              </w:rPr>
              <w:t>96.49</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r>
              <w:rPr>
                <w:rFonts w:ascii="Times New Roman" w:hAnsi="Times New Roman" w:eastAsia="宋体" w:cs="Times New Roman"/>
                <w:color w:val="000000"/>
                <w:sz w:val="20"/>
                <w:szCs w:val="20"/>
              </w:rPr>
              <w:t>96.49</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208</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社会保障和就业支出</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85.20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85.20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20805</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行政事业单位养老支出</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11.87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11.87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2080501</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行政单位离退休</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5.01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5.01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2080505</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6.86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6.86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20816</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红十字事业</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73.32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73.32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2081601</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行政运行</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69.51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69.51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2081602</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一般行政管理事务</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3.81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3.81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677"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210</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卫生健康支出</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4.78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4.78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21011</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行政事业单位医疗</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4.78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4.78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2101101</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行政单位医疗</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4.78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4.78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221</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住房保障支出</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22102</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住房改革支出</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2210201</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住房公积金</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657" w:hRule="atLeast"/>
          <w:jc w:val="center"/>
        </w:trPr>
        <w:tc>
          <w:tcPr>
            <w:tcW w:w="10040" w:type="dxa"/>
            <w:gridSpan w:val="10"/>
            <w:shd w:val="clear" w:color="auto" w:fill="auto"/>
            <w:vAlign w:val="center"/>
          </w:tcPr>
          <w:p>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注：本表反映部门本年度取得的各项收入情况。</w:t>
            </w: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9"/>
        <w:tblW w:w="10286" w:type="dxa"/>
        <w:jc w:val="center"/>
        <w:tblLayout w:type="fixed"/>
        <w:tblCellMar>
          <w:top w:w="15" w:type="dxa"/>
          <w:left w:w="15" w:type="dxa"/>
          <w:bottom w:w="15" w:type="dxa"/>
          <w:right w:w="15" w:type="dxa"/>
        </w:tblCellMar>
      </w:tblPr>
      <w:tblGrid>
        <w:gridCol w:w="671"/>
        <w:gridCol w:w="667"/>
        <w:gridCol w:w="1231"/>
        <w:gridCol w:w="1706"/>
        <w:gridCol w:w="1739"/>
        <w:gridCol w:w="1069"/>
        <w:gridCol w:w="1069"/>
        <w:gridCol w:w="1069"/>
        <w:gridCol w:w="1065"/>
      </w:tblGrid>
      <w:tr>
        <w:tblPrEx>
          <w:tblCellMar>
            <w:top w:w="15" w:type="dxa"/>
            <w:left w:w="15" w:type="dxa"/>
            <w:bottom w:w="15" w:type="dxa"/>
            <w:right w:w="15" w:type="dxa"/>
          </w:tblCellMar>
        </w:tblPrEx>
        <w:trPr>
          <w:trHeight w:val="435" w:hRule="atLeast"/>
          <w:jc w:val="center"/>
        </w:trPr>
        <w:tc>
          <w:tcPr>
            <w:tcW w:w="10286" w:type="dxa"/>
            <w:gridSpan w:val="9"/>
            <w:shd w:val="clear" w:color="auto" w:fill="auto"/>
            <w:vAlign w:val="center"/>
          </w:tcPr>
          <w:p>
            <w:pPr>
              <w:widowControl/>
              <w:jc w:val="center"/>
              <w:textAlignment w:val="center"/>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kern w:val="0"/>
                <w:sz w:val="32"/>
                <w:szCs w:val="32"/>
                <w:lang w:bidi="ar"/>
              </w:rPr>
              <w:t>支出决算表</w:t>
            </w:r>
          </w:p>
        </w:tc>
      </w:tr>
      <w:tr>
        <w:tblPrEx>
          <w:tblCellMar>
            <w:top w:w="15" w:type="dxa"/>
            <w:left w:w="15" w:type="dxa"/>
            <w:bottom w:w="15" w:type="dxa"/>
            <w:right w:w="15" w:type="dxa"/>
          </w:tblCellMar>
        </w:tblPrEx>
        <w:trPr>
          <w:trHeight w:val="286" w:hRule="atLeast"/>
          <w:jc w:val="center"/>
        </w:trPr>
        <w:tc>
          <w:tcPr>
            <w:tcW w:w="671" w:type="dxa"/>
            <w:shd w:val="clear" w:color="auto" w:fill="FFFFFF"/>
            <w:vAlign w:val="center"/>
          </w:tcPr>
          <w:p>
            <w:pPr>
              <w:jc w:val="right"/>
              <w:rPr>
                <w:rFonts w:ascii="Times New Roman" w:hAnsi="Times New Roman" w:eastAsia="仿宋_GB2312" w:cs="Times New Roman"/>
                <w:color w:val="000000"/>
                <w:sz w:val="24"/>
              </w:rPr>
            </w:pPr>
          </w:p>
        </w:tc>
        <w:tc>
          <w:tcPr>
            <w:tcW w:w="667" w:type="dxa"/>
            <w:shd w:val="clear" w:color="auto" w:fill="FFFFFF"/>
            <w:vAlign w:val="center"/>
          </w:tcPr>
          <w:p>
            <w:pPr>
              <w:jc w:val="right"/>
              <w:rPr>
                <w:rFonts w:ascii="Times New Roman" w:hAnsi="Times New Roman" w:eastAsia="仿宋_GB2312" w:cs="Times New Roman"/>
                <w:color w:val="000000"/>
                <w:sz w:val="24"/>
              </w:rPr>
            </w:pPr>
          </w:p>
        </w:tc>
        <w:tc>
          <w:tcPr>
            <w:tcW w:w="1231" w:type="dxa"/>
            <w:shd w:val="clear" w:color="auto" w:fill="FFFFFF"/>
            <w:vAlign w:val="center"/>
          </w:tcPr>
          <w:p>
            <w:pPr>
              <w:jc w:val="right"/>
              <w:rPr>
                <w:rFonts w:ascii="Times New Roman" w:hAnsi="Times New Roman" w:eastAsia="仿宋_GB2312" w:cs="Times New Roman"/>
                <w:color w:val="000000"/>
                <w:sz w:val="24"/>
              </w:rPr>
            </w:pPr>
          </w:p>
        </w:tc>
        <w:tc>
          <w:tcPr>
            <w:tcW w:w="1706" w:type="dxa"/>
            <w:shd w:val="clear" w:color="auto" w:fill="FFFFFF"/>
            <w:vAlign w:val="center"/>
          </w:tcPr>
          <w:p>
            <w:pPr>
              <w:jc w:val="right"/>
              <w:rPr>
                <w:rFonts w:ascii="Times New Roman" w:hAnsi="Times New Roman" w:eastAsia="仿宋_GB2312" w:cs="Times New Roman"/>
                <w:color w:val="000000"/>
                <w:sz w:val="24"/>
              </w:rPr>
            </w:pPr>
          </w:p>
        </w:tc>
        <w:tc>
          <w:tcPr>
            <w:tcW w:w="1739" w:type="dxa"/>
            <w:shd w:val="clear" w:color="auto" w:fill="FFFFFF"/>
            <w:vAlign w:val="center"/>
          </w:tcPr>
          <w:p>
            <w:pPr>
              <w:jc w:val="right"/>
              <w:rPr>
                <w:rFonts w:ascii="Times New Roman" w:hAnsi="Times New Roman" w:eastAsia="仿宋_GB2312" w:cs="Times New Roman"/>
                <w:color w:val="000000"/>
                <w:sz w:val="24"/>
              </w:rPr>
            </w:pPr>
          </w:p>
        </w:tc>
        <w:tc>
          <w:tcPr>
            <w:tcW w:w="1069" w:type="dxa"/>
            <w:shd w:val="clear" w:color="auto" w:fill="FFFFFF"/>
            <w:vAlign w:val="center"/>
          </w:tcPr>
          <w:p>
            <w:pPr>
              <w:jc w:val="right"/>
              <w:rPr>
                <w:rFonts w:ascii="Times New Roman" w:hAnsi="Times New Roman" w:eastAsia="仿宋_GB2312" w:cs="Times New Roman"/>
                <w:color w:val="000000"/>
                <w:sz w:val="24"/>
              </w:rPr>
            </w:pPr>
          </w:p>
        </w:tc>
        <w:tc>
          <w:tcPr>
            <w:tcW w:w="1069" w:type="dxa"/>
            <w:shd w:val="clear" w:color="auto" w:fill="FFFFFF"/>
            <w:vAlign w:val="center"/>
          </w:tcPr>
          <w:p>
            <w:pPr>
              <w:jc w:val="right"/>
              <w:rPr>
                <w:rFonts w:ascii="Times New Roman" w:hAnsi="Times New Roman" w:eastAsia="仿宋_GB2312" w:cs="Times New Roman"/>
                <w:color w:val="000000"/>
                <w:sz w:val="24"/>
              </w:rPr>
            </w:pPr>
          </w:p>
        </w:tc>
        <w:tc>
          <w:tcPr>
            <w:tcW w:w="1069" w:type="dxa"/>
            <w:shd w:val="clear" w:color="auto" w:fill="FFFFFF"/>
            <w:vAlign w:val="center"/>
          </w:tcPr>
          <w:p>
            <w:pPr>
              <w:jc w:val="right"/>
              <w:rPr>
                <w:rFonts w:ascii="Times New Roman" w:hAnsi="Times New Roman" w:eastAsia="仿宋_GB2312" w:cs="Times New Roman"/>
                <w:color w:val="000000"/>
                <w:sz w:val="24"/>
              </w:rPr>
            </w:pPr>
          </w:p>
        </w:tc>
        <w:tc>
          <w:tcPr>
            <w:tcW w:w="1065"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公开03表</w:t>
            </w:r>
          </w:p>
        </w:tc>
      </w:tr>
      <w:tr>
        <w:tblPrEx>
          <w:tblCellMar>
            <w:top w:w="15" w:type="dxa"/>
            <w:left w:w="15" w:type="dxa"/>
            <w:bottom w:w="15" w:type="dxa"/>
            <w:right w:w="15" w:type="dxa"/>
          </w:tblCellMar>
        </w:tblPrEx>
        <w:trPr>
          <w:trHeight w:val="286" w:hRule="atLeast"/>
          <w:jc w:val="center"/>
        </w:trPr>
        <w:tc>
          <w:tcPr>
            <w:tcW w:w="671" w:type="dxa"/>
            <w:shd w:val="clear" w:color="auto" w:fill="FFFFFF"/>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p>
        </w:tc>
        <w:tc>
          <w:tcPr>
            <w:tcW w:w="3604" w:type="dxa"/>
            <w:gridSpan w:val="3"/>
            <w:shd w:val="clear" w:color="auto" w:fill="FFFFFF"/>
            <w:vAlign w:val="center"/>
          </w:tcPr>
          <w:p>
            <w:pPr>
              <w:jc w:val="left"/>
              <w:rPr>
                <w:rFonts w:ascii="Times New Roman" w:hAnsi="Times New Roman" w:eastAsia="仿宋_GB2312" w:cs="Times New Roman"/>
                <w:color w:val="000000"/>
                <w:sz w:val="24"/>
              </w:rPr>
            </w:pPr>
            <w:r>
              <w:rPr>
                <w:rFonts w:hint="eastAsia" w:ascii="方正仿宋_GB2312" w:hAnsi="方正仿宋_GB2312" w:eastAsia="方正仿宋_GB2312" w:cs="方正仿宋_GB2312"/>
                <w:color w:val="000000"/>
                <w:kern w:val="0"/>
                <w:sz w:val="20"/>
                <w:szCs w:val="20"/>
                <w:lang w:bidi="ar"/>
              </w:rPr>
              <w:t>石家庄市桥西区红十字会</w:t>
            </w:r>
            <w:r>
              <w:rPr>
                <w:rFonts w:ascii="Times New Roman" w:hAnsi="Times New Roman" w:eastAsia="仿宋_GB2312" w:cs="Times New Roman"/>
                <w:color w:val="000000"/>
                <w:sz w:val="24"/>
                <w:szCs w:val="24"/>
              </w:rPr>
              <w:t xml:space="preserve"> </w:t>
            </w:r>
          </w:p>
        </w:tc>
        <w:tc>
          <w:tcPr>
            <w:tcW w:w="1739" w:type="dxa"/>
            <w:shd w:val="clear" w:color="auto" w:fill="FFFFFF"/>
            <w:vAlign w:val="center"/>
          </w:tcPr>
          <w:p>
            <w:pPr>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2024年度</w:t>
            </w:r>
          </w:p>
        </w:tc>
        <w:tc>
          <w:tcPr>
            <w:tcW w:w="1069" w:type="dxa"/>
            <w:shd w:val="clear" w:color="auto" w:fill="FFFFFF"/>
            <w:vAlign w:val="center"/>
          </w:tcPr>
          <w:p>
            <w:pPr>
              <w:jc w:val="center"/>
              <w:rPr>
                <w:rFonts w:ascii="Times New Roman" w:hAnsi="Times New Roman" w:eastAsia="仿宋_GB2312" w:cs="Times New Roman"/>
                <w:color w:val="000000"/>
                <w:sz w:val="20"/>
                <w:szCs w:val="20"/>
              </w:rPr>
            </w:pPr>
          </w:p>
        </w:tc>
        <w:tc>
          <w:tcPr>
            <w:tcW w:w="1069" w:type="dxa"/>
            <w:shd w:val="clear" w:color="auto" w:fill="FFFFFF"/>
            <w:vAlign w:val="center"/>
          </w:tcPr>
          <w:p>
            <w:pPr>
              <w:jc w:val="right"/>
              <w:rPr>
                <w:rFonts w:ascii="Times New Roman" w:hAnsi="Times New Roman" w:eastAsia="仿宋_GB2312" w:cs="Times New Roman"/>
                <w:color w:val="000000"/>
                <w:sz w:val="24"/>
              </w:rPr>
            </w:pPr>
          </w:p>
        </w:tc>
        <w:tc>
          <w:tcPr>
            <w:tcW w:w="1069" w:type="dxa"/>
            <w:shd w:val="clear" w:color="auto" w:fill="FFFFFF"/>
            <w:vAlign w:val="center"/>
          </w:tcPr>
          <w:p>
            <w:pPr>
              <w:jc w:val="right"/>
              <w:rPr>
                <w:rFonts w:ascii="Times New Roman" w:hAnsi="Times New Roman" w:eastAsia="仿宋_GB2312" w:cs="Times New Roman"/>
                <w:color w:val="000000"/>
                <w:sz w:val="24"/>
              </w:rPr>
            </w:pPr>
          </w:p>
        </w:tc>
        <w:tc>
          <w:tcPr>
            <w:tcW w:w="1065"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450" w:hRule="atLeast"/>
          <w:jc w:val="center"/>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170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本年支出合计</w:t>
            </w:r>
          </w:p>
        </w:tc>
        <w:tc>
          <w:tcPr>
            <w:tcW w:w="173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对附属单位补助支出</w:t>
            </w:r>
          </w:p>
        </w:tc>
      </w:tr>
      <w:tr>
        <w:tblPrEx>
          <w:tblCellMar>
            <w:top w:w="15" w:type="dxa"/>
            <w:left w:w="15" w:type="dxa"/>
            <w:bottom w:w="15" w:type="dxa"/>
            <w:right w:w="15" w:type="dxa"/>
          </w:tblCellMar>
        </w:tblPrEx>
        <w:trPr>
          <w:trHeight w:val="450" w:hRule="atLeast"/>
          <w:jc w:val="center"/>
        </w:trPr>
        <w:tc>
          <w:tcPr>
            <w:tcW w:w="13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科目代码</w:t>
            </w:r>
          </w:p>
        </w:tc>
        <w:tc>
          <w:tcPr>
            <w:tcW w:w="123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科目名称</w:t>
            </w: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r>
      <w:tr>
        <w:tblPrEx>
          <w:tblCellMar>
            <w:top w:w="15" w:type="dxa"/>
            <w:left w:w="15" w:type="dxa"/>
            <w:bottom w:w="15" w:type="dxa"/>
            <w:right w:w="15" w:type="dxa"/>
          </w:tblCellMar>
        </w:tblPrEx>
        <w:trPr>
          <w:trHeight w:val="450" w:hRule="atLeast"/>
          <w:jc w:val="center"/>
        </w:trPr>
        <w:tc>
          <w:tcPr>
            <w:tcW w:w="13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23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50" w:hRule="atLeast"/>
          <w:jc w:val="center"/>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栏次</w:t>
            </w:r>
          </w:p>
        </w:tc>
        <w:tc>
          <w:tcPr>
            <w:tcW w:w="170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173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6</w:t>
            </w:r>
          </w:p>
        </w:tc>
      </w:tr>
      <w:tr>
        <w:tblPrEx>
          <w:tblCellMar>
            <w:top w:w="15" w:type="dxa"/>
            <w:left w:w="15" w:type="dxa"/>
            <w:bottom w:w="15" w:type="dxa"/>
            <w:right w:w="15" w:type="dxa"/>
          </w:tblCellMar>
        </w:tblPrEx>
        <w:trPr>
          <w:trHeight w:val="450" w:hRule="atLeast"/>
          <w:jc w:val="center"/>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kern w:val="0"/>
                <w:sz w:val="20"/>
                <w:szCs w:val="20"/>
                <w:lang w:bidi="ar"/>
              </w:rPr>
              <w:t>合计</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96.31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92.50</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3.81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85.20</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81.39</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11.87</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11.87</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6.86</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6.86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20816</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红十字事业</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73.32</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69.51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2081601</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69.51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69.51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2081602</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630" w:hRule="atLeast"/>
          <w:jc w:val="center"/>
        </w:trPr>
        <w:tc>
          <w:tcPr>
            <w:tcW w:w="10286" w:type="dxa"/>
            <w:gridSpan w:val="9"/>
            <w:shd w:val="clear" w:color="auto" w:fill="auto"/>
            <w:vAlign w:val="center"/>
          </w:tcPr>
          <w:p>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注：本表反映部门本年度各项支出情况。</w:t>
            </w: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9"/>
        <w:tblW w:w="10420" w:type="dxa"/>
        <w:jc w:val="center"/>
        <w:tblLayout w:type="fixed"/>
        <w:tblCellMar>
          <w:top w:w="15" w:type="dxa"/>
          <w:left w:w="15" w:type="dxa"/>
          <w:bottom w:w="15" w:type="dxa"/>
          <w:right w:w="15" w:type="dxa"/>
        </w:tblCellMar>
      </w:tblPr>
      <w:tblGrid>
        <w:gridCol w:w="2390"/>
        <w:gridCol w:w="586"/>
        <w:gridCol w:w="626"/>
        <w:gridCol w:w="2681"/>
        <w:gridCol w:w="494"/>
        <w:gridCol w:w="670"/>
        <w:gridCol w:w="89"/>
        <w:gridCol w:w="960"/>
        <w:gridCol w:w="960"/>
        <w:gridCol w:w="964"/>
      </w:tblGrid>
      <w:tr>
        <w:tblPrEx>
          <w:tblCellMar>
            <w:top w:w="15" w:type="dxa"/>
            <w:left w:w="15" w:type="dxa"/>
            <w:bottom w:w="15" w:type="dxa"/>
            <w:right w:w="15" w:type="dxa"/>
          </w:tblCellMar>
        </w:tblPrEx>
        <w:trPr>
          <w:trHeight w:val="1069" w:hRule="atLeast"/>
          <w:jc w:val="center"/>
        </w:trPr>
        <w:tc>
          <w:tcPr>
            <w:tcW w:w="10420" w:type="dxa"/>
            <w:gridSpan w:val="10"/>
            <w:tcBorders>
              <w:top w:val="nil"/>
              <w:left w:val="nil"/>
              <w:bottom w:val="nil"/>
              <w:right w:val="nil"/>
            </w:tcBorders>
            <w:shd w:val="clear" w:color="auto" w:fill="FFFFFF"/>
            <w:vAlign w:val="bottom"/>
          </w:tcPr>
          <w:p>
            <w:pPr>
              <w:widowControl/>
              <w:ind w:firstLine="3533" w:firstLineChars="1100"/>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b/>
                <w:bCs/>
                <w:color w:val="000000"/>
                <w:kern w:val="0"/>
                <w:sz w:val="32"/>
                <w:szCs w:val="32"/>
                <w:lang w:bidi="ar"/>
              </w:rPr>
              <w:t>财政拨款收入支出决算总表</w:t>
            </w:r>
          </w:p>
        </w:tc>
      </w:tr>
      <w:tr>
        <w:trPr>
          <w:trHeight w:val="347" w:hRule="atLeast"/>
          <w:jc w:val="center"/>
        </w:trPr>
        <w:tc>
          <w:tcPr>
            <w:tcW w:w="3602" w:type="dxa"/>
            <w:gridSpan w:val="3"/>
            <w:tcBorders>
              <w:top w:val="nil"/>
              <w:left w:val="nil"/>
              <w:bottom w:val="nil"/>
              <w:right w:val="nil"/>
            </w:tcBorders>
            <w:shd w:val="clear" w:color="auto" w:fill="FFFFFF"/>
            <w:vAlign w:val="center"/>
          </w:tcPr>
          <w:p>
            <w:pPr>
              <w:widowControl/>
              <w:jc w:val="right"/>
              <w:textAlignment w:val="center"/>
              <w:rPr>
                <w:rFonts w:ascii="Times New Roman" w:hAnsi="Times New Roman" w:eastAsia="仿宋_GB2312" w:cs="Times New Roman"/>
                <w:color w:val="000000"/>
                <w:kern w:val="0"/>
                <w:sz w:val="24"/>
                <w:szCs w:val="24"/>
                <w:lang w:bidi="ar"/>
              </w:rPr>
            </w:pPr>
          </w:p>
        </w:tc>
        <w:tc>
          <w:tcPr>
            <w:tcW w:w="6818" w:type="dxa"/>
            <w:gridSpan w:val="7"/>
            <w:tcBorders>
              <w:top w:val="nil"/>
              <w:left w:val="nil"/>
              <w:bottom w:val="nil"/>
              <w:right w:val="nil"/>
            </w:tcBorders>
            <w:shd w:val="clear" w:color="auto" w:fill="FFFFFF"/>
            <w:vAlign w:val="center"/>
          </w:tcPr>
          <w:p>
            <w:pPr>
              <w:widowControl/>
              <w:jc w:val="right"/>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0"/>
                <w:szCs w:val="20"/>
                <w:lang w:bidi="ar"/>
              </w:rPr>
              <w:t>公开04表</w:t>
            </w:r>
          </w:p>
        </w:tc>
      </w:tr>
      <w:tr>
        <w:tblPrEx>
          <w:tblCellMar>
            <w:top w:w="15" w:type="dxa"/>
            <w:left w:w="15" w:type="dxa"/>
            <w:bottom w:w="15" w:type="dxa"/>
            <w:right w:w="15" w:type="dxa"/>
          </w:tblCellMar>
        </w:tblPrEx>
        <w:trPr>
          <w:trHeight w:val="388" w:hRule="atLeast"/>
          <w:jc w:val="center"/>
        </w:trPr>
        <w:tc>
          <w:tcPr>
            <w:tcW w:w="3602" w:type="dxa"/>
            <w:gridSpan w:val="3"/>
            <w:tcBorders>
              <w:top w:val="nil"/>
              <w:left w:val="nil"/>
              <w:bottom w:val="nil"/>
              <w:right w:val="nil"/>
            </w:tcBorders>
            <w:shd w:val="clear" w:color="auto" w:fill="FFFFFF"/>
            <w:vAlign w:val="center"/>
          </w:tcPr>
          <w:p>
            <w:pPr>
              <w:widowControl/>
              <w:jc w:val="lef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 xml:space="preserve">部门： </w:t>
            </w:r>
            <w:r>
              <w:rPr>
                <w:rFonts w:hint="eastAsia" w:ascii="方正仿宋_GB2312" w:hAnsi="方正仿宋_GB2312" w:eastAsia="方正仿宋_GB2312" w:cs="方正仿宋_GB2312"/>
                <w:color w:val="000000"/>
                <w:kern w:val="0"/>
                <w:sz w:val="20"/>
                <w:szCs w:val="20"/>
                <w:lang w:bidi="ar"/>
              </w:rPr>
              <w:t>石家庄市桥西区红十字会</w:t>
            </w:r>
            <w:r>
              <w:rPr>
                <w:rFonts w:ascii="Times New Roman" w:hAnsi="Times New Roman" w:eastAsia="仿宋_GB2312" w:cs="Times New Roman"/>
                <w:color w:val="000000"/>
                <w:kern w:val="0"/>
                <w:sz w:val="20"/>
                <w:szCs w:val="20"/>
                <w:lang w:bidi="ar"/>
              </w:rPr>
              <w:t xml:space="preserve">      </w:t>
            </w:r>
          </w:p>
        </w:tc>
        <w:tc>
          <w:tcPr>
            <w:tcW w:w="3845" w:type="dxa"/>
            <w:gridSpan w:val="3"/>
            <w:tcBorders>
              <w:top w:val="nil"/>
              <w:left w:val="nil"/>
              <w:bottom w:val="nil"/>
              <w:right w:val="nil"/>
            </w:tcBorders>
            <w:shd w:val="clear" w:color="auto" w:fill="FFFFFF"/>
            <w:vAlign w:val="center"/>
          </w:tcPr>
          <w:p>
            <w:pPr>
              <w:widowControl/>
              <w:jc w:val="center"/>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2024年度</w:t>
            </w:r>
          </w:p>
        </w:tc>
        <w:tc>
          <w:tcPr>
            <w:tcW w:w="2973" w:type="dxa"/>
            <w:gridSpan w:val="4"/>
            <w:tcBorders>
              <w:top w:val="nil"/>
              <w:left w:val="nil"/>
              <w:bottom w:val="nil"/>
              <w:right w:val="nil"/>
            </w:tcBorders>
            <w:shd w:val="clear" w:color="auto" w:fill="FFFFFF"/>
            <w:vAlign w:val="center"/>
          </w:tcPr>
          <w:p>
            <w:pPr>
              <w:widowControl/>
              <w:jc w:val="righ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单位：万元</w:t>
            </w:r>
          </w:p>
        </w:tc>
      </w:tr>
      <w:tr>
        <w:trPr>
          <w:trHeight w:val="535" w:hRule="atLeast"/>
          <w:jc w:val="center"/>
        </w:trPr>
        <w:tc>
          <w:tcPr>
            <w:tcW w:w="360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收入</w:t>
            </w:r>
          </w:p>
        </w:tc>
        <w:tc>
          <w:tcPr>
            <w:tcW w:w="6818"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支出</w:t>
            </w:r>
          </w:p>
        </w:tc>
      </w:tr>
      <w:tr>
        <w:tblPrEx>
          <w:tblCellMar>
            <w:top w:w="15" w:type="dxa"/>
            <w:left w:w="15" w:type="dxa"/>
            <w:bottom w:w="15" w:type="dxa"/>
            <w:right w:w="15" w:type="dxa"/>
          </w:tblCellMar>
        </w:tblPrEx>
        <w:trPr>
          <w:trHeight w:val="997" w:hRule="atLeas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金额</w:t>
            </w: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合计</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一般公共预算财政拨款</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政府性基金预算财政拨款</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国有资本经营预算财政拨款</w:t>
            </w:r>
          </w:p>
        </w:tc>
      </w:tr>
      <w:tr>
        <w:trPr>
          <w:trHeight w:val="535" w:hRule="atLeas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一、一般公共预算财政拨款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r>
              <w:rPr>
                <w:rFonts w:ascii="Times New Roman" w:hAnsi="Times New Roman" w:cs="Times New Roman"/>
                <w:sz w:val="20"/>
                <w:szCs w:val="20"/>
              </w:rPr>
              <w:t>96.49</w:t>
            </w: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一、一般公共服务支出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二、政府性基金预算财政拨款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二、外交支出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6"/>
                <w:szCs w:val="20"/>
              </w:rPr>
              <w:t>三、国有资本经营预算财政拨款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三、国防支出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35</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四、公共安全支出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36</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五、教育支出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37</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六、科学技术支出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38</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5"/>
                <w:szCs w:val="15"/>
              </w:rPr>
            </w:pPr>
            <w:r>
              <w:rPr>
                <w:rFonts w:ascii="Times New Roman" w:hAnsi="Times New Roman" w:eastAsia="仿宋_GB2312" w:cs="Times New Roman"/>
                <w:sz w:val="20"/>
              </w:rPr>
              <w:t>七、文化旅游体育与传媒支出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39</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八、社会保障和就业支出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40</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85.20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85.20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20"/>
              </w:rPr>
              <w:t>九、卫生健康支出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41</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4.61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4.61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10</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十、节能环保支出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42</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11</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十一、城乡社区支出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2"/>
              </w:rPr>
            </w:pPr>
          </w:p>
        </w:tc>
      </w:tr>
      <w:tr>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12</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十二、农林水支出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13</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十三、交通运输支出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45</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2"/>
              </w:rPr>
            </w:pPr>
          </w:p>
        </w:tc>
      </w:tr>
      <w:tr>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14</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18"/>
                <w:szCs w:val="21"/>
              </w:rPr>
              <w:t>十四、资源勘探工业信息等支出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46</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15</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十五、商业服务业等支出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47</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16</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十六、金融支出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48</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17</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十七、援助其他地区支出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49</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18</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8"/>
                <w:szCs w:val="21"/>
              </w:rPr>
              <w:t>十八、自然资源海洋气象等支出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50</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19</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十九、住房保障支出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51</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6.51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6.51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20</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二十、粮油物资储备支出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52</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360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kern w:val="0"/>
                <w:sz w:val="22"/>
                <w:lang w:bidi="ar"/>
              </w:rPr>
            </w:pPr>
            <w:r>
              <w:rPr>
                <w:rFonts w:ascii="Times New Roman" w:hAnsi="Times New Roman" w:eastAsia="仿宋_GB2312" w:cs="Times New Roman"/>
                <w:b/>
                <w:bCs/>
                <w:color w:val="000000"/>
                <w:kern w:val="0"/>
                <w:sz w:val="22"/>
                <w:lang w:bidi="ar"/>
              </w:rPr>
              <w:t>收入</w:t>
            </w:r>
          </w:p>
        </w:tc>
        <w:tc>
          <w:tcPr>
            <w:tcW w:w="6818"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支出</w:t>
            </w:r>
          </w:p>
        </w:tc>
      </w:tr>
      <w:tr>
        <w:trPr>
          <w:trHeight w:val="140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行次</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金额</w:t>
            </w: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行次</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一般公共预算财政拨款</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政府性基金预算财政拨款</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国有资本经营预算财政拨款</w:t>
            </w: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    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    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r>
      <w:tr>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21</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8"/>
                <w:szCs w:val="21"/>
              </w:rPr>
              <w:t>二十一、国有资本经营预算支出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22</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6"/>
                <w:szCs w:val="20"/>
              </w:rPr>
              <w:t>二十二、灾害防治及应急管理支出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23</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二十三、其他支出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55</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24</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二十四、债务还本支出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56</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25</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二十五、债务付息支出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57</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26</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6"/>
                <w:szCs w:val="20"/>
              </w:rPr>
              <w:t>二十六、抗疫特别国债安排的支出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58</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kern w:val="0"/>
                <w:sz w:val="20"/>
                <w:szCs w:val="20"/>
                <w:lang w:bidi="ar"/>
              </w:rPr>
              <w:t>本年收入合计</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kern w:val="0"/>
                <w:sz w:val="20"/>
                <w:szCs w:val="20"/>
                <w:lang w:bidi="ar"/>
              </w:rPr>
              <w:t>27</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96.49</w:t>
            </w: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kern w:val="0"/>
                <w:sz w:val="20"/>
                <w:szCs w:val="20"/>
                <w:lang w:bidi="ar"/>
              </w:rPr>
              <w:t>本年支出合计</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kern w:val="0"/>
                <w:sz w:val="20"/>
                <w:szCs w:val="20"/>
                <w:lang w:bidi="ar"/>
              </w:rPr>
              <w:t>59</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96.31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96.31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年初财政拨款结转和结余</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28</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年末财政拨款结转和结余</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60</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0.17</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0.17</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 xml:space="preserve">  一般公共预算财政拨款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29</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61</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 xml:space="preserve">  政府性基金预算财政拨款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30</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62</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6"/>
                <w:szCs w:val="20"/>
              </w:rPr>
              <w:t xml:space="preserve">  国有资本经营预算财政拨款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31</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597"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kern w:val="0"/>
                <w:sz w:val="20"/>
                <w:szCs w:val="20"/>
                <w:lang w:bidi="ar"/>
              </w:rPr>
              <w:t>总计</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kern w:val="0"/>
                <w:sz w:val="20"/>
                <w:szCs w:val="20"/>
                <w:lang w:bidi="ar"/>
              </w:rPr>
              <w:t>32</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96.49</w:t>
            </w: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kern w:val="0"/>
                <w:sz w:val="20"/>
                <w:szCs w:val="20"/>
                <w:lang w:bidi="ar"/>
              </w:rPr>
              <w:t>总计</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kern w:val="0"/>
                <w:sz w:val="20"/>
                <w:szCs w:val="20"/>
                <w:lang w:bidi="ar"/>
              </w:rPr>
              <w:t>64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宋体" w:cs="Times New Roman"/>
                <w:color w:val="000000"/>
                <w:sz w:val="20"/>
                <w:szCs w:val="20"/>
              </w:rPr>
            </w:pPr>
            <w:r>
              <w:rPr>
                <w:rFonts w:ascii="Times New Roman" w:hAnsi="Times New Roman" w:cs="Times New Roman"/>
                <w:sz w:val="20"/>
                <w:szCs w:val="20"/>
              </w:rPr>
              <w:t>96.49</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s="Times New Roman"/>
                <w:sz w:val="20"/>
                <w:szCs w:val="20"/>
              </w:rPr>
            </w:pPr>
            <w:r>
              <w:rPr>
                <w:rFonts w:ascii="Times New Roman" w:hAnsi="Times New Roman" w:cs="Times New Roman"/>
                <w:sz w:val="20"/>
                <w:szCs w:val="20"/>
              </w:rPr>
              <w:t>96.49</w:t>
            </w:r>
          </w:p>
          <w:p>
            <w:pPr>
              <w:jc w:val="center"/>
              <w:rPr>
                <w:rFonts w:ascii="Times New Roman" w:hAnsi="Times New Roman" w:eastAsia="宋体" w:cs="Times New Roman"/>
                <w:color w:val="000000"/>
                <w:sz w:val="20"/>
                <w:szCs w:val="20"/>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rPr>
          <w:trHeight w:val="843" w:hRule="atLeast"/>
          <w:jc w:val="center"/>
        </w:trPr>
        <w:tc>
          <w:tcPr>
            <w:tcW w:w="10420" w:type="dxa"/>
            <w:gridSpan w:val="10"/>
            <w:shd w:val="clear" w:color="auto" w:fill="auto"/>
            <w:vAlign w:val="center"/>
          </w:tcPr>
          <w:p>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注：本表反映部门本年度一般公共预算财政拨款、政府性基金预算财政拨款和国有资本经营预算财政拨款的总收支和年末结转结余情况。</w:t>
            </w:r>
          </w:p>
        </w:tc>
      </w:tr>
    </w:tbl>
    <w:p>
      <w:pPr>
        <w:widowControl/>
        <w:jc w:val="center"/>
        <w:textAlignment w:val="center"/>
        <w:rPr>
          <w:rFonts w:ascii="Times New Roman" w:hAnsi="Times New Roman" w:eastAsia="仿宋_GB2312" w:cs="Times New Roman"/>
          <w:color w:val="000000"/>
          <w:kern w:val="0"/>
          <w:sz w:val="32"/>
          <w:szCs w:val="32"/>
          <w:lang w:bidi="ar"/>
        </w:rPr>
      </w:pPr>
      <w:r>
        <w:rPr>
          <w:rFonts w:ascii="Times New Roman" w:hAnsi="Times New Roman" w:eastAsia="仿宋_GB2312" w:cs="Times New Roman"/>
          <w:color w:val="000000"/>
          <w:kern w:val="0"/>
          <w:sz w:val="32"/>
          <w:szCs w:val="32"/>
          <w:lang w:bidi="ar"/>
        </w:rPr>
        <w:br w:type="page"/>
      </w:r>
    </w:p>
    <w:tbl>
      <w:tblPr>
        <w:tblStyle w:val="9"/>
        <w:tblW w:w="10900" w:type="dxa"/>
        <w:jc w:val="center"/>
        <w:tblLayout w:type="fixed"/>
        <w:tblCellMar>
          <w:top w:w="15" w:type="dxa"/>
          <w:left w:w="15" w:type="dxa"/>
          <w:bottom w:w="15" w:type="dxa"/>
          <w:right w:w="15" w:type="dxa"/>
        </w:tblCellMar>
      </w:tblPr>
      <w:tblGrid>
        <w:gridCol w:w="602"/>
        <w:gridCol w:w="1085"/>
        <w:gridCol w:w="2337"/>
        <w:gridCol w:w="2397"/>
        <w:gridCol w:w="2186"/>
        <w:gridCol w:w="2293"/>
      </w:tblGrid>
      <w:tr>
        <w:tblPrEx>
          <w:tblCellMar>
            <w:top w:w="15" w:type="dxa"/>
            <w:left w:w="15" w:type="dxa"/>
            <w:bottom w:w="15" w:type="dxa"/>
            <w:right w:w="15" w:type="dxa"/>
          </w:tblCellMar>
        </w:tblPrEx>
        <w:trPr>
          <w:trHeight w:val="628" w:hRule="atLeast"/>
          <w:jc w:val="center"/>
        </w:trPr>
        <w:tc>
          <w:tcPr>
            <w:tcW w:w="10900" w:type="dxa"/>
            <w:gridSpan w:val="6"/>
            <w:shd w:val="clear" w:color="auto" w:fill="FFFFFF"/>
            <w:vAlign w:val="center"/>
          </w:tcPr>
          <w:p>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一般公共预算财政拨款支出决算表</w:t>
            </w:r>
          </w:p>
        </w:tc>
      </w:tr>
      <w:tr>
        <w:trPr>
          <w:trHeight w:val="286" w:hRule="atLeast"/>
          <w:jc w:val="center"/>
        </w:trPr>
        <w:tc>
          <w:tcPr>
            <w:tcW w:w="602" w:type="dxa"/>
            <w:shd w:val="clear" w:color="auto" w:fill="FFFFFF"/>
            <w:vAlign w:val="center"/>
          </w:tcPr>
          <w:p>
            <w:pPr>
              <w:jc w:val="center"/>
              <w:rPr>
                <w:rFonts w:ascii="Times New Roman" w:hAnsi="Times New Roman" w:eastAsia="仿宋_GB2312" w:cs="Times New Roman"/>
                <w:color w:val="000000"/>
                <w:sz w:val="20"/>
                <w:szCs w:val="20"/>
              </w:rPr>
            </w:pPr>
          </w:p>
        </w:tc>
        <w:tc>
          <w:tcPr>
            <w:tcW w:w="1085" w:type="dxa"/>
            <w:shd w:val="clear" w:color="auto" w:fill="FFFFFF"/>
            <w:vAlign w:val="center"/>
          </w:tcPr>
          <w:p>
            <w:pPr>
              <w:jc w:val="center"/>
              <w:rPr>
                <w:rFonts w:ascii="Times New Roman" w:hAnsi="Times New Roman" w:eastAsia="仿宋_GB2312" w:cs="Times New Roman"/>
                <w:color w:val="000000"/>
                <w:sz w:val="20"/>
                <w:szCs w:val="20"/>
              </w:rPr>
            </w:pPr>
          </w:p>
        </w:tc>
        <w:tc>
          <w:tcPr>
            <w:tcW w:w="2337" w:type="dxa"/>
            <w:shd w:val="clear" w:color="auto" w:fill="FFFFFF"/>
            <w:vAlign w:val="center"/>
          </w:tcPr>
          <w:p>
            <w:pPr>
              <w:jc w:val="center"/>
              <w:rPr>
                <w:rFonts w:ascii="Times New Roman" w:hAnsi="Times New Roman" w:eastAsia="仿宋_GB2312" w:cs="Times New Roman"/>
                <w:color w:val="000000"/>
                <w:sz w:val="20"/>
                <w:szCs w:val="20"/>
              </w:rPr>
            </w:pPr>
          </w:p>
        </w:tc>
        <w:tc>
          <w:tcPr>
            <w:tcW w:w="2397" w:type="dxa"/>
            <w:shd w:val="clear" w:color="auto" w:fill="FFFFFF"/>
            <w:vAlign w:val="center"/>
          </w:tcPr>
          <w:p>
            <w:pPr>
              <w:rPr>
                <w:rFonts w:ascii="Times New Roman" w:hAnsi="Times New Roman" w:eastAsia="仿宋_GB2312" w:cs="Times New Roman"/>
                <w:color w:val="000000"/>
                <w:sz w:val="20"/>
                <w:szCs w:val="20"/>
              </w:rPr>
            </w:pPr>
          </w:p>
        </w:tc>
        <w:tc>
          <w:tcPr>
            <w:tcW w:w="2186" w:type="dxa"/>
            <w:shd w:val="clear" w:color="auto" w:fill="FFFFFF"/>
            <w:vAlign w:val="center"/>
          </w:tcPr>
          <w:p>
            <w:pPr>
              <w:rPr>
                <w:rFonts w:ascii="Times New Roman" w:hAnsi="Times New Roman" w:eastAsia="仿宋_GB2312" w:cs="Times New Roman"/>
                <w:color w:val="000000"/>
                <w:sz w:val="20"/>
                <w:szCs w:val="20"/>
              </w:rPr>
            </w:pPr>
          </w:p>
        </w:tc>
        <w:tc>
          <w:tcPr>
            <w:tcW w:w="2293"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w:t>
            </w:r>
            <w:r>
              <w:rPr>
                <w:rStyle w:val="17"/>
                <w:rFonts w:hint="default" w:ascii="Times New Roman" w:hAnsi="Times New Roman" w:eastAsia="仿宋_GB2312" w:cs="Times New Roman"/>
                <w:lang w:bidi="ar"/>
              </w:rPr>
              <w:t>5表</w:t>
            </w:r>
          </w:p>
        </w:tc>
      </w:tr>
      <w:tr>
        <w:tblPrEx>
          <w:tblCellMar>
            <w:top w:w="15" w:type="dxa"/>
            <w:left w:w="15" w:type="dxa"/>
            <w:bottom w:w="15" w:type="dxa"/>
            <w:right w:w="15" w:type="dxa"/>
          </w:tblCellMar>
        </w:tblPrEx>
        <w:trPr>
          <w:trHeight w:val="327" w:hRule="atLeast"/>
          <w:jc w:val="center"/>
        </w:trPr>
        <w:tc>
          <w:tcPr>
            <w:tcW w:w="4024" w:type="dxa"/>
            <w:gridSpan w:val="3"/>
            <w:shd w:val="clear" w:color="auto" w:fill="FFFFFF"/>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color w:val="000000"/>
                <w:kern w:val="0"/>
                <w:sz w:val="20"/>
                <w:szCs w:val="20"/>
                <w:lang w:bidi="ar"/>
              </w:rPr>
              <w:t>石家庄市桥西区红十字会</w:t>
            </w:r>
            <w:r>
              <w:rPr>
                <w:rFonts w:ascii="Times New Roman" w:hAnsi="Times New Roman" w:eastAsia="仿宋_GB2312" w:cs="Times New Roman"/>
                <w:color w:val="000000"/>
                <w:sz w:val="20"/>
                <w:szCs w:val="20"/>
              </w:rPr>
              <w:t xml:space="preserve">             </w:t>
            </w:r>
          </w:p>
        </w:tc>
        <w:tc>
          <w:tcPr>
            <w:tcW w:w="2397" w:type="dxa"/>
            <w:shd w:val="clear" w:color="auto" w:fill="FFFFFF"/>
            <w:vAlign w:val="center"/>
          </w:tcPr>
          <w:p>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2186" w:type="dxa"/>
            <w:shd w:val="clear" w:color="auto" w:fill="FFFFFF"/>
            <w:vAlign w:val="center"/>
          </w:tcPr>
          <w:p>
            <w:pPr>
              <w:rPr>
                <w:rFonts w:ascii="Times New Roman" w:hAnsi="Times New Roman" w:eastAsia="仿宋_GB2312" w:cs="Times New Roman"/>
                <w:color w:val="000000"/>
                <w:sz w:val="20"/>
                <w:szCs w:val="20"/>
              </w:rPr>
            </w:pPr>
          </w:p>
        </w:tc>
        <w:tc>
          <w:tcPr>
            <w:tcW w:w="2293"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rPr>
          <w:trHeight w:val="38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 xml:space="preserve">项 </w:t>
            </w:r>
            <w:r>
              <w:rPr>
                <w:rStyle w:val="18"/>
                <w:rFonts w:hint="default" w:ascii="Times New Roman" w:hAnsi="Times New Roman" w:eastAsia="仿宋_GB2312" w:cs="Times New Roman"/>
                <w:b/>
                <w:lang w:bidi="ar"/>
              </w:rPr>
              <w:t xml:space="preserve">   </w:t>
            </w:r>
            <w:r>
              <w:rPr>
                <w:rStyle w:val="19"/>
                <w:rFonts w:hint="default" w:ascii="Times New Roman" w:hAnsi="Times New Roman" w:eastAsia="仿宋_GB2312" w:cs="Times New Roman"/>
                <w:b/>
                <w:sz w:val="22"/>
                <w:szCs w:val="22"/>
                <w:lang w:bidi="ar"/>
              </w:rPr>
              <w:t>目</w:t>
            </w:r>
          </w:p>
        </w:tc>
        <w:tc>
          <w:tcPr>
            <w:tcW w:w="6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本年支出</w:t>
            </w:r>
          </w:p>
        </w:tc>
      </w:tr>
      <w:tr>
        <w:tblPrEx>
          <w:tblCellMar>
            <w:top w:w="15" w:type="dxa"/>
            <w:left w:w="15" w:type="dxa"/>
            <w:bottom w:w="15" w:type="dxa"/>
            <w:right w:w="15" w:type="dxa"/>
          </w:tblCellMar>
        </w:tblPrEx>
        <w:trPr>
          <w:trHeight w:val="360" w:hRule="atLeast"/>
          <w:jc w:val="center"/>
        </w:trPr>
        <w:tc>
          <w:tcPr>
            <w:tcW w:w="168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3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23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小计</w:t>
            </w:r>
          </w:p>
        </w:tc>
        <w:tc>
          <w:tcPr>
            <w:tcW w:w="21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 xml:space="preserve">基本支出  </w:t>
            </w:r>
          </w:p>
        </w:tc>
        <w:tc>
          <w:tcPr>
            <w:tcW w:w="22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项目支出</w:t>
            </w:r>
          </w:p>
        </w:tc>
      </w:tr>
      <w:tr>
        <w:trPr>
          <w:trHeight w:val="360" w:hRule="atLeast"/>
          <w:jc w:val="center"/>
        </w:trPr>
        <w:tc>
          <w:tcPr>
            <w:tcW w:w="16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3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2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312" w:hRule="atLeast"/>
          <w:jc w:val="center"/>
        </w:trPr>
        <w:tc>
          <w:tcPr>
            <w:tcW w:w="16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3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2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r>
      <w:tr>
        <w:trPr>
          <w:trHeight w:val="36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r>
      <w:tr>
        <w:tblPrEx>
          <w:tblCellMar>
            <w:top w:w="15" w:type="dxa"/>
            <w:left w:w="15" w:type="dxa"/>
            <w:bottom w:w="15" w:type="dxa"/>
            <w:right w:w="15" w:type="dxa"/>
          </w:tblCellMar>
        </w:tblPrEx>
        <w:trPr>
          <w:trHeight w:val="36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kern w:val="0"/>
                <w:sz w:val="20"/>
                <w:szCs w:val="20"/>
                <w:lang w:bidi="ar"/>
              </w:rPr>
              <w:t>合计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96.31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92.50</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3.81</w:t>
            </w:r>
          </w:p>
        </w:tc>
      </w:tr>
      <w:tr>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85.20</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81.39</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3.81</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11.87</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11.87</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r>
      <w:tr>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6.86</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6.86</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r>
      <w:tr>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20816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红十字事业</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73.32</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69.51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3.81</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2081601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69.51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69.51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r>
      <w:tr>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2081602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3.81</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r>
      <w:tr>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r>
      <w:tr>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r>
      <w:tr>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宋体" w:cs="Times New Roman"/>
                <w:color w:val="000000"/>
                <w:sz w:val="20"/>
                <w:szCs w:val="20"/>
              </w:rPr>
            </w:pPr>
          </w:p>
        </w:tc>
      </w:tr>
      <w:tr>
        <w:tblPrEx>
          <w:tblCellMar>
            <w:top w:w="15" w:type="dxa"/>
            <w:left w:w="15" w:type="dxa"/>
            <w:bottom w:w="15" w:type="dxa"/>
            <w:right w:w="15" w:type="dxa"/>
          </w:tblCellMar>
        </w:tblPrEx>
        <w:trPr>
          <w:trHeight w:val="803" w:hRule="atLeast"/>
          <w:jc w:val="center"/>
        </w:trPr>
        <w:tc>
          <w:tcPr>
            <w:tcW w:w="10900" w:type="dxa"/>
            <w:gridSpan w:val="6"/>
            <w:shd w:val="clear" w:color="auto" w:fill="auto"/>
            <w:vAlign w:val="center"/>
          </w:tcPr>
          <w:p>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注：本表反映部门本年度一般公共预算财政拨款支出情况。</w:t>
            </w: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9"/>
        <w:tblW w:w="10760" w:type="dxa"/>
        <w:jc w:val="center"/>
        <w:tblLayout w:type="fixed"/>
        <w:tblCellMar>
          <w:top w:w="15" w:type="dxa"/>
          <w:left w:w="15" w:type="dxa"/>
          <w:bottom w:w="15" w:type="dxa"/>
          <w:right w:w="15" w:type="dxa"/>
        </w:tblCellMar>
      </w:tblPr>
      <w:tblGrid>
        <w:gridCol w:w="663"/>
        <w:gridCol w:w="2440"/>
        <w:gridCol w:w="544"/>
        <w:gridCol w:w="634"/>
        <w:gridCol w:w="1871"/>
        <w:gridCol w:w="721"/>
        <w:gridCol w:w="615"/>
        <w:gridCol w:w="2543"/>
        <w:gridCol w:w="729"/>
      </w:tblGrid>
      <w:tr>
        <w:tblPrEx>
          <w:tblCellMar>
            <w:top w:w="15" w:type="dxa"/>
            <w:left w:w="15" w:type="dxa"/>
            <w:bottom w:w="15" w:type="dxa"/>
            <w:right w:w="15" w:type="dxa"/>
          </w:tblCellMar>
        </w:tblPrEx>
        <w:trPr>
          <w:trHeight w:val="619" w:hRule="atLeast"/>
          <w:jc w:val="center"/>
        </w:trPr>
        <w:tc>
          <w:tcPr>
            <w:tcW w:w="10760" w:type="dxa"/>
            <w:gridSpan w:val="9"/>
            <w:shd w:val="clear" w:color="auto" w:fill="FFFFFF"/>
            <w:vAlign w:val="center"/>
          </w:tcPr>
          <w:p>
            <w:pPr>
              <w:widowControl/>
              <w:tabs>
                <w:tab w:val="left" w:pos="3809"/>
              </w:tabs>
              <w:jc w:val="center"/>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b/>
                <w:bCs/>
                <w:color w:val="000000"/>
                <w:kern w:val="0"/>
                <w:sz w:val="32"/>
                <w:szCs w:val="32"/>
                <w:lang w:bidi="ar"/>
              </w:rPr>
              <w:t>一般公共预算财政拨款基本支出决算</w:t>
            </w:r>
            <w:r>
              <w:rPr>
                <w:rStyle w:val="20"/>
                <w:rFonts w:hint="default" w:ascii="Times New Roman" w:hAnsi="Times New Roman" w:eastAsia="仿宋_GB2312" w:cs="Times New Roman"/>
                <w:b/>
                <w:bCs/>
                <w:lang w:bidi="ar"/>
              </w:rPr>
              <w:t>明细</w:t>
            </w:r>
            <w:r>
              <w:rPr>
                <w:rStyle w:val="21"/>
                <w:rFonts w:hint="default" w:ascii="Times New Roman" w:hAnsi="Times New Roman" w:eastAsia="仿宋_GB2312" w:cs="Times New Roman"/>
                <w:b/>
                <w:bCs/>
                <w:lang w:bidi="ar"/>
              </w:rPr>
              <w:t>表</w:t>
            </w:r>
          </w:p>
        </w:tc>
      </w:tr>
      <w:tr>
        <w:trPr>
          <w:trHeight w:val="211" w:hRule="atLeast"/>
          <w:jc w:val="center"/>
        </w:trPr>
        <w:tc>
          <w:tcPr>
            <w:tcW w:w="663" w:type="dxa"/>
            <w:shd w:val="clear" w:color="auto" w:fill="FFFFFF"/>
            <w:vAlign w:val="center"/>
          </w:tcPr>
          <w:p>
            <w:pPr>
              <w:jc w:val="center"/>
              <w:rPr>
                <w:rFonts w:ascii="Times New Roman" w:hAnsi="Times New Roman" w:eastAsia="仿宋_GB2312" w:cs="Times New Roman"/>
                <w:color w:val="000000"/>
                <w:sz w:val="20"/>
                <w:szCs w:val="20"/>
              </w:rPr>
            </w:pPr>
          </w:p>
        </w:tc>
        <w:tc>
          <w:tcPr>
            <w:tcW w:w="2440" w:type="dxa"/>
            <w:shd w:val="clear" w:color="auto" w:fill="FFFFFF"/>
            <w:vAlign w:val="center"/>
          </w:tcPr>
          <w:p>
            <w:pPr>
              <w:jc w:val="center"/>
              <w:rPr>
                <w:rFonts w:ascii="Times New Roman" w:hAnsi="Times New Roman" w:eastAsia="仿宋_GB2312" w:cs="Times New Roman"/>
                <w:color w:val="000000"/>
                <w:sz w:val="20"/>
                <w:szCs w:val="20"/>
              </w:rPr>
            </w:pPr>
          </w:p>
        </w:tc>
        <w:tc>
          <w:tcPr>
            <w:tcW w:w="544" w:type="dxa"/>
            <w:shd w:val="clear" w:color="auto" w:fill="FFFFFF"/>
            <w:vAlign w:val="center"/>
          </w:tcPr>
          <w:p>
            <w:pPr>
              <w:jc w:val="center"/>
              <w:rPr>
                <w:rFonts w:ascii="Times New Roman" w:hAnsi="Times New Roman" w:eastAsia="仿宋_GB2312" w:cs="Times New Roman"/>
                <w:color w:val="000000"/>
                <w:sz w:val="20"/>
                <w:szCs w:val="20"/>
              </w:rPr>
            </w:pPr>
          </w:p>
        </w:tc>
        <w:tc>
          <w:tcPr>
            <w:tcW w:w="634" w:type="dxa"/>
            <w:shd w:val="clear" w:color="auto" w:fill="FFFFFF"/>
            <w:vAlign w:val="center"/>
          </w:tcPr>
          <w:p>
            <w:pPr>
              <w:rPr>
                <w:rFonts w:ascii="Times New Roman" w:hAnsi="Times New Roman" w:eastAsia="仿宋_GB2312" w:cs="Times New Roman"/>
                <w:color w:val="000000"/>
                <w:sz w:val="20"/>
                <w:szCs w:val="20"/>
              </w:rPr>
            </w:pPr>
          </w:p>
        </w:tc>
        <w:tc>
          <w:tcPr>
            <w:tcW w:w="1871" w:type="dxa"/>
            <w:shd w:val="clear" w:color="auto" w:fill="FFFFFF"/>
            <w:vAlign w:val="center"/>
          </w:tcPr>
          <w:p>
            <w:pPr>
              <w:rPr>
                <w:rFonts w:ascii="Times New Roman" w:hAnsi="Times New Roman" w:eastAsia="仿宋_GB2312" w:cs="Times New Roman"/>
                <w:color w:val="000000"/>
                <w:sz w:val="20"/>
                <w:szCs w:val="20"/>
              </w:rPr>
            </w:pPr>
          </w:p>
        </w:tc>
        <w:tc>
          <w:tcPr>
            <w:tcW w:w="721" w:type="dxa"/>
            <w:shd w:val="clear" w:color="auto" w:fill="FFFFFF"/>
            <w:vAlign w:val="center"/>
          </w:tcPr>
          <w:p>
            <w:pPr>
              <w:rPr>
                <w:rFonts w:ascii="Times New Roman" w:hAnsi="Times New Roman" w:eastAsia="仿宋_GB2312" w:cs="Times New Roman"/>
                <w:color w:val="000000"/>
                <w:sz w:val="20"/>
                <w:szCs w:val="20"/>
              </w:rPr>
            </w:pPr>
          </w:p>
        </w:tc>
        <w:tc>
          <w:tcPr>
            <w:tcW w:w="615" w:type="dxa"/>
            <w:shd w:val="clear" w:color="auto" w:fill="FFFFFF"/>
            <w:vAlign w:val="center"/>
          </w:tcPr>
          <w:p>
            <w:pPr>
              <w:rPr>
                <w:rFonts w:ascii="Times New Roman" w:hAnsi="Times New Roman" w:eastAsia="仿宋_GB2312" w:cs="Times New Roman"/>
                <w:color w:val="000000"/>
                <w:sz w:val="20"/>
                <w:szCs w:val="20"/>
              </w:rPr>
            </w:pPr>
          </w:p>
        </w:tc>
        <w:tc>
          <w:tcPr>
            <w:tcW w:w="3272" w:type="dxa"/>
            <w:gridSpan w:val="2"/>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公开06表</w:t>
            </w:r>
          </w:p>
        </w:tc>
      </w:tr>
      <w:tr>
        <w:tblPrEx>
          <w:tblCellMar>
            <w:top w:w="15" w:type="dxa"/>
            <w:left w:w="15" w:type="dxa"/>
            <w:bottom w:w="15" w:type="dxa"/>
            <w:right w:w="15" w:type="dxa"/>
          </w:tblCellMar>
        </w:tblPrEx>
        <w:trPr>
          <w:trHeight w:val="266" w:hRule="atLeast"/>
          <w:jc w:val="center"/>
        </w:trPr>
        <w:tc>
          <w:tcPr>
            <w:tcW w:w="663" w:type="dxa"/>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p>
        </w:tc>
        <w:tc>
          <w:tcPr>
            <w:tcW w:w="2440" w:type="dxa"/>
            <w:shd w:val="clear" w:color="auto" w:fill="auto"/>
            <w:vAlign w:val="center"/>
          </w:tcPr>
          <w:p>
            <w:pPr>
              <w:rPr>
                <w:rFonts w:ascii="Times New Roman" w:hAnsi="Times New Roman" w:eastAsia="仿宋_GB2312" w:cs="Times New Roman"/>
                <w:color w:val="000000"/>
                <w:sz w:val="20"/>
                <w:szCs w:val="20"/>
              </w:rPr>
            </w:pPr>
            <w:r>
              <w:rPr>
                <w:rFonts w:hint="eastAsia" w:ascii="方正仿宋_GB2312" w:hAnsi="方正仿宋_GB2312" w:eastAsia="方正仿宋_GB2312" w:cs="方正仿宋_GB2312"/>
                <w:color w:val="000000"/>
                <w:kern w:val="0"/>
                <w:sz w:val="18"/>
                <w:szCs w:val="18"/>
                <w:lang w:bidi="ar"/>
              </w:rPr>
              <w:t>石家庄市桥西区红十字会</w:t>
            </w:r>
          </w:p>
        </w:tc>
        <w:tc>
          <w:tcPr>
            <w:tcW w:w="544" w:type="dxa"/>
            <w:shd w:val="clear" w:color="auto" w:fill="auto"/>
            <w:vAlign w:val="center"/>
          </w:tcPr>
          <w:p>
            <w:pPr>
              <w:rPr>
                <w:rFonts w:ascii="Times New Roman" w:hAnsi="Times New Roman" w:eastAsia="仿宋_GB2312" w:cs="Times New Roman"/>
                <w:color w:val="000000"/>
                <w:sz w:val="20"/>
                <w:szCs w:val="20"/>
              </w:rPr>
            </w:pPr>
          </w:p>
        </w:tc>
        <w:tc>
          <w:tcPr>
            <w:tcW w:w="634" w:type="dxa"/>
            <w:shd w:val="clear" w:color="auto" w:fill="auto"/>
            <w:vAlign w:val="center"/>
          </w:tcPr>
          <w:p>
            <w:pPr>
              <w:rPr>
                <w:rFonts w:ascii="Times New Roman" w:hAnsi="Times New Roman" w:eastAsia="仿宋_GB2312" w:cs="Times New Roman"/>
                <w:color w:val="000000"/>
                <w:sz w:val="20"/>
                <w:szCs w:val="20"/>
              </w:rPr>
            </w:pPr>
          </w:p>
        </w:tc>
        <w:tc>
          <w:tcPr>
            <w:tcW w:w="1871" w:type="dxa"/>
            <w:shd w:val="clear" w:color="auto" w:fill="auto"/>
            <w:vAlign w:val="center"/>
          </w:tcPr>
          <w:p>
            <w:pPr>
              <w:ind w:firstLine="600" w:firstLineChars="3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721" w:type="dxa"/>
            <w:shd w:val="clear" w:color="auto" w:fill="auto"/>
            <w:vAlign w:val="center"/>
          </w:tcPr>
          <w:p>
            <w:pPr>
              <w:rPr>
                <w:rFonts w:ascii="Times New Roman" w:hAnsi="Times New Roman" w:eastAsia="仿宋_GB2312" w:cs="Times New Roman"/>
                <w:color w:val="000000"/>
                <w:sz w:val="20"/>
                <w:szCs w:val="20"/>
              </w:rPr>
            </w:pPr>
          </w:p>
        </w:tc>
        <w:tc>
          <w:tcPr>
            <w:tcW w:w="615" w:type="dxa"/>
            <w:shd w:val="clear" w:color="auto" w:fill="auto"/>
            <w:vAlign w:val="center"/>
          </w:tcPr>
          <w:p>
            <w:pPr>
              <w:rPr>
                <w:rFonts w:ascii="Times New Roman" w:hAnsi="Times New Roman" w:eastAsia="仿宋_GB2312" w:cs="Times New Roman"/>
                <w:color w:val="000000"/>
                <w:sz w:val="20"/>
                <w:szCs w:val="20"/>
              </w:rPr>
            </w:pPr>
          </w:p>
        </w:tc>
        <w:tc>
          <w:tcPr>
            <w:tcW w:w="3272" w:type="dxa"/>
            <w:gridSpan w:val="2"/>
            <w:shd w:val="clear" w:color="auto" w:fill="auto"/>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rPr>
          <w:trHeight w:val="629"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工资福利支出</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80.42</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商品和服务支出</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6.72</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债务利息及费用支出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sz w:val="18"/>
                <w:szCs w:val="18"/>
              </w:rPr>
            </w:pPr>
          </w:p>
        </w:tc>
      </w:tr>
      <w:tr>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基本工资</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20.50</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办公费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0.72</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30701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国内债务付息</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sz w:val="18"/>
                <w:szCs w:val="18"/>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30102</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津贴补贴</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16.12</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印刷费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30702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国外债务付息</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sz w:val="18"/>
                <w:szCs w:val="18"/>
              </w:rPr>
            </w:pPr>
          </w:p>
        </w:tc>
      </w:tr>
      <w:tr>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30103</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奖金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7.02</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30203</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咨询费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资本性支出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0.48</w:t>
            </w: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30106</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伙食补助费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heme="minorEastAsia" w:hAnsiTheme="minorEastAsia" w:cstheme="minorEastAsia"/>
                <w:color w:val="000000"/>
                <w:sz w:val="18"/>
                <w:szCs w:val="18"/>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手续费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房屋建筑物购建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sz w:val="18"/>
                <w:szCs w:val="18"/>
              </w:rPr>
            </w:pPr>
          </w:p>
        </w:tc>
      </w:tr>
      <w:tr>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30107</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绩效工资</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12.63</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水费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0.04</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办公设备购置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0.48</w:t>
            </w:r>
          </w:p>
        </w:tc>
      </w:tr>
      <w:tr>
        <w:tblPrEx>
          <w:tblCellMar>
            <w:top w:w="15" w:type="dxa"/>
            <w:left w:w="15" w:type="dxa"/>
            <w:bottom w:w="15" w:type="dxa"/>
            <w:right w:w="15" w:type="dxa"/>
          </w:tblCellMar>
        </w:tblPrEx>
        <w:trPr>
          <w:trHeight w:val="294"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30108</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5"/>
                <w:szCs w:val="15"/>
                <w:lang w:bidi="ar"/>
              </w:rPr>
              <w:t>机关事业单位基本养老保险缴费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6.86</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电费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0.16</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31003</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专用设备购置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heme="minorEastAsia" w:hAnsiTheme="minorEastAsia" w:cstheme="minorEastAsia"/>
                <w:color w:val="000000"/>
                <w:sz w:val="18"/>
                <w:szCs w:val="18"/>
              </w:rPr>
            </w:pPr>
          </w:p>
        </w:tc>
      </w:tr>
      <w:tr>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30109</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职业年金缴费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sz w:val="18"/>
                <w:szCs w:val="18"/>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邮电费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2.41</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31005</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基础设施建设</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heme="minorEastAsia" w:hAnsiTheme="minorEastAsia" w:cstheme="minorEastAsia"/>
                <w:color w:val="000000"/>
                <w:sz w:val="18"/>
                <w:szCs w:val="18"/>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30110</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职工基本医疗保险缴费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4.61</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取暖费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31006</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大型修缮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r>
      <w:tr>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公务员医疗补助缴费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物业管理费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信息网络及软件购置更新</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30112</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其他社会保障缴费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1.68</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差旅费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31008</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物资储备</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30113</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住房公积金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7.05</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lang w:bidi="ar"/>
              </w:rPr>
              <w:t xml:space="preserve">  因公出国（境）费用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土地补偿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30114</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医疗费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30213</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维修（护）费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安置补助</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30199</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其他工资福利支出</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3.95</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租赁费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地上附着物和青苗补偿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对个人和家庭的补助</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4.88</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会议费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拆迁补偿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离休费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培训费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31013</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公务用车购置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30302</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退休费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4.73</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公务接待费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其他交通工具购置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30303</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退职（役）费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专用材料费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31021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文物和陈列品购置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30304</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抚恤金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被装购置费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31022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无形资产购置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30305</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生活补助</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专用燃料费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其他资本性支出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30306</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救济费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劳务费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ind w:left="214" w:leftChars="102"/>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30307</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医疗费补助</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委托业务费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国家赔偿费用支出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462"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30308</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助学金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工会经费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0.66</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39908</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对民间非营利组织和群众性自治组织补贴</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30309</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奖励金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r>
              <w:rPr>
                <w:rFonts w:ascii="Times New Roman" w:hAnsi="Times New Roman" w:cs="Times New Roman"/>
                <w:sz w:val="18"/>
                <w:szCs w:val="18"/>
              </w:rPr>
              <w:t>0.15</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福利费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0.25</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经常性赠与</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30310</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个人农业生产补贴</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30231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6"/>
                <w:szCs w:val="16"/>
                <w:lang w:bidi="ar"/>
              </w:rPr>
              <w:t xml:space="preserve"> 公务用车运行维护费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资本性赠与</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30311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代缴社会保险费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30239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其他交通费用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2.16</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29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30399</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其他对个人和家庭的补助</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30240</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税金及附加费用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18"/>
                <w:szCs w:val="18"/>
              </w:rPr>
            </w:pP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18"/>
                <w:szCs w:val="18"/>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rPr>
          <w:trHeight w:val="230"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30299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6"/>
                <w:szCs w:val="16"/>
                <w:lang w:bidi="ar"/>
              </w:rPr>
              <w:t xml:space="preserve"> 其他商品和服务支出</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0.32</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18"/>
                <w:szCs w:val="18"/>
              </w:rPr>
            </w:pP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18"/>
                <w:szCs w:val="18"/>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43" w:hRule="atLeast"/>
          <w:jc w:val="center"/>
        </w:trPr>
        <w:tc>
          <w:tcPr>
            <w:tcW w:w="31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人员经费合计</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r>
              <w:rPr>
                <w:rFonts w:ascii="Times New Roman" w:hAnsi="Times New Roman" w:cs="Times New Roman"/>
                <w:sz w:val="18"/>
                <w:szCs w:val="18"/>
              </w:rPr>
              <w:t>85.30</w:t>
            </w:r>
          </w:p>
        </w:tc>
        <w:tc>
          <w:tcPr>
            <w:tcW w:w="638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公用经费合计</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18"/>
                <w:szCs w:val="18"/>
              </w:rPr>
            </w:pPr>
            <w:r>
              <w:rPr>
                <w:rFonts w:ascii="Times New Roman" w:hAnsi="Times New Roman" w:cs="Times New Roman"/>
                <w:sz w:val="18"/>
                <w:szCs w:val="18"/>
              </w:rPr>
              <w:t>7.20</w:t>
            </w: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lang w:bidi="ar"/>
        </w:rPr>
        <w:t>注：本表反映部门本年度一般公共预算财政拨款基本支出明细情况。</w:t>
      </w:r>
    </w:p>
    <w:tbl>
      <w:tblPr>
        <w:tblStyle w:val="9"/>
        <w:tblW w:w="10350" w:type="dxa"/>
        <w:jc w:val="center"/>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trPr>
          <w:trHeight w:val="600" w:hRule="atLeast"/>
          <w:jc w:val="center"/>
        </w:trPr>
        <w:tc>
          <w:tcPr>
            <w:tcW w:w="10350" w:type="dxa"/>
            <w:gridSpan w:val="9"/>
            <w:shd w:val="clear" w:color="auto" w:fill="FFFFFF"/>
            <w:vAlign w:val="center"/>
          </w:tcPr>
          <w:p>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政府性基金预算财政拨款收入支出决算表</w:t>
            </w:r>
          </w:p>
        </w:tc>
      </w:tr>
      <w:tr>
        <w:trPr>
          <w:trHeight w:val="211" w:hRule="atLeast"/>
          <w:jc w:val="center"/>
        </w:trPr>
        <w:tc>
          <w:tcPr>
            <w:tcW w:w="555" w:type="dxa"/>
            <w:shd w:val="clear" w:color="auto" w:fill="FFFFFF"/>
            <w:vAlign w:val="center"/>
          </w:tcPr>
          <w:p>
            <w:pPr>
              <w:jc w:val="center"/>
              <w:rPr>
                <w:rFonts w:ascii="Times New Roman" w:hAnsi="Times New Roman" w:eastAsia="仿宋_GB2312" w:cs="Times New Roman"/>
                <w:color w:val="000000"/>
                <w:sz w:val="20"/>
                <w:szCs w:val="20"/>
              </w:rPr>
            </w:pPr>
          </w:p>
        </w:tc>
        <w:tc>
          <w:tcPr>
            <w:tcW w:w="1080" w:type="dxa"/>
            <w:shd w:val="clear" w:color="auto" w:fill="FFFFFF"/>
            <w:vAlign w:val="center"/>
          </w:tcPr>
          <w:p>
            <w:pPr>
              <w:jc w:val="center"/>
              <w:rPr>
                <w:rFonts w:ascii="Times New Roman" w:hAnsi="Times New Roman" w:eastAsia="仿宋_GB2312" w:cs="Times New Roman"/>
                <w:color w:val="000000"/>
                <w:sz w:val="20"/>
                <w:szCs w:val="20"/>
              </w:rPr>
            </w:pPr>
          </w:p>
        </w:tc>
        <w:tc>
          <w:tcPr>
            <w:tcW w:w="1321" w:type="dxa"/>
            <w:shd w:val="clear" w:color="auto" w:fill="FFFFFF"/>
            <w:vAlign w:val="center"/>
          </w:tcPr>
          <w:p>
            <w:pPr>
              <w:jc w:val="center"/>
              <w:rPr>
                <w:rFonts w:ascii="Times New Roman" w:hAnsi="Times New Roman" w:eastAsia="仿宋_GB2312" w:cs="Times New Roman"/>
                <w:color w:val="000000"/>
                <w:sz w:val="20"/>
                <w:szCs w:val="20"/>
              </w:rPr>
            </w:pPr>
          </w:p>
        </w:tc>
        <w:tc>
          <w:tcPr>
            <w:tcW w:w="1996" w:type="dxa"/>
            <w:shd w:val="clear" w:color="auto" w:fill="auto"/>
            <w:vAlign w:val="bottom"/>
          </w:tcPr>
          <w:p>
            <w:pPr>
              <w:rPr>
                <w:rFonts w:ascii="Times New Roman" w:hAnsi="Times New Roman" w:eastAsia="仿宋_GB2312" w:cs="Times New Roman"/>
                <w:color w:val="000000"/>
                <w:sz w:val="24"/>
              </w:rPr>
            </w:pPr>
          </w:p>
        </w:tc>
        <w:tc>
          <w:tcPr>
            <w:tcW w:w="1080" w:type="dxa"/>
            <w:shd w:val="clear" w:color="auto" w:fill="auto"/>
            <w:vAlign w:val="bottom"/>
          </w:tcPr>
          <w:p>
            <w:pPr>
              <w:rPr>
                <w:rFonts w:ascii="Times New Roman" w:hAnsi="Times New Roman" w:eastAsia="仿宋_GB2312" w:cs="Times New Roman"/>
                <w:color w:val="000000"/>
                <w:sz w:val="24"/>
              </w:rPr>
            </w:pPr>
          </w:p>
        </w:tc>
        <w:tc>
          <w:tcPr>
            <w:tcW w:w="1080" w:type="dxa"/>
            <w:shd w:val="clear" w:color="auto" w:fill="auto"/>
            <w:vAlign w:val="bottom"/>
          </w:tcPr>
          <w:p>
            <w:pPr>
              <w:rPr>
                <w:rFonts w:ascii="Times New Roman" w:hAnsi="Times New Roman" w:eastAsia="仿宋_GB2312" w:cs="Times New Roman"/>
                <w:color w:val="000000"/>
                <w:sz w:val="24"/>
              </w:rPr>
            </w:pPr>
          </w:p>
        </w:tc>
        <w:tc>
          <w:tcPr>
            <w:tcW w:w="1080" w:type="dxa"/>
            <w:shd w:val="clear" w:color="auto" w:fill="auto"/>
            <w:vAlign w:val="bottom"/>
          </w:tcPr>
          <w:p>
            <w:pPr>
              <w:rPr>
                <w:rFonts w:ascii="Times New Roman" w:hAnsi="Times New Roman" w:eastAsia="仿宋_GB2312" w:cs="Times New Roman"/>
                <w:color w:val="000000"/>
                <w:sz w:val="24"/>
              </w:rPr>
            </w:pPr>
          </w:p>
        </w:tc>
        <w:tc>
          <w:tcPr>
            <w:tcW w:w="1081" w:type="dxa"/>
            <w:shd w:val="clear" w:color="auto" w:fill="auto"/>
            <w:vAlign w:val="bottom"/>
          </w:tcPr>
          <w:p>
            <w:pPr>
              <w:rPr>
                <w:rFonts w:ascii="Times New Roman" w:hAnsi="Times New Roman" w:eastAsia="仿宋_GB2312" w:cs="Times New Roman"/>
                <w:color w:val="000000"/>
                <w:sz w:val="24"/>
              </w:rPr>
            </w:pPr>
          </w:p>
        </w:tc>
        <w:tc>
          <w:tcPr>
            <w:tcW w:w="1077"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公开07表</w:t>
            </w:r>
          </w:p>
        </w:tc>
      </w:tr>
      <w:tr>
        <w:trPr>
          <w:trHeight w:val="301" w:hRule="atLeast"/>
          <w:jc w:val="center"/>
        </w:trPr>
        <w:tc>
          <w:tcPr>
            <w:tcW w:w="555" w:type="dxa"/>
            <w:shd w:val="clear" w:color="auto" w:fill="FFFFFF"/>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p>
        </w:tc>
        <w:tc>
          <w:tcPr>
            <w:tcW w:w="2401" w:type="dxa"/>
            <w:gridSpan w:val="2"/>
            <w:shd w:val="clear" w:color="auto" w:fill="FFFFFF"/>
            <w:vAlign w:val="center"/>
          </w:tcPr>
          <w:p>
            <w:pPr>
              <w:jc w:val="center"/>
              <w:rPr>
                <w:rFonts w:ascii="Times New Roman" w:hAnsi="Times New Roman" w:eastAsia="仿宋_GB2312" w:cs="Times New Roman"/>
                <w:color w:val="000000"/>
                <w:sz w:val="20"/>
                <w:szCs w:val="20"/>
              </w:rPr>
            </w:pPr>
            <w:r>
              <w:rPr>
                <w:rFonts w:hint="eastAsia" w:ascii="方正仿宋_GB2312" w:hAnsi="方正仿宋_GB2312" w:eastAsia="方正仿宋_GB2312" w:cs="方正仿宋_GB2312"/>
                <w:color w:val="000000"/>
                <w:kern w:val="0"/>
                <w:sz w:val="20"/>
                <w:szCs w:val="20"/>
                <w:lang w:bidi="ar"/>
              </w:rPr>
              <w:t>石家庄市桥西区红十字会</w:t>
            </w:r>
          </w:p>
        </w:tc>
        <w:tc>
          <w:tcPr>
            <w:tcW w:w="1996" w:type="dxa"/>
            <w:shd w:val="clear" w:color="auto" w:fill="FFFFFF"/>
            <w:vAlign w:val="center"/>
          </w:tcPr>
          <w:p>
            <w:pPr>
              <w:rPr>
                <w:rFonts w:ascii="Times New Roman" w:hAnsi="Times New Roman" w:eastAsia="仿宋_GB2312" w:cs="Times New Roman"/>
                <w:color w:val="000000"/>
                <w:sz w:val="20"/>
                <w:szCs w:val="20"/>
              </w:rPr>
            </w:pPr>
          </w:p>
        </w:tc>
        <w:tc>
          <w:tcPr>
            <w:tcW w:w="1080" w:type="dxa"/>
            <w:shd w:val="clear" w:color="auto" w:fill="FFFFFF"/>
            <w:vAlign w:val="center"/>
          </w:tcPr>
          <w:p>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80" w:type="dxa"/>
            <w:shd w:val="clear" w:color="auto" w:fill="FFFFFF"/>
            <w:vAlign w:val="center"/>
          </w:tcPr>
          <w:p>
            <w:pPr>
              <w:rPr>
                <w:rFonts w:ascii="Times New Roman" w:hAnsi="Times New Roman" w:eastAsia="仿宋_GB2312" w:cs="Times New Roman"/>
                <w:color w:val="000000"/>
                <w:sz w:val="20"/>
                <w:szCs w:val="20"/>
              </w:rPr>
            </w:pPr>
          </w:p>
        </w:tc>
        <w:tc>
          <w:tcPr>
            <w:tcW w:w="1080" w:type="dxa"/>
            <w:shd w:val="clear" w:color="auto" w:fill="FFFFFF"/>
            <w:vAlign w:val="center"/>
          </w:tcPr>
          <w:p>
            <w:pPr>
              <w:rPr>
                <w:rFonts w:ascii="Times New Roman" w:hAnsi="Times New Roman" w:eastAsia="仿宋_GB2312" w:cs="Times New Roman"/>
                <w:color w:val="000000"/>
                <w:sz w:val="20"/>
                <w:szCs w:val="20"/>
              </w:rPr>
            </w:pPr>
          </w:p>
        </w:tc>
        <w:tc>
          <w:tcPr>
            <w:tcW w:w="1081" w:type="dxa"/>
            <w:shd w:val="clear" w:color="auto" w:fill="FFFFFF"/>
            <w:vAlign w:val="center"/>
          </w:tcPr>
          <w:p>
            <w:pPr>
              <w:rPr>
                <w:rFonts w:ascii="Times New Roman" w:hAnsi="Times New Roman" w:eastAsia="仿宋_GB2312" w:cs="Times New Roman"/>
                <w:color w:val="000000"/>
                <w:sz w:val="20"/>
                <w:szCs w:val="20"/>
              </w:rPr>
            </w:pPr>
          </w:p>
        </w:tc>
        <w:tc>
          <w:tcPr>
            <w:tcW w:w="1077"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rPr>
          <w:trHeight w:val="405"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项    </w:t>
            </w:r>
            <w:r>
              <w:rPr>
                <w:rStyle w:val="22"/>
                <w:rFonts w:hint="default" w:ascii="Times New Roman" w:hAnsi="Times New Roman" w:eastAsia="仿宋_GB2312" w:cs="Times New Roman"/>
                <w:b/>
                <w:bCs/>
                <w:sz w:val="22"/>
                <w:szCs w:val="22"/>
                <w:lang w:bidi="ar"/>
              </w:rPr>
              <w:t>目</w:t>
            </w:r>
          </w:p>
        </w:tc>
        <w:tc>
          <w:tcPr>
            <w:tcW w:w="1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本年收入</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年末结转和结余</w:t>
            </w:r>
          </w:p>
        </w:tc>
      </w:tr>
      <w:tr>
        <w:trPr>
          <w:trHeight w:val="540" w:hRule="atLeast"/>
          <w:jc w:val="center"/>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基本支出  </w:t>
            </w:r>
          </w:p>
        </w:tc>
        <w:tc>
          <w:tcPr>
            <w:tcW w:w="10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r>
      <w:tr>
        <w:trPr>
          <w:trHeight w:val="36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r>
      <w:tr>
        <w:trPr>
          <w:trHeight w:val="45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r>
      <w:tr>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6</w:t>
            </w:r>
          </w:p>
        </w:tc>
      </w:tr>
      <w:tr>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合计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r>
      <w:tr>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r>
      <w:tr>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r>
      <w:tr>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r>
      <w:tr>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r>
      <w:tr>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r>
      <w:tr>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r>
      <w:tr>
        <w:trPr>
          <w:trHeight w:val="645" w:hRule="atLeast"/>
          <w:jc w:val="center"/>
        </w:trPr>
        <w:tc>
          <w:tcPr>
            <w:tcW w:w="10350" w:type="dxa"/>
            <w:gridSpan w:val="9"/>
            <w:shd w:val="clear" w:color="auto" w:fill="auto"/>
            <w:vAlign w:val="center"/>
          </w:tcPr>
          <w:p>
            <w:pPr>
              <w:rPr>
                <w:rFonts w:ascii="Times New Roman" w:hAnsi="Times New Roman" w:eastAsia="仿宋_GB2312" w:cs="Times New Roman"/>
                <w:b/>
              </w:rPr>
            </w:pPr>
            <w:r>
              <w:rPr>
                <w:rFonts w:ascii="Times New Roman" w:hAnsi="Times New Roman" w:eastAsia="仿宋_GB2312" w:cs="Times New Roman"/>
                <w:color w:val="000000"/>
                <w:kern w:val="0"/>
                <w:sz w:val="24"/>
                <w:szCs w:val="24"/>
                <w:lang w:bidi="ar"/>
              </w:rPr>
              <w:t>注：本表反映部门本年度政府性基金预算财政拨款收入、支出及结转和结余情况。</w:t>
            </w:r>
          </w:p>
          <w:p>
            <w:pPr>
              <w:widowControl/>
              <w:jc w:val="left"/>
              <w:textAlignment w:val="center"/>
              <w:rPr>
                <w:rFonts w:ascii="Times New Roman" w:hAnsi="Times New Roman" w:eastAsia="仿宋_GB2312" w:cs="Times New Roman"/>
                <w:color w:val="000000"/>
                <w:sz w:val="24"/>
              </w:rPr>
            </w:pP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9"/>
        <w:tblW w:w="10422" w:type="dxa"/>
        <w:jc w:val="center"/>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rPr>
          <w:trHeight w:val="720" w:hRule="atLeast"/>
          <w:jc w:val="center"/>
        </w:trPr>
        <w:tc>
          <w:tcPr>
            <w:tcW w:w="10422" w:type="dxa"/>
            <w:gridSpan w:val="9"/>
            <w:shd w:val="clear" w:color="auto" w:fill="FFFFFF"/>
            <w:vAlign w:val="center"/>
          </w:tcPr>
          <w:p>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国有资本经营预算财政拨款支出决算表</w:t>
            </w:r>
          </w:p>
        </w:tc>
      </w:tr>
      <w:tr>
        <w:tblPrEx>
          <w:tblCellMar>
            <w:top w:w="15" w:type="dxa"/>
            <w:left w:w="15" w:type="dxa"/>
            <w:bottom w:w="15" w:type="dxa"/>
            <w:right w:w="15" w:type="dxa"/>
          </w:tblCellMar>
        </w:tblPrEx>
        <w:trPr>
          <w:trHeight w:val="286" w:hRule="atLeast"/>
          <w:jc w:val="center"/>
        </w:trPr>
        <w:tc>
          <w:tcPr>
            <w:tcW w:w="1016" w:type="dxa"/>
            <w:shd w:val="clear" w:color="auto" w:fill="FFFFFF"/>
            <w:vAlign w:val="center"/>
          </w:tcPr>
          <w:p>
            <w:pPr>
              <w:jc w:val="center"/>
              <w:rPr>
                <w:rFonts w:ascii="Times New Roman" w:hAnsi="Times New Roman" w:eastAsia="仿宋_GB2312" w:cs="Times New Roman"/>
                <w:color w:val="000000"/>
                <w:sz w:val="20"/>
                <w:szCs w:val="20"/>
              </w:rPr>
            </w:pPr>
          </w:p>
        </w:tc>
        <w:tc>
          <w:tcPr>
            <w:tcW w:w="995" w:type="dxa"/>
            <w:gridSpan w:val="2"/>
            <w:shd w:val="clear" w:color="auto" w:fill="FFFFFF"/>
            <w:vAlign w:val="center"/>
          </w:tcPr>
          <w:p>
            <w:pPr>
              <w:jc w:val="center"/>
              <w:rPr>
                <w:rFonts w:ascii="Times New Roman" w:hAnsi="Times New Roman" w:eastAsia="仿宋_GB2312" w:cs="Times New Roman"/>
                <w:color w:val="000000"/>
                <w:sz w:val="20"/>
                <w:szCs w:val="20"/>
              </w:rPr>
            </w:pPr>
          </w:p>
        </w:tc>
        <w:tc>
          <w:tcPr>
            <w:tcW w:w="1056" w:type="dxa"/>
            <w:shd w:val="clear" w:color="auto" w:fill="FFFFFF"/>
            <w:vAlign w:val="center"/>
          </w:tcPr>
          <w:p>
            <w:pPr>
              <w:jc w:val="center"/>
              <w:rPr>
                <w:rFonts w:ascii="Times New Roman" w:hAnsi="Times New Roman" w:eastAsia="仿宋_GB2312" w:cs="Times New Roman"/>
                <w:color w:val="000000"/>
                <w:sz w:val="20"/>
                <w:szCs w:val="20"/>
              </w:rPr>
            </w:pPr>
          </w:p>
        </w:tc>
        <w:tc>
          <w:tcPr>
            <w:tcW w:w="3181" w:type="dxa"/>
            <w:gridSpan w:val="2"/>
            <w:shd w:val="clear" w:color="auto" w:fill="FFFFFF"/>
            <w:vAlign w:val="center"/>
          </w:tcPr>
          <w:p>
            <w:pPr>
              <w:rPr>
                <w:rFonts w:ascii="Times New Roman" w:hAnsi="Times New Roman" w:eastAsia="仿宋_GB2312" w:cs="Times New Roman"/>
                <w:color w:val="000000"/>
                <w:sz w:val="20"/>
                <w:szCs w:val="20"/>
              </w:rPr>
            </w:pPr>
          </w:p>
        </w:tc>
        <w:tc>
          <w:tcPr>
            <w:tcW w:w="1036" w:type="dxa"/>
            <w:shd w:val="clear" w:color="auto" w:fill="FFFFFF"/>
            <w:vAlign w:val="center"/>
          </w:tcPr>
          <w:p>
            <w:pPr>
              <w:rPr>
                <w:rFonts w:ascii="Times New Roman" w:hAnsi="Times New Roman" w:eastAsia="仿宋_GB2312" w:cs="Times New Roman"/>
                <w:color w:val="000000"/>
                <w:sz w:val="20"/>
                <w:szCs w:val="20"/>
              </w:rPr>
            </w:pPr>
          </w:p>
        </w:tc>
        <w:tc>
          <w:tcPr>
            <w:tcW w:w="3138" w:type="dxa"/>
            <w:gridSpan w:val="2"/>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公开08表</w:t>
            </w:r>
          </w:p>
        </w:tc>
      </w:tr>
      <w:tr>
        <w:tblPrEx>
          <w:tblCellMar>
            <w:top w:w="15" w:type="dxa"/>
            <w:left w:w="15" w:type="dxa"/>
            <w:bottom w:w="15" w:type="dxa"/>
            <w:right w:w="15" w:type="dxa"/>
          </w:tblCellMar>
        </w:tblPrEx>
        <w:trPr>
          <w:trHeight w:val="382" w:hRule="atLeast"/>
          <w:jc w:val="center"/>
        </w:trPr>
        <w:tc>
          <w:tcPr>
            <w:tcW w:w="3067" w:type="dxa"/>
            <w:gridSpan w:val="4"/>
            <w:shd w:val="clear" w:color="auto" w:fill="FFFFFF"/>
            <w:vAlign w:val="center"/>
          </w:tcPr>
          <w:p>
            <w:pP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color w:val="000000"/>
                <w:kern w:val="0"/>
                <w:sz w:val="20"/>
                <w:szCs w:val="20"/>
                <w:lang w:bidi="ar"/>
              </w:rPr>
              <w:t xml:space="preserve">石家庄市桥西区红十字会 </w:t>
            </w:r>
          </w:p>
        </w:tc>
        <w:tc>
          <w:tcPr>
            <w:tcW w:w="3181" w:type="dxa"/>
            <w:gridSpan w:val="2"/>
            <w:shd w:val="clear" w:color="auto" w:fill="FFFFFF"/>
            <w:vAlign w:val="center"/>
          </w:tcPr>
          <w:p>
            <w:pPr>
              <w:ind w:firstLine="1800" w:firstLineChars="9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36" w:type="dxa"/>
            <w:shd w:val="clear" w:color="auto" w:fill="FFFFFF"/>
            <w:vAlign w:val="center"/>
          </w:tcPr>
          <w:p>
            <w:pPr>
              <w:rPr>
                <w:rFonts w:ascii="Times New Roman" w:hAnsi="Times New Roman" w:eastAsia="仿宋_GB2312" w:cs="Times New Roman"/>
                <w:color w:val="000000"/>
                <w:sz w:val="20"/>
                <w:szCs w:val="20"/>
              </w:rPr>
            </w:pPr>
          </w:p>
        </w:tc>
        <w:tc>
          <w:tcPr>
            <w:tcW w:w="3138" w:type="dxa"/>
            <w:gridSpan w:val="2"/>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本年支出</w:t>
            </w:r>
          </w:p>
        </w:tc>
      </w:tr>
      <w:tr>
        <w:trPr>
          <w:trHeight w:val="390" w:hRule="atLeast"/>
          <w:jc w:val="center"/>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项目支出</w:t>
            </w:r>
          </w:p>
        </w:tc>
      </w:tr>
      <w:tr>
        <w:tblPrEx>
          <w:tblCellMar>
            <w:top w:w="15" w:type="dxa"/>
            <w:left w:w="15" w:type="dxa"/>
            <w:bottom w:w="15" w:type="dxa"/>
            <w:right w:w="15" w:type="dxa"/>
          </w:tblCellMar>
        </w:tblPrEx>
        <w:trPr>
          <w:trHeight w:val="390"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312"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r>
      <w:tr>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r>
      <w:tr>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r>
      <w:tr>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r>
      <w:tr>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4"/>
              </w:rPr>
            </w:pPr>
          </w:p>
        </w:tc>
      </w:tr>
      <w:tr>
        <w:trPr>
          <w:trHeight w:val="720" w:hRule="atLeast"/>
          <w:jc w:val="center"/>
        </w:trPr>
        <w:tc>
          <w:tcPr>
            <w:tcW w:w="10422" w:type="dxa"/>
            <w:gridSpan w:val="9"/>
            <w:shd w:val="clear" w:color="auto" w:fill="auto"/>
            <w:vAlign w:val="center"/>
          </w:tcPr>
          <w:p>
            <w:pPr>
              <w:rPr>
                <w:rFonts w:ascii="Times New Roman" w:hAnsi="Times New Roman" w:eastAsia="仿宋_GB2312" w:cs="Times New Roman"/>
                <w:b/>
              </w:rPr>
            </w:pPr>
            <w:r>
              <w:rPr>
                <w:rFonts w:ascii="Times New Roman" w:hAnsi="Times New Roman" w:eastAsia="仿宋_GB2312" w:cs="Times New Roman"/>
                <w:color w:val="000000"/>
                <w:kern w:val="0"/>
                <w:sz w:val="24"/>
                <w:szCs w:val="24"/>
                <w:lang w:bidi="ar"/>
              </w:rPr>
              <w:t>注：本表反映部门本年度国有资本经营预算财政拨款支出情况。</w:t>
            </w:r>
            <w:r>
              <w:rPr>
                <w:rFonts w:ascii="Times New Roman" w:hAnsi="Times New Roman" w:eastAsia="仿宋_GB2312" w:cs="Times New Roman"/>
                <w:b/>
              </w:rPr>
              <w:br w:type="page"/>
            </w:r>
          </w:p>
          <w:p>
            <w:pPr>
              <w:widowControl/>
              <w:jc w:val="left"/>
              <w:textAlignment w:val="center"/>
              <w:rPr>
                <w:rFonts w:ascii="Times New Roman" w:hAnsi="Times New Roman" w:eastAsia="仿宋_GB2312" w:cs="Times New Roman"/>
                <w:color w:val="000000"/>
                <w:sz w:val="24"/>
              </w:rPr>
            </w:pP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9"/>
        <w:tblW w:w="13090" w:type="dxa"/>
        <w:tblInd w:w="-552" w:type="dxa"/>
        <w:tblLayout w:type="fixed"/>
        <w:tblCellMar>
          <w:top w:w="15" w:type="dxa"/>
          <w:left w:w="15" w:type="dxa"/>
          <w:bottom w:w="15" w:type="dxa"/>
          <w:right w:w="15" w:type="dxa"/>
        </w:tblCellMar>
      </w:tblPr>
      <w:tblGrid>
        <w:gridCol w:w="723"/>
        <w:gridCol w:w="468"/>
        <w:gridCol w:w="357"/>
        <w:gridCol w:w="711"/>
        <w:gridCol w:w="77"/>
        <w:gridCol w:w="881"/>
        <w:gridCol w:w="97"/>
        <w:gridCol w:w="939"/>
        <w:gridCol w:w="116"/>
        <w:gridCol w:w="1056"/>
        <w:gridCol w:w="240"/>
        <w:gridCol w:w="740"/>
        <w:gridCol w:w="768"/>
        <w:gridCol w:w="492"/>
        <w:gridCol w:w="165"/>
        <w:gridCol w:w="731"/>
        <w:gridCol w:w="172"/>
        <w:gridCol w:w="803"/>
        <w:gridCol w:w="252"/>
        <w:gridCol w:w="939"/>
        <w:gridCol w:w="116"/>
        <w:gridCol w:w="240"/>
        <w:gridCol w:w="240"/>
        <w:gridCol w:w="1767"/>
      </w:tblGrid>
      <w:tr>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财政拨款“三公”经费支出决算表</w:t>
            </w:r>
          </w:p>
        </w:tc>
      </w:tr>
      <w:tr>
        <w:tblPrEx>
          <w:tblCellMar>
            <w:top w:w="15" w:type="dxa"/>
            <w:left w:w="15" w:type="dxa"/>
            <w:bottom w:w="15" w:type="dxa"/>
            <w:right w:w="15" w:type="dxa"/>
          </w:tblCellMar>
        </w:tblPrEx>
        <w:trPr>
          <w:gridAfter w:val="1"/>
          <w:wAfter w:w="1767" w:type="dxa"/>
          <w:trHeight w:val="211" w:hRule="atLeast"/>
        </w:trPr>
        <w:tc>
          <w:tcPr>
            <w:tcW w:w="1191" w:type="dxa"/>
            <w:gridSpan w:val="2"/>
            <w:shd w:val="clear" w:color="auto" w:fill="auto"/>
            <w:vAlign w:val="center"/>
          </w:tcPr>
          <w:p>
            <w:pPr>
              <w:jc w:val="center"/>
              <w:rPr>
                <w:rFonts w:ascii="Times New Roman" w:hAnsi="Times New Roman" w:eastAsia="仿宋_GB2312" w:cs="Times New Roman"/>
                <w:color w:val="000000"/>
                <w:sz w:val="24"/>
              </w:rPr>
            </w:pPr>
          </w:p>
        </w:tc>
        <w:tc>
          <w:tcPr>
            <w:tcW w:w="1068" w:type="dxa"/>
            <w:gridSpan w:val="2"/>
            <w:shd w:val="clear" w:color="auto" w:fill="auto"/>
            <w:vAlign w:val="center"/>
          </w:tcPr>
          <w:p>
            <w:pPr>
              <w:jc w:val="center"/>
              <w:rPr>
                <w:rFonts w:ascii="Times New Roman" w:hAnsi="Times New Roman" w:eastAsia="仿宋_GB2312" w:cs="Times New Roman"/>
                <w:color w:val="000000"/>
                <w:sz w:val="24"/>
              </w:rPr>
            </w:pPr>
          </w:p>
        </w:tc>
        <w:tc>
          <w:tcPr>
            <w:tcW w:w="1055" w:type="dxa"/>
            <w:gridSpan w:val="3"/>
            <w:shd w:val="clear" w:color="auto" w:fill="auto"/>
            <w:vAlign w:val="center"/>
          </w:tcPr>
          <w:p>
            <w:pPr>
              <w:jc w:val="center"/>
              <w:rPr>
                <w:rFonts w:ascii="Times New Roman" w:hAnsi="Times New Roman" w:eastAsia="仿宋_GB2312" w:cs="Times New Roman"/>
                <w:color w:val="000000"/>
                <w:sz w:val="24"/>
              </w:rPr>
            </w:pPr>
          </w:p>
        </w:tc>
        <w:tc>
          <w:tcPr>
            <w:tcW w:w="1055" w:type="dxa"/>
            <w:gridSpan w:val="2"/>
            <w:shd w:val="clear" w:color="auto" w:fill="auto"/>
            <w:vAlign w:val="center"/>
          </w:tcPr>
          <w:p>
            <w:pPr>
              <w:rPr>
                <w:rFonts w:ascii="Times New Roman" w:hAnsi="Times New Roman" w:eastAsia="仿宋_GB2312" w:cs="Times New Roman"/>
                <w:color w:val="000000"/>
                <w:sz w:val="24"/>
              </w:rPr>
            </w:pPr>
          </w:p>
        </w:tc>
        <w:tc>
          <w:tcPr>
            <w:tcW w:w="1056" w:type="dxa"/>
            <w:shd w:val="clear" w:color="auto" w:fill="auto"/>
            <w:vAlign w:val="center"/>
          </w:tcPr>
          <w:p>
            <w:pPr>
              <w:rPr>
                <w:rFonts w:ascii="Times New Roman" w:hAnsi="Times New Roman" w:eastAsia="仿宋_GB2312" w:cs="Times New Roman"/>
                <w:color w:val="000000"/>
                <w:sz w:val="24"/>
              </w:rPr>
            </w:pPr>
          </w:p>
        </w:tc>
        <w:tc>
          <w:tcPr>
            <w:tcW w:w="240" w:type="dxa"/>
            <w:shd w:val="clear" w:color="auto" w:fill="auto"/>
            <w:vAlign w:val="center"/>
          </w:tcPr>
          <w:p>
            <w:pPr>
              <w:widowControl/>
              <w:jc w:val="right"/>
              <w:textAlignment w:val="center"/>
              <w:rPr>
                <w:rFonts w:ascii="Times New Roman" w:hAnsi="Times New Roman" w:eastAsia="仿宋_GB2312" w:cs="Times New Roman"/>
                <w:color w:val="000000"/>
                <w:sz w:val="24"/>
              </w:rPr>
            </w:pPr>
          </w:p>
        </w:tc>
        <w:tc>
          <w:tcPr>
            <w:tcW w:w="2000" w:type="dxa"/>
            <w:gridSpan w:val="3"/>
            <w:shd w:val="clear" w:color="auto" w:fill="auto"/>
            <w:vAlign w:val="bottom"/>
          </w:tcPr>
          <w:p>
            <w:pPr>
              <w:jc w:val="right"/>
              <w:rPr>
                <w:rFonts w:ascii="Times New Roman" w:hAnsi="Times New Roman" w:eastAsia="仿宋_GB2312" w:cs="Times New Roman"/>
                <w:color w:val="000000"/>
                <w:sz w:val="24"/>
              </w:rPr>
            </w:pPr>
          </w:p>
        </w:tc>
        <w:tc>
          <w:tcPr>
            <w:tcW w:w="1068" w:type="dxa"/>
            <w:gridSpan w:val="3"/>
            <w:shd w:val="clear" w:color="auto" w:fill="auto"/>
            <w:vAlign w:val="bottom"/>
          </w:tcPr>
          <w:p>
            <w:pPr>
              <w:wordWrap w:val="0"/>
              <w:jc w:val="right"/>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 xml:space="preserve">    </w:t>
            </w:r>
          </w:p>
        </w:tc>
        <w:tc>
          <w:tcPr>
            <w:tcW w:w="1055" w:type="dxa"/>
            <w:gridSpan w:val="2"/>
            <w:shd w:val="clear" w:color="auto" w:fill="auto"/>
            <w:vAlign w:val="bottom"/>
          </w:tcPr>
          <w:p>
            <w:pPr>
              <w:jc w:val="right"/>
              <w:rPr>
                <w:rFonts w:ascii="Times New Roman" w:hAnsi="Times New Roman" w:eastAsia="仿宋_GB2312" w:cs="Times New Roman"/>
                <w:color w:val="000000"/>
                <w:sz w:val="24"/>
              </w:rPr>
            </w:pPr>
          </w:p>
        </w:tc>
        <w:tc>
          <w:tcPr>
            <w:tcW w:w="1055" w:type="dxa"/>
            <w:gridSpan w:val="2"/>
            <w:shd w:val="clear" w:color="auto" w:fill="auto"/>
            <w:vAlign w:val="bottom"/>
          </w:tcPr>
          <w:p>
            <w:pPr>
              <w:jc w:val="left"/>
              <w:rPr>
                <w:rFonts w:ascii="Times New Roman" w:hAnsi="Times New Roman" w:eastAsia="仿宋_GB2312" w:cs="Times New Roman"/>
                <w:color w:val="000000"/>
                <w:sz w:val="24"/>
              </w:rPr>
            </w:pPr>
            <w:r>
              <w:rPr>
                <w:rFonts w:ascii="Times New Roman" w:hAnsi="Times New Roman" w:eastAsia="仿宋_GB2312" w:cs="Times New Roman"/>
                <w:color w:val="000000"/>
                <w:szCs w:val="21"/>
              </w:rPr>
              <w:t>公开</w:t>
            </w:r>
            <w:r>
              <w:rPr>
                <w:rFonts w:ascii="Times New Roman" w:hAnsi="Times New Roman" w:eastAsia="仿宋_GB2312" w:cs="Times New Roman"/>
                <w:color w:val="000000"/>
                <w:sz w:val="20"/>
                <w:szCs w:val="20"/>
              </w:rPr>
              <w:t>09</w:t>
            </w:r>
            <w:r>
              <w:rPr>
                <w:rFonts w:ascii="Times New Roman" w:hAnsi="Times New Roman" w:eastAsia="仿宋_GB2312" w:cs="Times New Roman"/>
                <w:color w:val="000000"/>
                <w:szCs w:val="21"/>
              </w:rPr>
              <w:t>表</w:t>
            </w:r>
          </w:p>
        </w:tc>
        <w:tc>
          <w:tcPr>
            <w:tcW w:w="240" w:type="dxa"/>
            <w:shd w:val="clear" w:color="auto" w:fill="auto"/>
            <w:vAlign w:val="bottom"/>
          </w:tcPr>
          <w:p>
            <w:pPr>
              <w:rPr>
                <w:rFonts w:ascii="Times New Roman" w:hAnsi="Times New Roman" w:eastAsia="仿宋_GB2312" w:cs="Times New Roman"/>
                <w:color w:val="000000"/>
                <w:sz w:val="24"/>
              </w:rPr>
            </w:pPr>
          </w:p>
        </w:tc>
        <w:tc>
          <w:tcPr>
            <w:tcW w:w="240"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gridAfter w:val="1"/>
          <w:wAfter w:w="1767" w:type="dxa"/>
          <w:trHeight w:val="301" w:hRule="atLeast"/>
        </w:trPr>
        <w:tc>
          <w:tcPr>
            <w:tcW w:w="3314" w:type="dxa"/>
            <w:gridSpan w:val="7"/>
            <w:shd w:val="clear" w:color="auto" w:fill="FFFFFF"/>
            <w:vAlign w:val="center"/>
          </w:tcPr>
          <w:p>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color w:val="000000"/>
                <w:kern w:val="0"/>
                <w:sz w:val="20"/>
                <w:szCs w:val="20"/>
                <w:lang w:bidi="ar"/>
              </w:rPr>
              <w:t xml:space="preserve">石家庄市桥西区红十字会 </w:t>
            </w:r>
          </w:p>
        </w:tc>
        <w:tc>
          <w:tcPr>
            <w:tcW w:w="1055" w:type="dxa"/>
            <w:gridSpan w:val="2"/>
            <w:shd w:val="clear" w:color="auto" w:fill="FFFFFF"/>
            <w:vAlign w:val="center"/>
          </w:tcPr>
          <w:p>
            <w:pPr>
              <w:jc w:val="right"/>
              <w:rPr>
                <w:rFonts w:ascii="Times New Roman" w:hAnsi="Times New Roman" w:eastAsia="仿宋_GB2312" w:cs="Times New Roman"/>
                <w:color w:val="000000"/>
                <w:sz w:val="20"/>
                <w:szCs w:val="20"/>
              </w:rPr>
            </w:pPr>
          </w:p>
        </w:tc>
        <w:tc>
          <w:tcPr>
            <w:tcW w:w="1056" w:type="dxa"/>
            <w:shd w:val="clear" w:color="auto" w:fill="FFFFFF"/>
            <w:vAlign w:val="center"/>
          </w:tcPr>
          <w:p>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240" w:type="dxa"/>
            <w:shd w:val="clear" w:color="auto" w:fill="FFFFFF"/>
            <w:vAlign w:val="center"/>
          </w:tcPr>
          <w:p>
            <w:pPr>
              <w:widowControl/>
              <w:ind w:right="-5048" w:rightChars="-2404"/>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c>
          <w:tcPr>
            <w:tcW w:w="5418" w:type="dxa"/>
            <w:gridSpan w:val="11"/>
            <w:shd w:val="clear" w:color="auto" w:fill="FFFFFF"/>
            <w:vAlign w:val="center"/>
          </w:tcPr>
          <w:p>
            <w:pPr>
              <w:widowControl/>
              <w:tabs>
                <w:tab w:val="left" w:pos="630"/>
                <w:tab w:val="left" w:pos="5250"/>
              </w:tabs>
              <w:ind w:right="346" w:rightChars="165"/>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 xml:space="preserve">                                        </w:t>
            </w:r>
            <w:r>
              <w:rPr>
                <w:rFonts w:ascii="Times New Roman" w:hAnsi="Times New Roman" w:eastAsia="仿宋_GB2312" w:cs="Times New Roman"/>
                <w:color w:val="000000"/>
                <w:kern w:val="0"/>
                <w:sz w:val="20"/>
                <w:szCs w:val="20"/>
                <w:lang w:bidi="ar"/>
              </w:rPr>
              <w:t>单位：万元</w:t>
            </w:r>
          </w:p>
        </w:tc>
        <w:tc>
          <w:tcPr>
            <w:tcW w:w="240"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预算数</w:t>
            </w:r>
          </w:p>
        </w:tc>
        <w:tc>
          <w:tcPr>
            <w:tcW w:w="506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r>
      <w:tr>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因公出国（境）费</w:t>
            </w:r>
          </w:p>
        </w:tc>
        <w:tc>
          <w:tcPr>
            <w:tcW w:w="270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公务用车购置及运行维护费</w:t>
            </w:r>
          </w:p>
        </w:tc>
        <w:tc>
          <w:tcPr>
            <w:tcW w:w="14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公务接待费</w:t>
            </w:r>
          </w:p>
        </w:tc>
      </w:tr>
      <w:tr>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公务用车购置费</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公务用车运行维护费</w:t>
            </w:r>
          </w:p>
        </w:tc>
        <w:tc>
          <w:tcPr>
            <w:tcW w:w="14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kern w:val="0"/>
                <w:sz w:val="22"/>
                <w:lang w:bidi="ar"/>
              </w:rPr>
            </w:pPr>
            <w:r>
              <w:rPr>
                <w:rFonts w:ascii="Times New Roman" w:hAnsi="Times New Roman" w:eastAsia="仿宋_GB2312" w:cs="Times New Roman"/>
                <w:b/>
                <w:bCs/>
                <w:color w:val="000000"/>
                <w:kern w:val="0"/>
                <w:sz w:val="22"/>
                <w:lang w:bidi="ar"/>
              </w:rPr>
              <w:t>公务用车</w:t>
            </w:r>
          </w:p>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r>
      <w:tr>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11</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12</w:t>
            </w:r>
          </w:p>
        </w:tc>
      </w:tr>
      <w:tr>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0.08</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方正仿宋_GB2312" w:cs="Times New Roman"/>
                <w:color w:val="000000"/>
                <w:sz w:val="18"/>
                <w:szCs w:val="18"/>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方正仿宋_GB2312" w:cs="Times New Roman"/>
                <w:color w:val="000000"/>
                <w:sz w:val="18"/>
                <w:szCs w:val="18"/>
              </w:rPr>
            </w:pP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方正仿宋_GB2312" w:cs="Times New Roman"/>
                <w:color w:val="000000"/>
                <w:sz w:val="18"/>
                <w:szCs w:val="18"/>
              </w:rPr>
            </w:pP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方正仿宋_GB2312" w:cs="Times New Roman"/>
                <w:color w:val="000000"/>
                <w:sz w:val="18"/>
                <w:szCs w:val="18"/>
              </w:rPr>
            </w:pP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0.08</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2"/>
              </w:rPr>
            </w:pP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2"/>
              </w:rPr>
            </w:pP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2"/>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2"/>
              </w:rPr>
            </w:pP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900" w:hRule="atLeast"/>
        </w:trPr>
        <w:tc>
          <w:tcPr>
            <w:tcW w:w="13090" w:type="dxa"/>
            <w:gridSpan w:val="24"/>
            <w:shd w:val="clear" w:color="auto" w:fill="auto"/>
            <w:vAlign w:val="center"/>
          </w:tcPr>
          <w:p>
            <w:pPr>
              <w:widowControl/>
              <w:ind w:right="2339" w:rightChars="1114"/>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widowControl/>
        <w:spacing w:after="312" w:afterLines="100" w:line="580" w:lineRule="exact"/>
        <w:ind w:left="1757"/>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2024年度部门决算情况说明</w:t>
      </w:r>
    </w:p>
    <w:p>
      <w:pPr>
        <w:rPr>
          <w:rFonts w:ascii="Times New Roman" w:hAnsi="Times New Roman" w:eastAsia="黑体" w:cs="Times New Roman"/>
          <w:sz w:val="32"/>
          <w:szCs w:val="32"/>
        </w:rPr>
      </w:pPr>
    </w:p>
    <w:p>
      <w:pPr>
        <w:spacing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一、收入</w:t>
      </w:r>
      <w:r>
        <w:rPr>
          <w:rFonts w:ascii="Times New Roman" w:hAnsi="Times New Roman" w:eastAsia="黑体" w:cs="Times New Roman"/>
          <w:kern w:val="0"/>
          <w:sz w:val="32"/>
          <w:szCs w:val="32"/>
        </w:rPr>
        <w:t>支出</w:t>
      </w:r>
      <w:r>
        <w:rPr>
          <w:rFonts w:ascii="Times New Roman" w:hAnsi="Times New Roman" w:eastAsia="黑体" w:cs="Times New Roman"/>
          <w:sz w:val="32"/>
          <w:szCs w:val="32"/>
        </w:rPr>
        <w:t>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本部门2024年度收、支总计（含结转和结余）均为96.49万元。与2023年度决算相比，收支各减少29.86万元，下降23.6%，主要原因是。</w:t>
      </w:r>
      <w:r>
        <w:rPr>
          <w:rFonts w:hint="eastAsia" w:ascii="Times New Roman" w:hAnsi="Times New Roman" w:eastAsia="宋体"/>
        </w:rPr>
        <w:drawing>
          <wp:anchor distT="0" distB="0" distL="114300" distR="114300" simplePos="0" relativeHeight="251663360" behindDoc="0" locked="0" layoutInCell="1" allowOverlap="1">
            <wp:simplePos x="0" y="0"/>
            <wp:positionH relativeFrom="column">
              <wp:posOffset>5080</wp:posOffset>
            </wp:positionH>
            <wp:positionV relativeFrom="paragraph">
              <wp:posOffset>1273175</wp:posOffset>
            </wp:positionV>
            <wp:extent cx="5256530" cy="2988310"/>
            <wp:effectExtent l="5080" t="4445" r="8890" b="17145"/>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二、收入决算情况说明</w:t>
      </w:r>
    </w:p>
    <w:p>
      <w:pPr>
        <w:adjustRightInd w:val="0"/>
        <w:snapToGrid w:val="0"/>
        <w:spacing w:line="580" w:lineRule="exact"/>
        <w:ind w:firstLine="640" w:firstLineChars="200"/>
        <w:rPr>
          <w:rFonts w:ascii="Times New Roman" w:eastAsia="仿宋_GB2312"/>
          <w:sz w:val="32"/>
          <w:szCs w:val="32"/>
        </w:rPr>
      </w:pPr>
      <w:r>
        <w:rPr>
          <w:rFonts w:ascii="Times New Roman" w:eastAsia="仿宋_GB2312"/>
          <w:sz w:val="32"/>
          <w:szCs w:val="32"/>
        </w:rPr>
        <w:t>本部门2024年度本年收入合计96.49万元，其中：财政拨款收入96.49万元，占100%​；上级补助收入0万元，占0%；</w:t>
      </w:r>
      <w:bookmarkStart w:id="0" w:name="_GoBack"/>
      <w:r>
        <w:rPr>
          <w:rFonts w:ascii="Times New Roman" w:hAnsi="Times New Roman" w:eastAsia="仿宋_GB2312"/>
          <w:sz w:val="32"/>
          <w:szCs w:val="32"/>
          <w:highlight w:val="yellow"/>
        </w:rPr>
        <w:drawing>
          <wp:anchor distT="0" distB="0" distL="114300" distR="114300" simplePos="0" relativeHeight="251664384" behindDoc="0" locked="0" layoutInCell="1" allowOverlap="1">
            <wp:simplePos x="0" y="0"/>
            <wp:positionH relativeFrom="column">
              <wp:posOffset>581025</wp:posOffset>
            </wp:positionH>
            <wp:positionV relativeFrom="paragraph">
              <wp:posOffset>-1304290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bookmarkEnd w:id="0"/>
      <w:r>
        <w:rPr>
          <w:rFonts w:ascii="Times New Roman" w:eastAsia="仿宋_GB2312"/>
          <w:sz w:val="32"/>
          <w:szCs w:val="32"/>
        </w:rPr>
        <w:t>事业收入0万元，占0%；经营收入0万元，占0%；附属单位上缴收入0万元，占0%；其他收入0万元，占0%。</w:t>
      </w:r>
    </w:p>
    <w:p>
      <w:pPr>
        <w:adjustRightInd w:val="0"/>
        <w:snapToGrid w:val="0"/>
        <w:spacing w:line="580" w:lineRule="exact"/>
        <w:rPr>
          <w:rFonts w:ascii="Times New Roman" w:eastAsia="仿宋_GB2312"/>
          <w:sz w:val="32"/>
          <w:szCs w:val="32"/>
        </w:rPr>
      </w:pPr>
    </w:p>
    <w:p>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三、支出决算情况说明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本部门2024年度本年支出合计96.31万元，其中：基本支出92.50万元，占96.0%；项目支出3.81万元，占4.0%；上缴上级支出0.00万元，占0.0%；经营支出0.00万元，占0.0%；对附属单位补助支出0.00万元，占0.0%。</w:t>
      </w:r>
    </w:p>
    <w:p>
      <w:pPr>
        <w:widowControl/>
        <w:spacing w:line="360" w:lineRule="auto"/>
        <w:ind w:firstLine="640" w:firstLineChars="200"/>
        <w:jc w:val="left"/>
        <w:rPr>
          <w:rFonts w:ascii="Times New Roman" w:eastAsia="仿宋_GB2312"/>
          <w:sz w:val="32"/>
          <w:szCs w:val="32"/>
        </w:rPr>
      </w:pPr>
      <w:r>
        <w:rPr>
          <w:rFonts w:ascii="Times New Roman" w:hAnsi="Times New Roman" w:eastAsia="仿宋_GB2312" w:cs="Times New Roman"/>
          <w:sz w:val="32"/>
          <w:szCs w:val="32"/>
        </w:rPr>
        <w:drawing>
          <wp:inline distT="0" distB="0" distL="114300" distR="114300">
            <wp:extent cx="5256530" cy="2988310"/>
            <wp:effectExtent l="5080" t="4445" r="8890"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spacing w:line="580" w:lineRule="exact"/>
        <w:ind w:firstLine="640" w:firstLineChars="200"/>
        <w:outlineLvl w:val="1"/>
        <w:rPr>
          <w:rFonts w:ascii="Times New Roman" w:hAnsi="Times New Roman" w:eastAsia="黑体" w:cs="Times New Roman"/>
          <w:sz w:val="32"/>
          <w:szCs w:val="32"/>
        </w:rPr>
      </w:pPr>
      <w:r>
        <w:rPr>
          <w:rFonts w:ascii="Times New Roman" w:hAnsi="Times New Roman" w:eastAsia="黑体" w:cs="Times New Roman"/>
          <w:sz w:val="32"/>
          <w:szCs w:val="32"/>
        </w:rPr>
        <w:t>四、</w:t>
      </w:r>
      <w:r>
        <w:rPr>
          <w:rFonts w:ascii="Times New Roman" w:hAnsi="Times New Roman" w:eastAsia="黑体" w:cs="Times New Roman"/>
          <w:kern w:val="0"/>
          <w:sz w:val="32"/>
          <w:szCs w:val="32"/>
        </w:rPr>
        <w:t>财政</w:t>
      </w:r>
      <w:r>
        <w:rPr>
          <w:rFonts w:ascii="Times New Roman" w:hAnsi="Times New Roman" w:eastAsia="黑体" w:cs="Times New Roman"/>
          <w:sz w:val="32"/>
          <w:szCs w:val="32"/>
        </w:rPr>
        <w:t>拨款收入支出决算总体情况说明</w:t>
      </w:r>
    </w:p>
    <w:p>
      <w:pPr>
        <w:snapToGrid w:val="0"/>
        <w:spacing w:line="580" w:lineRule="exact"/>
        <w:ind w:firstLine="642"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（一）财政拨款收支与2023年度决算对比情况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本部门2024年度财政拨款收、支总计（含结转和结余）均为96.49万元。与2023年度相比，财政拨款收支各减少29.86万元，降低23.6%，主要原因是。</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本部门2024年度财政拨款本年收入96.49万元,比上年减少28.57万元，降低22.8%，主要原因是；本年支出96.31万元，比上年减少28.74万元，降低23.0%，主要原因是。具体情况如下：</w:t>
      </w:r>
    </w:p>
    <w:p>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一般公共预算财政拨款本年收入96.49​​万元,比上年减少28.57万元，降低22.8%，主要原因是；本年支出96.31​​ 万元，比上年减少28.74万元，降低23.0%，主要原因是。</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政府性基金预算财政拨款本年收入0.00万元，比上年增加0.00万元，增长0.00%，主要原因是；本年支出0.00万元，比上年增加0.00万元，增长0.00%，主要原因是。</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国有资本经营预算财政拨款本年收入0.00万元，比上年增加0.00万元，增长0.00%，主要原因是；本年支出0.00万元，比上年增加0.00万元，增长0.00%，主要原因是。</w:t>
      </w:r>
    </w:p>
    <w:p>
      <w:pPr>
        <w:widowControl/>
        <w:spacing w:line="360" w:lineRule="auto"/>
        <w:ind w:firstLine="640" w:firstLineChars="200"/>
        <w:jc w:val="left"/>
        <w:rPr>
          <w:rFonts w:asci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snapToGrid w:val="0"/>
        <w:spacing w:line="580" w:lineRule="exact"/>
        <w:ind w:firstLine="642" w:firstLineChars="200"/>
        <w:rPr>
          <w:rFonts w:ascii="Times New Roman" w:hAnsi="Times New Roman" w:eastAsia="仿宋_GB2312" w:cs="Times New Roman"/>
          <w:b/>
          <w:bCs/>
          <w:sz w:val="32"/>
          <w:szCs w:val="32"/>
        </w:rPr>
      </w:pPr>
      <w:r>
        <w:rPr>
          <w:rFonts w:ascii="Times New Roman" w:hAnsi="Times New Roman" w:eastAsia="楷体_GB2312" w:cs="Times New Roman"/>
          <w:b/>
          <w:bCs/>
          <w:sz w:val="32"/>
          <w:szCs w:val="32"/>
        </w:rPr>
        <w:t>（二）财政拨款收支与年初预算数对比情况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本部门2024年度财政拨款本年收入96.49万元，完成年初预算的89.2%，比年初预算减少11.68万元，决算数小于预算数主要原因是 ；本年支出96.31万元，完成年初预算的89.0%，比年初预算减少11.86万元，决算数小于预算数主要原因是 。具体情况如下：</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一般公共预算财政拨款本年收入完成年初预算的89.2%，比年初预算减少11.68万元，主要原因是；支出完成年初预算的89.0%，比年初预算减少11.86万元，主要原因是。</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政府性基金预算财政拨款本年收入完成年初预算的0.0%，比年初预算增加0.00万元，主要原因是；支出完成年初预算的0.0%，比年初预算增加0.00万元，主要原因是。</w:t>
      </w:r>
    </w:p>
    <w:p>
      <w:pPr>
        <w:adjustRightInd w:val="0"/>
        <w:snapToGrid w:val="0"/>
        <w:spacing w:line="580" w:lineRule="exact"/>
        <w:ind w:left="420"/>
        <w:rPr>
          <w:rFonts w:ascii="Times New Roman" w:eastAsia="仿宋_GB2312"/>
          <w:sz w:val="32"/>
          <w:szCs w:val="32"/>
        </w:rPr>
      </w:pPr>
      <w:r>
        <w:rPr>
          <w:rFonts w:ascii="Times New Roman" w:eastAsia="仿宋_GB2312"/>
          <w:sz w:val="32"/>
          <w:szCs w:val="32"/>
        </w:rPr>
        <w:t>3. 国有资本经营预算财政拨款本年收入完成年初预算的0.0 %，比年初预算增加0.00万元，主要原因是；支出完成年初预算的0.0%，比年初预算增加0.00万元，主要原因是。</w:t>
      </w:r>
    </w:p>
    <w:p>
      <w:pPr>
        <w:adjustRightInd w:val="0"/>
        <w:snapToGrid w:val="0"/>
        <w:spacing w:line="580" w:lineRule="exact"/>
        <w:rPr>
          <w:rFonts w:ascii="Times New Roman" w:eastAsia="仿宋_GB2312"/>
          <w:sz w:val="32"/>
          <w:szCs w:val="32"/>
        </w:rPr>
      </w:pPr>
      <w:r>
        <w:rPr>
          <w:rFonts w:ascii="Times New Roman" w:hAnsi="Times New Roman" w:eastAsia="仿宋_GB2312"/>
          <w:sz w:val="32"/>
          <w:szCs w:val="32"/>
        </w:rPr>
        <w:drawing>
          <wp:anchor distT="0" distB="0" distL="114300" distR="114300" simplePos="0" relativeHeight="251665408" behindDoc="0" locked="0" layoutInCell="1" allowOverlap="1">
            <wp:simplePos x="0" y="0"/>
            <wp:positionH relativeFrom="column">
              <wp:posOffset>447040</wp:posOffset>
            </wp:positionH>
            <wp:positionV relativeFrom="paragraph">
              <wp:posOffset>347345</wp:posOffset>
            </wp:positionV>
            <wp:extent cx="5256530" cy="2988310"/>
            <wp:effectExtent l="5080" t="4445" r="8890" b="17145"/>
            <wp:wrapTopAndBottom/>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adjustRightInd w:val="0"/>
        <w:snapToGrid w:val="0"/>
        <w:spacing w:line="580" w:lineRule="exact"/>
        <w:ind w:left="420"/>
        <w:rPr>
          <w:rFonts w:ascii="Times New Roman" w:hAnsi="Times New Roman" w:eastAsia="楷体_GB2312" w:cs="Times New Roman"/>
          <w:b/>
          <w:bCs/>
          <w:sz w:val="32"/>
          <w:szCs w:val="32"/>
        </w:rPr>
      </w:pPr>
      <w:r>
        <w:rPr>
          <w:rFonts w:hint="eastAsia" w:ascii="Times New Roman" w:hAnsi="Times New Roman" w:eastAsia="楷体_GB2312" w:cs="Times New Roman"/>
          <w:b/>
          <w:bCs/>
          <w:sz w:val="32"/>
          <w:szCs w:val="32"/>
        </w:rPr>
        <w:t>（三）</w:t>
      </w:r>
      <w:r>
        <w:rPr>
          <w:rFonts w:ascii="Times New Roman" w:hAnsi="Times New Roman" w:eastAsia="楷体_GB2312" w:cs="Times New Roman"/>
          <w:b/>
          <w:bCs/>
          <w:sz w:val="32"/>
          <w:szCs w:val="32"/>
        </w:rPr>
        <w:t>财政拨款支出决算结构情况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2024年度财政拨款支出96.31万元，主要用于以下方面：</w:t>
      </w:r>
    </w:p>
    <w:p>
      <w:pPr>
        <w:widowControl/>
        <w:spacing w:line="360" w:lineRule="auto"/>
        <w:ind w:firstLine="642"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85.20​​​万元，占​​88.5​%，主要用于等支出；卫生健康（类）支出​​4.61万元，占​​4.8%，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6.51​​​万元，占6.8​​​%，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widowControl/>
        <w:spacing w:line="360" w:lineRule="auto"/>
        <w:ind w:firstLine="642"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pPr>
        <w:widowControl/>
        <w:spacing w:line="360" w:lineRule="auto"/>
        <w:ind w:firstLine="642"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widowControl/>
        <w:spacing w:line="360" w:lineRule="auto"/>
        <w:ind w:firstLine="640" w:firstLineChars="200"/>
        <w:jc w:val="left"/>
        <w:rPr>
          <w:rFonts w:ascii="Times New Roman" w:eastAsia="仿宋_GB2312"/>
          <w:sz w:val="32"/>
          <w:szCs w:val="32"/>
        </w:rPr>
      </w:pPr>
      <w:r>
        <w:rPr>
          <w:rFonts w:ascii="Times New Roman" w:hAnsi="Times New Roman" w:eastAsia="仿宋_GB231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line="360" w:lineRule="auto"/>
        <w:ind w:firstLine="640" w:firstLineChars="200"/>
        <w:jc w:val="left"/>
        <w:rPr>
          <w:rFonts w:ascii="Times New Roman" w:eastAsia="仿宋_GB2312"/>
          <w:sz w:val="32"/>
          <w:szCs w:val="32"/>
        </w:rPr>
      </w:pPr>
    </w:p>
    <w:p>
      <w:pPr>
        <w:widowControl/>
        <w:spacing w:line="360" w:lineRule="auto"/>
        <w:ind w:firstLine="640" w:firstLineChars="200"/>
        <w:jc w:val="left"/>
        <w:rPr>
          <w:rFonts w:ascii="Times New Roman" w:eastAsia="仿宋_GB2312"/>
          <w:sz w:val="32"/>
          <w:szCs w:val="32"/>
        </w:rPr>
      </w:pPr>
    </w:p>
    <w:p>
      <w:pPr>
        <w:adjustRightInd w:val="0"/>
        <w:snapToGrid w:val="0"/>
        <w:spacing w:line="580" w:lineRule="exact"/>
        <w:ind w:left="420" w:left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（四）一般公共预算基本支出决算情况说明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2024年度财政拨款基本支出92.50万元，其中：</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85.30​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公用经费​​7.20​万元，主要包括办公费、印刷费、咨询费、手续费、水费、电费、邮电费、取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五、财政拨款“三公” 经费支出决算情况说明</w:t>
      </w:r>
    </w:p>
    <w:p>
      <w:pPr>
        <w:adjustRightInd w:val="0"/>
        <w:snapToGrid w:val="0"/>
        <w:spacing w:line="580" w:lineRule="exact"/>
        <w:ind w:firstLine="642" w:firstLineChars="200"/>
        <w:rPr>
          <w:rFonts w:ascii="Times New Roman" w:hAnsi="Times New Roman" w:eastAsia="楷体_GB2312" w:cs="Times New Roman"/>
          <w:b/>
          <w:bCs/>
          <w:sz w:val="32"/>
          <w:szCs w:val="32"/>
        </w:rPr>
      </w:pPr>
    </w:p>
    <w:p>
      <w:pPr>
        <w:widowControl/>
        <w:spacing w:line="360" w:lineRule="auto"/>
        <w:ind w:firstLine="642"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line="360" w:lineRule="auto"/>
        <w:ind w:firstLine="640" w:firstLineChars="200"/>
        <w:jc w:val="left"/>
        <w:rPr>
          <w:rFonts w:ascii="Times New Roman" w:hAnsi="Times New Roman" w:eastAsia="仿宋_GB2312" w:cs="Times New Roman"/>
          <w:sz w:val="32"/>
          <w:szCs w:val="32"/>
        </w:rPr>
      </w:pPr>
      <w:r>
        <w:rPr>
          <w:rFonts w:ascii="Times New Roman" w:eastAsia="仿宋_GB2312"/>
          <w:sz w:val="32"/>
          <w:szCs w:val="32"/>
        </w:rPr>
        <w:t>本部门2024年度“三公”经费财政拨款支出预算为0.08万元，支出决算为0.00万元，完成预算的0.0%，较预算减少0.08万元，降低100.0%，主要原因是；较2023年度决算增加0.00万元，增长0.00%，主要原因是。</w:t>
      </w:r>
    </w:p>
    <w:p>
      <w:pPr>
        <w:adjustRightInd w:val="0"/>
        <w:snapToGrid w:val="0"/>
        <w:spacing w:line="580" w:lineRule="exact"/>
        <w:ind w:firstLine="642"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（二）“三公”经费财政拨款支出决算具体情况说明</w:t>
      </w:r>
    </w:p>
    <w:p>
      <w:pPr>
        <w:widowControl/>
        <w:spacing w:line="360" w:lineRule="auto"/>
        <w:ind w:firstLine="642"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sz w:val="32"/>
          <w:szCs w:val="32"/>
        </w:rPr>
        <w:t>本部门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pPr>
        <w:widowControl/>
        <w:spacing w:line="360" w:lineRule="auto"/>
        <w:ind w:firstLine="642"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sz w:val="32"/>
          <w:szCs w:val="32"/>
        </w:rPr>
        <w:t>本部门2024年度公务用车购置及运行维护费预算为0.00万元，支出决算0.00万元，完成预算的0.0%,较预算增加0.00万元，增长0.0%,主要原因是；较上年增加0.00万元，增长0.00%,主要原因是。其中：</w:t>
      </w:r>
    </w:p>
    <w:p>
      <w:pPr>
        <w:widowControl/>
        <w:spacing w:line="360" w:lineRule="auto"/>
        <w:ind w:firstLine="642"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sz w:val="32"/>
          <w:szCs w:val="32"/>
        </w:rPr>
        <w:t>本部门2024年度公务用车购置量0辆，发生“公务用车购置”经费支出0.00 万元。公务用车购置费支出较预算增加0.00万元，增长0.0%,主要原因是；较上年增加0.00万元，增长0.00%,主要原因是。</w:t>
      </w:r>
    </w:p>
    <w:p>
      <w:pPr>
        <w:widowControl/>
        <w:spacing w:line="360" w:lineRule="auto"/>
        <w:ind w:firstLine="642"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sz w:val="32"/>
          <w:szCs w:val="32"/>
        </w:rPr>
        <w:t>本部门2024年度单位公务用车保有量0辆，发生运行维护费支出0.00万元。公车运行维护费支出较预算增加0.00万元，增长0.0%,主要原因是；较上年增加0.00万元，增长0.00%，主要原因是。</w:t>
      </w:r>
    </w:p>
    <w:p>
      <w:pPr>
        <w:widowControl/>
        <w:spacing w:line="360" w:lineRule="auto"/>
        <w:ind w:firstLine="642"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部门2024年度公务接待费支出预算为0.08万元，支出决算0.00万元，完成预算的0.0%。公务接待费支出较预算减少0.08万元，降低100.0%,主要原因是；较上年度增加0.00万元，增长0.00%,主要原因是。本年度共发生公务接待0批次、0人次。</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本部门2024年度机关运行经费支出0.00万元，较2023年度减少9.52万元，降低100.0%。主要原因是。</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部门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pPr>
        <w:widowControl/>
        <w:spacing w:line="360" w:lineRule="auto"/>
        <w:ind w:firstLine="642"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部门组织对2024年度本级预算项目支出全面开展绩效自评，共涉及资金万元（决算金额）。其中，一般公共预算项目个，涉及资金万元，占一般公共预算项目支出总额的%；政府性基金预算项目个，涉及资金万元，占政府性基金预算项目支出总额的%；国有资本经营预算项目个，涉及资金万元，占国有资本经营预算项目支出总额的%。</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组织对等个项目开展了部门重点评价，涉及一般公共预算支出万元，政府性基金预算支出万元，国有资本经营预算支出万元，从评价情况来看，。</w:t>
      </w:r>
    </w:p>
    <w:p>
      <w:pPr>
        <w:widowControl/>
        <w:spacing w:line="360" w:lineRule="auto"/>
        <w:ind w:firstLine="642"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本部门在今年部门决算公开中反映等个项目绩效自评结果。</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项目绩效自评情况：根据年初设定的绩效目标，​​​项目绩效自评得分为​​​分（绩效自评表附后）。全年预算数为​​​万元，执行数为​​​万元，完成预算的​​​%。项目绩效目标完成情况：一是​​​；二是​​​。发现的主要问题及原因是：一是​​​；二是​​​。下一步改进措施：一是​​​；二是​​​。</w:t>
      </w:r>
    </w:p>
    <w:p>
      <w:pPr>
        <w:widowControl/>
        <w:spacing w:line="360" w:lineRule="auto"/>
        <w:ind w:firstLine="642"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line="360" w:lineRule="auto"/>
        <w:ind w:firstLine="640" w:firstLineChars="200"/>
        <w:jc w:val="left"/>
        <w:rPr>
          <w:rFonts w:ascii="Times New Roman" w:eastAsia="仿宋_GB2312"/>
          <w:sz w:val="32"/>
          <w:szCs w:val="32"/>
        </w:rPr>
      </w:pPr>
    </w:p>
    <w:p>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1.本部门2024年度政府性基金预算财政拨款收入支出决算表（公开07表）、国有资本经营预算财政拨款支出决算表（公开08表）无相应收支，故空表列示。</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pPr>
        <w:spacing w:line="580" w:lineRule="exact"/>
        <w:rPr>
          <w:rFonts w:ascii="Times New Roman" w:hAnsi="Times New Roman" w:eastAsia="仿宋_GB2312" w:cs="Times New Roman"/>
          <w:sz w:val="32"/>
          <w:szCs w:val="32"/>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cs="Times New Roman"/>
          <w:sz w:val="44"/>
          <w:szCs w:val="44"/>
          <w14:textOutline w14:w="9525" w14:cap="flat" w14:cmpd="sng" w14:algn="ctr">
            <w14:solidFill>
              <w14:schemeClr w14:val="tx1">
                <w14:lumMod w14:val="50000"/>
                <w14:lumOff w14:val="50000"/>
              </w14:schemeClr>
            </w14:solidFill>
            <w14:prstDash w14:val="solid"/>
            <w14:round/>
          </w14:textOutline>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名词解释</w:t>
      </w:r>
    </w:p>
    <w:p>
      <w:pPr>
        <w:spacing w:line="580" w:lineRule="exact"/>
        <w:rPr>
          <w:rFonts w:ascii="Times New Roman" w:hAnsi="Times New Roman" w:eastAsia="仿宋_GB2312" w:cs="Times New Roman"/>
          <w:sz w:val="32"/>
          <w:szCs w:val="32"/>
        </w:rPr>
      </w:pPr>
    </w:p>
    <w:p>
      <w:pPr>
        <w:spacing w:line="580" w:lineRule="exact"/>
        <w:rPr>
          <w:rFonts w:ascii="Times New Roman" w:hAnsi="Times New Roman" w:eastAsia="仿宋_GB2312" w:cs="Times New Roman"/>
          <w:bCs/>
          <w:sz w:val="32"/>
          <w:szCs w:val="32"/>
          <w:highlight w:val="yellow"/>
        </w:rPr>
      </w:pPr>
      <w:r>
        <w:rPr>
          <w:rFonts w:ascii="Times New Roman" w:hAnsi="Times New Roman" w:eastAsia="仿宋_GB2312" w:cs="Times New Roman"/>
          <w:sz w:val="32"/>
          <w:szCs w:val="32"/>
          <w:highlight w:val="green"/>
        </w:rPr>
        <w:t>(各部门应根据本部门实际情况,对公开的本部门决算信息中相关专业性较强的名词进行必要解释和说明，包含但不限于以下名词解释。)</w:t>
      </w:r>
    </w:p>
    <w:p>
      <w:pPr>
        <w:pStyle w:val="15"/>
        <w:spacing w:line="580" w:lineRule="exact"/>
        <w:ind w:firstLine="642"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一、财政拨款收入：</w:t>
      </w:r>
      <w:r>
        <w:rPr>
          <w:rFonts w:ascii="Times New Roman" w:hAnsi="Times New Roman" w:eastAsia="仿宋_GB2312" w:cs="Times New Roman"/>
          <w:sz w:val="32"/>
          <w:szCs w:val="32"/>
        </w:rPr>
        <w:t>指单位从同级财政部门取得的财政预算资金。</w:t>
      </w:r>
    </w:p>
    <w:p>
      <w:pPr>
        <w:pStyle w:val="15"/>
        <w:spacing w:line="580" w:lineRule="exact"/>
        <w:ind w:firstLine="642"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二、事业收入：</w:t>
      </w:r>
      <w:r>
        <w:rPr>
          <w:rFonts w:ascii="Times New Roman" w:hAnsi="Times New Roman" w:eastAsia="仿宋_GB2312" w:cs="Times New Roman"/>
          <w:sz w:val="32"/>
          <w:szCs w:val="32"/>
        </w:rPr>
        <w:t>指事业单位开展专业业务活动及辅助活动取得的收入。</w:t>
      </w:r>
    </w:p>
    <w:p>
      <w:pPr>
        <w:pStyle w:val="15"/>
        <w:spacing w:line="580" w:lineRule="exact"/>
        <w:ind w:firstLine="642"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三、经营收入：</w:t>
      </w:r>
      <w:r>
        <w:rPr>
          <w:rFonts w:ascii="Times New Roman" w:hAnsi="Times New Roman" w:eastAsia="仿宋_GB2312" w:cs="Times New Roman"/>
          <w:sz w:val="32"/>
          <w:szCs w:val="32"/>
        </w:rPr>
        <w:t>指事业单位在专业业务活动及其辅助活动之外开展非独立核算经营活动取得的收入。</w:t>
      </w:r>
    </w:p>
    <w:p>
      <w:pPr>
        <w:pStyle w:val="15"/>
        <w:spacing w:line="580" w:lineRule="exact"/>
        <w:ind w:firstLine="642"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四、其他收入：</w:t>
      </w:r>
      <w:r>
        <w:rPr>
          <w:rFonts w:ascii="Times New Roman" w:hAnsi="Times New Roman" w:eastAsia="仿宋_GB2312" w:cs="Times New Roman"/>
          <w:sz w:val="32"/>
          <w:szCs w:val="32"/>
        </w:rPr>
        <w:t>指单位取得的除上述收入以外的各项收入。主要是事业单位固定资产出租收入、存款利息收入等。</w:t>
      </w:r>
    </w:p>
    <w:p>
      <w:pPr>
        <w:pStyle w:val="15"/>
        <w:spacing w:line="580" w:lineRule="exact"/>
        <w:ind w:firstLine="642"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五、使用非财政拨款结余（含专用结余）：</w:t>
      </w:r>
      <w:r>
        <w:rPr>
          <w:rFonts w:ascii="Times New Roman" w:hAnsi="Times New Roman" w:eastAsia="仿宋_GB2312" w:cs="Times New Roman"/>
          <w:sz w:val="32"/>
          <w:szCs w:val="32"/>
        </w:rPr>
        <w:t>指事业单位按照预算管理要求使用非财政拨款结余弥补收支差额的金额，以及使用专用结余安排支出的金额。</w:t>
      </w:r>
    </w:p>
    <w:p>
      <w:pPr>
        <w:spacing w:line="580" w:lineRule="exact"/>
        <w:ind w:firstLine="642"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六、年初结转和结余：</w:t>
      </w:r>
      <w:r>
        <w:rPr>
          <w:rFonts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spacing w:line="580" w:lineRule="exact"/>
        <w:ind w:firstLine="642"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七、结余分配：</w:t>
      </w:r>
      <w:r>
        <w:rPr>
          <w:rFonts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spacing w:line="580" w:lineRule="exact"/>
        <w:ind w:firstLine="642"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八、年末结转和结余：</w:t>
      </w:r>
      <w:r>
        <w:rPr>
          <w:rFonts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spacing w:line="580" w:lineRule="exact"/>
        <w:ind w:firstLine="642"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九、基本支出：</w:t>
      </w:r>
      <w:r>
        <w:rPr>
          <w:rFonts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80" w:lineRule="exact"/>
        <w:ind w:firstLine="642"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十、项目支出：</w:t>
      </w:r>
      <w:r>
        <w:rPr>
          <w:rFonts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80" w:lineRule="exact"/>
        <w:ind w:firstLine="642"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十一、经营支出</w:t>
      </w:r>
      <w:r>
        <w:rPr>
          <w:rFonts w:hint="eastAsia" w:ascii="Times New Roman" w:hAnsi="Times New Roman" w:eastAsia="仿宋_GB2312" w:cs="Times New Roman"/>
          <w:b/>
          <w:bCs/>
          <w:color w:val="000000"/>
          <w:kern w:val="0"/>
          <w:sz w:val="32"/>
          <w:szCs w:val="32"/>
        </w:rPr>
        <w:t>：</w:t>
      </w:r>
      <w:r>
        <w:rPr>
          <w:rFonts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80" w:lineRule="exact"/>
        <w:ind w:firstLine="642"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十二、基本建设支出：</w:t>
      </w:r>
      <w:r>
        <w:rPr>
          <w:rFonts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80" w:lineRule="exact"/>
        <w:ind w:firstLine="642" w:firstLineChars="200"/>
        <w:rPr>
          <w:rFonts w:ascii="Times New Roman" w:hAnsi="Times New Roman" w:eastAsia="仿宋_GB2312" w:cs="Times New Roman"/>
          <w:b/>
          <w:bCs/>
          <w:color w:val="000000"/>
          <w:kern w:val="0"/>
          <w:sz w:val="32"/>
          <w:szCs w:val="32"/>
        </w:rPr>
      </w:pPr>
      <w:r>
        <w:rPr>
          <w:rFonts w:ascii="Times New Roman" w:hAnsi="Times New Roman" w:eastAsia="仿宋_GB2312" w:cs="Times New Roman"/>
          <w:b/>
          <w:bCs/>
          <w:color w:val="000000"/>
          <w:kern w:val="0"/>
          <w:sz w:val="32"/>
          <w:szCs w:val="32"/>
        </w:rPr>
        <w:t>十三、其他资本性支出：</w:t>
      </w:r>
      <w:r>
        <w:rPr>
          <w:rFonts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80" w:lineRule="exact"/>
        <w:ind w:firstLine="642"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十四、“三公”经费：</w:t>
      </w:r>
      <w:r>
        <w:rPr>
          <w:rFonts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80" w:lineRule="exact"/>
        <w:ind w:firstLine="642"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十五、其他交通费用：</w:t>
      </w:r>
      <w:r>
        <w:rPr>
          <w:rFonts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80" w:lineRule="exact"/>
        <w:ind w:firstLine="642"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十六、公务用车购置：</w:t>
      </w:r>
      <w:r>
        <w:rPr>
          <w:rFonts w:ascii="Times New Roman" w:hAnsi="Times New Roman" w:eastAsia="仿宋_GB2312" w:cs="Times New Roman"/>
          <w:color w:val="000000"/>
          <w:kern w:val="0"/>
          <w:sz w:val="32"/>
          <w:szCs w:val="32"/>
        </w:rPr>
        <w:t>填列单位公务用车车辆购置支出（含车辆购置税、牌照费）。</w:t>
      </w:r>
    </w:p>
    <w:p>
      <w:pPr>
        <w:widowControl/>
        <w:spacing w:line="580" w:lineRule="exact"/>
        <w:ind w:firstLine="642"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十七、其他交通工具购置：</w:t>
      </w:r>
      <w:r>
        <w:rPr>
          <w:rFonts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80" w:lineRule="exact"/>
        <w:ind w:firstLine="642"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十八、机关运行经费：</w:t>
      </w:r>
      <w:r>
        <w:rPr>
          <w:rFonts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spacing w:line="580" w:lineRule="exact"/>
        <w:rPr>
          <w:rFonts w:ascii="Times New Roman" w:hAnsi="Times New Roman" w:cs="Times New Roman"/>
        </w:rPr>
      </w:pPr>
    </w:p>
    <w:sectPr>
      <w:pgSz w:w="11906" w:h="16838"/>
      <w:pgMar w:top="2098" w:right="1418" w:bottom="1871" w:left="1418"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黑体_GBK">
    <w:panose1 w:val="02000000000000000000"/>
    <w:charset w:val="86"/>
    <w:family w:val="auto"/>
    <w:pitch w:val="default"/>
    <w:sig w:usb0="A00002BF" w:usb1="38CF7CFA" w:usb2="00082016" w:usb3="00000000" w:csb0="00040001" w:csb1="00000000"/>
  </w:font>
  <w:font w:name="幼圆">
    <w:altName w:val="华文中宋"/>
    <w:panose1 w:val="02010509060101010101"/>
    <w:charset w:val="86"/>
    <w:family w:val="modern"/>
    <w:pitch w:val="default"/>
    <w:sig w:usb0="00000000" w:usb1="00000000" w:usb2="00000010" w:usb3="00000000" w:csb0="00040000" w:csb1="00000000"/>
  </w:font>
  <w:font w:name="楷体_GB2312">
    <w:altName w:val="方正楷体_GBK"/>
    <w:panose1 w:val="00000000000000000000"/>
    <w:charset w:val="86"/>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仿宋_GB2312">
    <w:altName w:val="方正仿宋_GBK"/>
    <w:panose1 w:val="00000000000000000000"/>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Cambria">
    <w:altName w:val="Noto Sans Syriac Eastern"/>
    <w:panose1 w:val="02040503050406030204"/>
    <w:charset w:val="00"/>
    <w:family w:val="roman"/>
    <w:pitch w:val="default"/>
    <w:sig w:usb0="00000000" w:usb1="00000000" w:usb2="00000000" w:usb3="00000000" w:csb0="0000019F" w:csb1="00000000"/>
  </w:font>
  <w:font w:name="Noto Sans Syriac Eastern">
    <w:panose1 w:val="02040503050306020203"/>
    <w:charset w:val="86"/>
    <w:family w:val="auto"/>
    <w:pitch w:val="default"/>
    <w:sig w:usb0="00000000" w:usb1="00000000" w:usb2="00000080" w:usb3="00000000" w:csb0="203E0161" w:csb1="D7FF0000"/>
  </w:font>
  <w:font w:name="ArialUnicodeMS">
    <w:altName w:val="DejaVu Sans"/>
    <w:panose1 w:val="00000000000000000000"/>
    <w:charset w:val="81"/>
    <w:family w:val="auto"/>
    <w:pitch w:val="default"/>
    <w:sig w:usb0="00000000" w:usb1="00000000" w:usb2="00000010" w:usb3="00000000" w:csb0="00080001" w:csb1="00000000"/>
  </w:font>
  <w:font w:name="Arial">
    <w:altName w:val="DejaVu Sans"/>
    <w:panose1 w:val="020B0604020202020204"/>
    <w:charset w:val="00"/>
    <w:family w:val="swiss"/>
    <w:pitch w:val="default"/>
    <w:sig w:usb0="00000000" w:usb1="00000000" w:usb2="00000009" w:usb3="00000000" w:csb0="000001FF" w:csb1="00000000"/>
  </w:font>
  <w:font w:name="方正仿宋_GB2312">
    <w:altName w:val="方正仿宋_GBK"/>
    <w:panose1 w:val="00000000000000000000"/>
    <w:charset w:val="86"/>
    <w:family w:val="auto"/>
    <w:pitch w:val="default"/>
    <w:sig w:usb0="00000000" w:usb1="00000000" w:usb2="00000012" w:usb3="00000000" w:csb0="00040001" w:csb1="00000000"/>
  </w:font>
  <w:font w:name="Noto Sans CJK JP Bold">
    <w:panose1 w:val="020B0800000000000000"/>
    <w:charset w:val="86"/>
    <w:family w:val="auto"/>
    <w:pitch w:val="default"/>
    <w:sig w:usb0="30000003" w:usb1="2BDF3C10" w:usb2="00000016" w:usb3="00000000" w:csb0="602E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p>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sdtPr>
    <w:sdtEndPr>
      <w:rPr>
        <w:rFonts w:ascii="Times New Roman" w:hAnsi="Times New Roman" w:cs="Times New Roman"/>
        <w:sz w:val="28"/>
        <w:szCs w:val="28"/>
      </w:rPr>
    </w:sdtEndPr>
    <w:sdtContent>
      <w:p>
        <w:pPr>
          <w:pStyle w:val="5"/>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28</w:t>
        </w:r>
        <w:r>
          <w:rPr>
            <w:rFonts w:ascii="Times New Roman" w:hAnsi="Times New Roman" w:cs="Times New Roman"/>
            <w:sz w:val="28"/>
            <w:szCs w:val="28"/>
          </w:rPr>
          <w:fldChar w:fldCharType="end"/>
        </w:r>
        <w:r>
          <w:rPr>
            <w:rFonts w:ascii="Times New Roman" w:hAnsi="Times New Roman" w:cs="Times New Roman"/>
            <w:sz w:val="28"/>
            <w:szCs w:val="28"/>
          </w:rPr>
          <w:t>—</w:t>
        </w:r>
      </w:p>
    </w:sdtContent>
  </w:sdt>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M3ZjEzYzcyNWRlOTE1OGUxMWFlNWQxOWRhODI2YzYifQ=="/>
  </w:docVars>
  <w:rsids>
    <w:rsidRoot w:val="000807B9"/>
    <w:rsid w:val="000807B9"/>
    <w:rsid w:val="000E6F60"/>
    <w:rsid w:val="001243B4"/>
    <w:rsid w:val="00125D76"/>
    <w:rsid w:val="00127E4E"/>
    <w:rsid w:val="001C6A6A"/>
    <w:rsid w:val="00220943"/>
    <w:rsid w:val="002F2DB6"/>
    <w:rsid w:val="003F7706"/>
    <w:rsid w:val="00447340"/>
    <w:rsid w:val="00462F02"/>
    <w:rsid w:val="00471A54"/>
    <w:rsid w:val="00520668"/>
    <w:rsid w:val="005B5FCD"/>
    <w:rsid w:val="00605266"/>
    <w:rsid w:val="00606924"/>
    <w:rsid w:val="00686BDC"/>
    <w:rsid w:val="00726674"/>
    <w:rsid w:val="00733638"/>
    <w:rsid w:val="007E5523"/>
    <w:rsid w:val="00802F5C"/>
    <w:rsid w:val="00804174"/>
    <w:rsid w:val="0082221E"/>
    <w:rsid w:val="00836E42"/>
    <w:rsid w:val="00836FA6"/>
    <w:rsid w:val="008948AE"/>
    <w:rsid w:val="00947354"/>
    <w:rsid w:val="00947C75"/>
    <w:rsid w:val="00967126"/>
    <w:rsid w:val="009B09E1"/>
    <w:rsid w:val="00A40C19"/>
    <w:rsid w:val="00A5208A"/>
    <w:rsid w:val="00A61549"/>
    <w:rsid w:val="00A866E4"/>
    <w:rsid w:val="00A9383B"/>
    <w:rsid w:val="00B00F32"/>
    <w:rsid w:val="00BA2A97"/>
    <w:rsid w:val="00BC5A71"/>
    <w:rsid w:val="00BC6BE1"/>
    <w:rsid w:val="00C20F51"/>
    <w:rsid w:val="00C6541E"/>
    <w:rsid w:val="00C945DD"/>
    <w:rsid w:val="00CB1066"/>
    <w:rsid w:val="00CB1126"/>
    <w:rsid w:val="00D40E9A"/>
    <w:rsid w:val="00D71CC5"/>
    <w:rsid w:val="00D73746"/>
    <w:rsid w:val="00D822EA"/>
    <w:rsid w:val="00DA2495"/>
    <w:rsid w:val="00DC37FD"/>
    <w:rsid w:val="00DD39E4"/>
    <w:rsid w:val="00E07713"/>
    <w:rsid w:val="00E61D90"/>
    <w:rsid w:val="00EA6A18"/>
    <w:rsid w:val="00ED6494"/>
    <w:rsid w:val="00F565FC"/>
    <w:rsid w:val="00F94EBA"/>
    <w:rsid w:val="00F95C94"/>
    <w:rsid w:val="00FB1487"/>
    <w:rsid w:val="00FC7282"/>
    <w:rsid w:val="00FD16C8"/>
    <w:rsid w:val="01A131D1"/>
    <w:rsid w:val="030E7E36"/>
    <w:rsid w:val="03724869"/>
    <w:rsid w:val="07106873"/>
    <w:rsid w:val="087F635C"/>
    <w:rsid w:val="091C32AD"/>
    <w:rsid w:val="0B8F2FBD"/>
    <w:rsid w:val="10262412"/>
    <w:rsid w:val="12723F3D"/>
    <w:rsid w:val="12816876"/>
    <w:rsid w:val="15487CC5"/>
    <w:rsid w:val="15DA1475"/>
    <w:rsid w:val="16D9794A"/>
    <w:rsid w:val="17445DA5"/>
    <w:rsid w:val="17837F50"/>
    <w:rsid w:val="182F1538"/>
    <w:rsid w:val="18F13BDB"/>
    <w:rsid w:val="192817FA"/>
    <w:rsid w:val="1BCF29E2"/>
    <w:rsid w:val="1CF540E9"/>
    <w:rsid w:val="1DA376A1"/>
    <w:rsid w:val="1DB71419"/>
    <w:rsid w:val="1E933BB9"/>
    <w:rsid w:val="231D65B1"/>
    <w:rsid w:val="24751C29"/>
    <w:rsid w:val="256D7E07"/>
    <w:rsid w:val="26924756"/>
    <w:rsid w:val="27473793"/>
    <w:rsid w:val="28A32C4B"/>
    <w:rsid w:val="28CF57EE"/>
    <w:rsid w:val="2916341D"/>
    <w:rsid w:val="2964062C"/>
    <w:rsid w:val="2BAC159C"/>
    <w:rsid w:val="2BCE7FDF"/>
    <w:rsid w:val="2DB759F2"/>
    <w:rsid w:val="305807BF"/>
    <w:rsid w:val="31F36233"/>
    <w:rsid w:val="321B7CF6"/>
    <w:rsid w:val="32354CF9"/>
    <w:rsid w:val="32711055"/>
    <w:rsid w:val="34CB5C5B"/>
    <w:rsid w:val="3529097C"/>
    <w:rsid w:val="378E2D18"/>
    <w:rsid w:val="39CD5D7A"/>
    <w:rsid w:val="3AB02799"/>
    <w:rsid w:val="3E3C527C"/>
    <w:rsid w:val="3EE21939"/>
    <w:rsid w:val="40A871F2"/>
    <w:rsid w:val="40C652D1"/>
    <w:rsid w:val="42B850ED"/>
    <w:rsid w:val="45F13468"/>
    <w:rsid w:val="47D128CC"/>
    <w:rsid w:val="48A62B29"/>
    <w:rsid w:val="48BB399F"/>
    <w:rsid w:val="491C63D6"/>
    <w:rsid w:val="495F62C2"/>
    <w:rsid w:val="4B2711BE"/>
    <w:rsid w:val="4E84363C"/>
    <w:rsid w:val="4F061AB2"/>
    <w:rsid w:val="4F1C6304"/>
    <w:rsid w:val="50E27F05"/>
    <w:rsid w:val="511A2C8A"/>
    <w:rsid w:val="51EC6D69"/>
    <w:rsid w:val="53350000"/>
    <w:rsid w:val="54174F4C"/>
    <w:rsid w:val="543F741C"/>
    <w:rsid w:val="55CF47D0"/>
    <w:rsid w:val="57C33EC0"/>
    <w:rsid w:val="59760FEE"/>
    <w:rsid w:val="5AA31831"/>
    <w:rsid w:val="5B75607A"/>
    <w:rsid w:val="5BFA5565"/>
    <w:rsid w:val="5E1C6E5F"/>
    <w:rsid w:val="5F0D24D7"/>
    <w:rsid w:val="62456545"/>
    <w:rsid w:val="62C236F2"/>
    <w:rsid w:val="65A0363E"/>
    <w:rsid w:val="65C21C5B"/>
    <w:rsid w:val="67641A88"/>
    <w:rsid w:val="68EF7116"/>
    <w:rsid w:val="6A4E4CCC"/>
    <w:rsid w:val="6A8C0276"/>
    <w:rsid w:val="6AB9362D"/>
    <w:rsid w:val="6AE674BA"/>
    <w:rsid w:val="6B376C47"/>
    <w:rsid w:val="6C5D448C"/>
    <w:rsid w:val="6C77379F"/>
    <w:rsid w:val="6E943ADE"/>
    <w:rsid w:val="6EAE5472"/>
    <w:rsid w:val="6EC67C3A"/>
    <w:rsid w:val="6F394D3C"/>
    <w:rsid w:val="6F651FD5"/>
    <w:rsid w:val="705B5186"/>
    <w:rsid w:val="71A861A9"/>
    <w:rsid w:val="737A3B75"/>
    <w:rsid w:val="74123DAE"/>
    <w:rsid w:val="758918C0"/>
    <w:rsid w:val="759F4EC1"/>
    <w:rsid w:val="75CB3D87"/>
    <w:rsid w:val="76872831"/>
    <w:rsid w:val="7688758C"/>
    <w:rsid w:val="776C4A5C"/>
    <w:rsid w:val="777E7AD1"/>
    <w:rsid w:val="77A55067"/>
    <w:rsid w:val="78A07BDA"/>
    <w:rsid w:val="79837AD1"/>
    <w:rsid w:val="79A42556"/>
    <w:rsid w:val="7BE10C35"/>
    <w:rsid w:val="7D603DDC"/>
    <w:rsid w:val="7DD51E8B"/>
    <w:rsid w:val="7DFE76EE"/>
    <w:rsid w:val="7F6C6A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iPriority="99"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2"/>
    <w:qFormat/>
    <w:uiPriority w:val="0"/>
    <w:pPr>
      <w:keepNext/>
      <w:keepLines/>
      <w:spacing w:before="340" w:after="330" w:line="578" w:lineRule="auto"/>
      <w:outlineLvl w:val="0"/>
    </w:pPr>
    <w:rPr>
      <w:b/>
      <w:bCs/>
      <w:kern w:val="44"/>
      <w:sz w:val="44"/>
      <w:szCs w:val="44"/>
    </w:rPr>
  </w:style>
  <w:style w:type="character" w:default="1" w:styleId="11">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3">
    <w:name w:val="Body Text"/>
    <w:basedOn w:val="1"/>
    <w:link w:val="24"/>
    <w:uiPriority w:val="0"/>
    <w:pPr>
      <w:spacing w:after="120"/>
    </w:pPr>
  </w:style>
  <w:style w:type="paragraph" w:styleId="4">
    <w:name w:val="Balloon Text"/>
    <w:basedOn w:val="1"/>
    <w:link w:val="16"/>
    <w:uiPriority w:val="0"/>
    <w:rPr>
      <w:sz w:val="18"/>
      <w:szCs w:val="18"/>
    </w:rPr>
  </w:style>
  <w:style w:type="paragraph" w:styleId="5">
    <w:name w:val="footer"/>
    <w:basedOn w:val="1"/>
    <w:link w:val="13"/>
    <w:uiPriority w:val="0"/>
    <w:pPr>
      <w:tabs>
        <w:tab w:val="center" w:pos="4153"/>
        <w:tab w:val="right" w:pos="8306"/>
      </w:tabs>
      <w:snapToGrid w:val="0"/>
      <w:jc w:val="left"/>
    </w:pPr>
    <w:rPr>
      <w:sz w:val="18"/>
      <w:szCs w:val="18"/>
    </w:rPr>
  </w:style>
  <w:style w:type="paragraph" w:styleId="6">
    <w:name w:val="header"/>
    <w:basedOn w:val="1"/>
    <w:link w:val="14"/>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Normal (Web)"/>
    <w:basedOn w:val="1"/>
    <w:unhideWhenUsed/>
    <w:qFormat/>
    <w:uiPriority w:val="99"/>
    <w:pPr>
      <w:spacing w:beforeAutospacing="1" w:afterAutospacing="1"/>
      <w:jc w:val="left"/>
    </w:pPr>
    <w:rPr>
      <w:rFonts w:cs="Times New Roman"/>
      <w:kern w:val="0"/>
      <w:sz w:val="24"/>
    </w:rPr>
  </w:style>
  <w:style w:type="paragraph" w:styleId="8">
    <w:name w:val="Body Text First Indent"/>
    <w:basedOn w:val="3"/>
    <w:link w:val="25"/>
    <w:qFormat/>
    <w:uiPriority w:val="0"/>
    <w:pPr>
      <w:ind w:firstLine="420" w:firstLineChars="100"/>
    </w:pPr>
  </w:style>
  <w:style w:type="table" w:styleId="10">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2">
    <w:name w:val="标题 1 Char"/>
    <w:basedOn w:val="11"/>
    <w:link w:val="2"/>
    <w:qFormat/>
    <w:uiPriority w:val="0"/>
    <w:rPr>
      <w:b/>
      <w:bCs/>
      <w:kern w:val="44"/>
      <w:sz w:val="44"/>
      <w:szCs w:val="44"/>
    </w:rPr>
  </w:style>
  <w:style w:type="character" w:customStyle="1" w:styleId="13">
    <w:name w:val="页脚 Char"/>
    <w:basedOn w:val="11"/>
    <w:link w:val="5"/>
    <w:qFormat/>
    <w:uiPriority w:val="99"/>
    <w:rPr>
      <w:sz w:val="18"/>
      <w:szCs w:val="18"/>
    </w:rPr>
  </w:style>
  <w:style w:type="character" w:customStyle="1" w:styleId="14">
    <w:name w:val="页眉 Char"/>
    <w:basedOn w:val="11"/>
    <w:link w:val="6"/>
    <w:qFormat/>
    <w:uiPriority w:val="0"/>
    <w:rPr>
      <w:sz w:val="18"/>
      <w:szCs w:val="18"/>
    </w:rPr>
  </w:style>
  <w:style w:type="paragraph" w:styleId="15">
    <w:name w:val="No Spacing"/>
    <w:semiHidden/>
    <w:unhideWhenUsed/>
    <w:uiPriority w:val="99"/>
    <w:pPr>
      <w:widowControl w:val="0"/>
      <w:jc w:val="both"/>
    </w:pPr>
    <w:rPr>
      <w:rFonts w:asciiTheme="minorHAnsi" w:hAnsiTheme="minorHAnsi" w:eastAsiaTheme="minorEastAsia" w:cstheme="minorBidi"/>
      <w:kern w:val="2"/>
      <w:sz w:val="21"/>
      <w:szCs w:val="22"/>
      <w:lang w:val="en-US" w:eastAsia="zh-CN" w:bidi="ar-SA"/>
    </w:rPr>
  </w:style>
  <w:style w:type="character" w:customStyle="1" w:styleId="16">
    <w:name w:val="批注框文本 Char"/>
    <w:basedOn w:val="11"/>
    <w:link w:val="4"/>
    <w:qFormat/>
    <w:uiPriority w:val="99"/>
    <w:rPr>
      <w:sz w:val="18"/>
      <w:szCs w:val="18"/>
    </w:rPr>
  </w:style>
  <w:style w:type="character" w:customStyle="1" w:styleId="17">
    <w:name w:val="font11"/>
    <w:basedOn w:val="11"/>
    <w:qFormat/>
    <w:uiPriority w:val="0"/>
    <w:rPr>
      <w:rFonts w:hint="eastAsia" w:ascii="宋体" w:hAnsi="宋体" w:eastAsia="宋体" w:cs="宋体"/>
      <w:color w:val="000000"/>
      <w:sz w:val="20"/>
      <w:szCs w:val="20"/>
      <w:u w:val="none"/>
    </w:rPr>
  </w:style>
  <w:style w:type="character" w:customStyle="1" w:styleId="18">
    <w:name w:val="font01"/>
    <w:basedOn w:val="11"/>
    <w:qFormat/>
    <w:uiPriority w:val="0"/>
    <w:rPr>
      <w:rFonts w:hint="eastAsia" w:ascii="宋体" w:hAnsi="宋体" w:eastAsia="宋体" w:cs="宋体"/>
      <w:color w:val="000000"/>
      <w:sz w:val="22"/>
      <w:szCs w:val="22"/>
      <w:u w:val="none"/>
    </w:rPr>
  </w:style>
  <w:style w:type="character" w:customStyle="1" w:styleId="19">
    <w:name w:val="font41"/>
    <w:basedOn w:val="11"/>
    <w:qFormat/>
    <w:uiPriority w:val="0"/>
    <w:rPr>
      <w:rFonts w:hint="eastAsia" w:ascii="宋体" w:hAnsi="宋体" w:eastAsia="宋体" w:cs="宋体"/>
      <w:color w:val="000000"/>
      <w:sz w:val="24"/>
      <w:szCs w:val="24"/>
      <w:u w:val="none"/>
    </w:rPr>
  </w:style>
  <w:style w:type="character" w:customStyle="1" w:styleId="20">
    <w:name w:val="font31"/>
    <w:basedOn w:val="11"/>
    <w:qFormat/>
    <w:uiPriority w:val="0"/>
    <w:rPr>
      <w:rFonts w:hint="eastAsia" w:ascii="华文中宋" w:hAnsi="华文中宋" w:eastAsia="华文中宋" w:cs="华文中宋"/>
      <w:color w:val="000000"/>
      <w:sz w:val="32"/>
      <w:szCs w:val="32"/>
      <w:u w:val="none"/>
    </w:rPr>
  </w:style>
  <w:style w:type="character" w:customStyle="1" w:styleId="21">
    <w:name w:val="font91"/>
    <w:basedOn w:val="11"/>
    <w:qFormat/>
    <w:uiPriority w:val="0"/>
    <w:rPr>
      <w:rFonts w:hint="eastAsia" w:ascii="华文中宋" w:hAnsi="华文中宋" w:eastAsia="华文中宋" w:cs="华文中宋"/>
      <w:color w:val="000000"/>
      <w:sz w:val="32"/>
      <w:szCs w:val="32"/>
      <w:u w:val="none"/>
    </w:rPr>
  </w:style>
  <w:style w:type="character" w:customStyle="1" w:styleId="22">
    <w:name w:val="font51"/>
    <w:basedOn w:val="11"/>
    <w:qFormat/>
    <w:uiPriority w:val="0"/>
    <w:rPr>
      <w:rFonts w:hint="eastAsia" w:ascii="宋体" w:hAnsi="宋体" w:eastAsia="宋体" w:cs="宋体"/>
      <w:color w:val="000000"/>
      <w:sz w:val="24"/>
      <w:szCs w:val="24"/>
      <w:u w:val="none"/>
    </w:rPr>
  </w:style>
  <w:style w:type="paragraph" w:styleId="23">
    <w:name w:val="List Paragraph"/>
    <w:basedOn w:val="1"/>
    <w:semiHidden/>
    <w:unhideWhenUsed/>
    <w:qFormat/>
    <w:uiPriority w:val="99"/>
    <w:pPr>
      <w:ind w:firstLine="420" w:firstLineChars="200"/>
    </w:pPr>
  </w:style>
  <w:style w:type="character" w:customStyle="1" w:styleId="24">
    <w:name w:val="正文文本 Char"/>
    <w:basedOn w:val="11"/>
    <w:link w:val="3"/>
    <w:semiHidden/>
    <w:qFormat/>
    <w:uiPriority w:val="99"/>
  </w:style>
  <w:style w:type="character" w:customStyle="1" w:styleId="25">
    <w:name w:val="正文首行缩进 Char"/>
    <w:basedOn w:val="24"/>
    <w:link w:val="8"/>
    <w:qFormat/>
    <w:uiPriority w:val="99"/>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sv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126.35</c:v>
                </c:pt>
                <c:pt idx="1">
                  <c:v>96.49</c:v>
                </c:pt>
              </c:numCache>
            </c:numRef>
          </c:val>
        </c:ser>
        <c:dLbls>
          <c:showLegendKey val="0"/>
          <c:showVal val="1"/>
          <c:showCatName val="0"/>
          <c:showSerName val="0"/>
          <c:showPercent val="0"/>
          <c:showBubbleSize val="0"/>
        </c:dLbls>
        <c:gapWidth val="246"/>
        <c:overlap val="-28"/>
        <c:axId val="132037120"/>
        <c:axId val="131952000"/>
      </c:barChart>
      <c:catAx>
        <c:axId val="13203712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1952000"/>
        <c:crosses val="autoZero"/>
        <c:auto val="1"/>
        <c:lblAlgn val="ctr"/>
        <c:lblOffset val="100"/>
        <c:noMultiLvlLbl val="0"/>
      </c:catAx>
      <c:valAx>
        <c:axId val="13195200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20371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964894.01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925048.06</c:v>
                </c:pt>
                <c:pt idx="1">
                  <c:v>38096.21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125.06</c:v>
                </c:pt>
                <c:pt idx="1">
                  <c:v>125.05</c:v>
                </c:pt>
                <c:pt idx="2">
                  <c:v>125.06</c:v>
                </c:pt>
                <c:pt idx="3">
                  <c:v>125.05</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96.49</c:v>
                </c:pt>
                <c:pt idx="1">
                  <c:v>96.31</c:v>
                </c:pt>
                <c:pt idx="2">
                  <c:v>96.49</c:v>
                </c:pt>
                <c:pt idx="3">
                  <c:v>96.31</c:v>
                </c:pt>
                <c:pt idx="4">
                  <c:v>0</c:v>
                </c:pt>
                <c:pt idx="5">
                  <c:v>0</c:v>
                </c:pt>
                <c:pt idx="6">
                  <c:v>0</c:v>
                </c:pt>
                <c:pt idx="7">
                  <c:v>0</c:v>
                </c:pt>
              </c:numCache>
            </c:numRef>
          </c:val>
        </c:ser>
        <c:dLbls>
          <c:showLegendKey val="0"/>
          <c:showVal val="1"/>
          <c:showCatName val="0"/>
          <c:showSerName val="0"/>
          <c:showPercent val="0"/>
          <c:showBubbleSize val="0"/>
        </c:dLbls>
        <c:gapWidth val="246"/>
        <c:overlap val="-28"/>
        <c:axId val="165607424"/>
        <c:axId val="131954880"/>
      </c:barChart>
      <c:catAx>
        <c:axId val="165607424"/>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1954880"/>
        <c:crosses val="autoZero"/>
        <c:auto val="1"/>
        <c:lblAlgn val="ctr"/>
        <c:lblOffset val="100"/>
        <c:noMultiLvlLbl val="0"/>
      </c:catAx>
      <c:valAx>
        <c:axId val="13195488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5607424"/>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3761778207297"/>
          <c:y val="0.253081172970675"/>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108.17</c:v>
                </c:pt>
                <c:pt idx="1">
                  <c:v>108.17</c:v>
                </c:pt>
                <c:pt idx="2">
                  <c:v>108.17</c:v>
                </c:pt>
                <c:pt idx="3">
                  <c:v>108.17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96.49</c:v>
                </c:pt>
                <c:pt idx="1">
                  <c:v>96.31</c:v>
                </c:pt>
                <c:pt idx="2">
                  <c:v>96.49</c:v>
                </c:pt>
                <c:pt idx="3">
                  <c:v>96.31</c:v>
                </c:pt>
                <c:pt idx="4">
                  <c:v>0</c:v>
                </c:pt>
                <c:pt idx="5">
                  <c:v>0</c:v>
                </c:pt>
                <c:pt idx="6">
                  <c:v>0</c:v>
                </c:pt>
                <c:pt idx="7">
                  <c:v>0</c:v>
                </c:pt>
              </c:numCache>
            </c:numRef>
          </c:val>
        </c:ser>
        <c:dLbls>
          <c:showLegendKey val="0"/>
          <c:showVal val="1"/>
          <c:showCatName val="0"/>
          <c:showSerName val="0"/>
          <c:showPercent val="0"/>
          <c:showBubbleSize val="0"/>
        </c:dLbls>
        <c:gapWidth val="150"/>
        <c:axId val="166678016"/>
        <c:axId val="293969920"/>
      </c:barChart>
      <c:catAx>
        <c:axId val="16667801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93969920"/>
        <c:crosses val="autoZero"/>
        <c:auto val="1"/>
        <c:lblAlgn val="ctr"/>
        <c:lblOffset val="100"/>
        <c:noMultiLvlLbl val="0"/>
      </c:catAx>
      <c:valAx>
        <c:axId val="29396992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6678016"/>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85.2</c:v>
                </c:pt>
                <c:pt idx="8">
                  <c:v>4.61</c:v>
                </c:pt>
                <c:pt idx="9">
                  <c:v>0</c:v>
                </c:pt>
                <c:pt idx="10">
                  <c:v>0</c:v>
                </c:pt>
                <c:pt idx="11">
                  <c:v>0</c:v>
                </c:pt>
                <c:pt idx="12">
                  <c:v>0</c:v>
                </c:pt>
                <c:pt idx="13">
                  <c:v>0</c:v>
                </c:pt>
                <c:pt idx="14">
                  <c:v>0</c:v>
                </c:pt>
                <c:pt idx="15">
                  <c:v>0</c:v>
                </c:pt>
                <c:pt idx="16">
                  <c:v>0</c:v>
                </c:pt>
                <c:pt idx="17">
                  <c:v>0</c:v>
                </c:pt>
                <c:pt idx="18">
                  <c:v>6.51</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8"/>
    <customShpInfo spid="_x0000_s1032"/>
  </customShpExts>
  <s:tags>
    <s:tag s:spid="_x0000_s1032">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38</Pages>
  <Words>2314</Words>
  <Characters>13194</Characters>
  <Lines>109</Lines>
  <Paragraphs>30</Paragraphs>
  <TotalTime>0</TotalTime>
  <ScaleCrop>false</ScaleCrop>
  <LinksUpToDate>false</LinksUpToDate>
  <CharactersWithSpaces>15478</CharactersWithSpaces>
  <Application>WPS Office_11.8.2.1132_F1E327BC-269C-435d-A152-05C5408002CA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2025-09-23T12:28:00Z</dcterms:created>
  <dc:creator>user</dc:creator>
  <cp:lastModifiedBy>.</cp:lastModifiedBy>
  <cp:lastPrinted>2025-07-30T14:51:00Z</cp:lastPrinted>
  <dcterms:modified xsi:type="dcterms:W3CDTF">2025-09-23T12:11:05Z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eyJoZGlkIjoiNWU2ZjI3MWI3ZDU4N2VhZTc1NDUwYjViYjNiNzI1ZjUiLCJ1c2VySWQiOiIyOTIyMTYyOTIifQ==</vt:lpwstr>
  </property>
  <property fmtid="{D5CDD505-2E9C-101B-9397-08002B2CF9AE}" pid="3" name="KSOProductBuildVer">
    <vt:lpwstr>2052-11.8.2.1132</vt:lpwstr>
  </property>
  <property fmtid="{D5CDD505-2E9C-101B-9397-08002B2CF9AE}" pid="4" name="ICV">
    <vt:lpwstr>B21D18FB37274BA8A00E3C6917B1CC0E_12</vt:lpwstr>
  </property>
</Properties>
</file>