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319</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：石家庄市桥西区审计局</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石家庄市桥西区审计局</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pStyle w:val="10"/>
        <w:rPr>
          <w:rFonts w:ascii="黑体" w:hAnsi="黑体" w:eastAsia="黑体" w:cs="黑体"/>
          <w:sz w:val="56"/>
          <w:szCs w:val="72"/>
        </w:rPr>
      </w:pPr>
    </w:p>
    <w:p>
      <w:pPr>
        <w:pStyle w:val="10"/>
        <w:rPr>
          <w:rFonts w:ascii="黑体" w:hAnsi="黑体" w:eastAsia="黑体" w:cs="黑体"/>
          <w:sz w:val="56"/>
          <w:szCs w:val="72"/>
        </w:rPr>
      </w:pPr>
    </w:p>
    <w:p>
      <w:pPr>
        <w:pStyle w:val="10"/>
        <w:rPr>
          <w:rFonts w:ascii="黑体" w:hAnsi="黑体" w:eastAsia="黑体" w:cs="黑体"/>
          <w:sz w:val="56"/>
          <w:szCs w:val="72"/>
        </w:rPr>
      </w:pPr>
    </w:p>
    <w:p>
      <w:pPr>
        <w:pStyle w:val="10"/>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石家庄市桥西区审计局</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eastAsia="zh-CN"/>
        </w:rPr>
        <w:t>九</w:t>
      </w:r>
      <w:r>
        <w:rPr>
          <w:rFonts w:ascii="Times New Roman" w:eastAsia="楷体_GB2312"/>
          <w:b w:val="0"/>
          <w:sz w:val="44"/>
          <w:szCs w:val="44"/>
        </w:rPr>
        <w:t>月</w:t>
      </w: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pStyle w:val="10"/>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pPr>
        <w:pStyle w:val="26"/>
        <w:rPr>
          <w:rFonts w:ascii="Times New Roman" w:eastAsia="仿宋_GB2312" w:cs="宋体" w:hAnsiTheme="minorHAnsi"/>
          <w:b w:val="0"/>
          <w:color w:val="auto"/>
          <w:kern w:val="0"/>
          <w:sz w:val="32"/>
          <w:szCs w:val="32"/>
          <w:lang w:val="en-US" w:eastAsia="zh-CN" w:bidi="ar-SA"/>
        </w:rPr>
      </w:pPr>
      <w:r>
        <w:rPr>
          <w:rFonts w:hint="eastAsia" w:ascii="Times New Roman" w:eastAsia="仿宋_GB2312" w:cs="宋体" w:hAnsiTheme="minorHAnsi"/>
          <w:b w:val="0"/>
          <w:color w:val="auto"/>
          <w:kern w:val="0"/>
          <w:sz w:val="32"/>
          <w:szCs w:val="32"/>
          <w:lang w:val="en-US" w:eastAsia="zh-CN" w:bidi="ar-SA"/>
        </w:rPr>
        <w:t>（一）主管全区审计工作。负责对区政府财政收支和法律法</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规规定属于审计监督范围的财务收支的真实、合法和效益进行审计监督，</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对直接审计、调查和核查的事项依法进行审计评价，做出审计决定或提出审计建议，以维护财政经济秩序，提高财政</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资金使用效益，促进廉政建设，保障全区经济和社会健康发展。对审计、专项审计调查和核查社会审计机构相关审计报告的结果</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承担责任，并负有督促被审计单位整改的责任。</w:t>
      </w:r>
      <w:r>
        <w:rPr>
          <w:rFonts w:ascii="Times New Roman" w:eastAsia="仿宋_GB2312" w:cs="宋体" w:hAnsiTheme="minorHAnsi"/>
          <w:b w:val="0"/>
          <w:color w:val="auto"/>
          <w:kern w:val="0"/>
          <w:sz w:val="32"/>
          <w:szCs w:val="32"/>
          <w:lang w:val="en-US" w:eastAsia="zh-CN" w:bidi="ar-SA"/>
        </w:rPr>
        <w:t xml:space="preserve"> </w:t>
      </w:r>
    </w:p>
    <w:p>
      <w:pPr>
        <w:pStyle w:val="26"/>
        <w:rPr>
          <w:rFonts w:ascii="Times New Roman" w:eastAsia="仿宋_GB2312" w:cs="宋体" w:hAnsiTheme="minorHAnsi"/>
          <w:b w:val="0"/>
          <w:color w:val="auto"/>
          <w:kern w:val="0"/>
          <w:sz w:val="32"/>
          <w:szCs w:val="32"/>
          <w:lang w:val="en-US" w:eastAsia="zh-CN" w:bidi="ar-SA"/>
        </w:rPr>
      </w:pPr>
      <w:r>
        <w:rPr>
          <w:rFonts w:hint="eastAsia" w:ascii="Times New Roman" w:eastAsia="仿宋_GB2312" w:cs="宋体" w:hAnsiTheme="minorHAnsi"/>
          <w:b w:val="0"/>
          <w:color w:val="auto"/>
          <w:kern w:val="0"/>
          <w:sz w:val="32"/>
          <w:szCs w:val="32"/>
          <w:lang w:val="en-US" w:eastAsia="zh-CN" w:bidi="ar-SA"/>
        </w:rPr>
        <w:t>（二）制订并组织实施全区审计工作发展规划、专业领域审</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计工作规划和年度审计计划。</w:t>
      </w:r>
      <w:r>
        <w:rPr>
          <w:rFonts w:ascii="Times New Roman" w:eastAsia="仿宋_GB2312" w:cs="宋体" w:hAnsiTheme="minorHAnsi"/>
          <w:b w:val="0"/>
          <w:color w:val="auto"/>
          <w:kern w:val="0"/>
          <w:sz w:val="32"/>
          <w:szCs w:val="32"/>
          <w:lang w:val="en-US" w:eastAsia="zh-CN" w:bidi="ar-SA"/>
        </w:rPr>
        <w:t xml:space="preserve"> </w:t>
      </w:r>
    </w:p>
    <w:p>
      <w:pPr>
        <w:pStyle w:val="26"/>
        <w:rPr>
          <w:rFonts w:ascii="Times New Roman" w:eastAsia="仿宋_GB2312" w:cs="宋体" w:hAnsiTheme="minorHAnsi"/>
          <w:b w:val="0"/>
          <w:color w:val="auto"/>
          <w:kern w:val="0"/>
          <w:sz w:val="32"/>
          <w:szCs w:val="32"/>
          <w:lang w:val="en-US" w:eastAsia="zh-CN" w:bidi="ar-SA"/>
        </w:rPr>
      </w:pPr>
      <w:r>
        <w:rPr>
          <w:rFonts w:hint="eastAsia" w:ascii="Times New Roman" w:eastAsia="仿宋_GB2312" w:cs="宋体" w:hAnsiTheme="minorHAnsi"/>
          <w:b w:val="0"/>
          <w:color w:val="auto"/>
          <w:kern w:val="0"/>
          <w:sz w:val="32"/>
          <w:szCs w:val="32"/>
          <w:lang w:val="en-US" w:eastAsia="zh-CN" w:bidi="ar-SA"/>
        </w:rPr>
        <w:t>（三）向区长提出区本级年度预算执行和其他财政收支情况</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的审计结果报告。受区政府委托向区人大常委会提出区政府预算</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执行和其他财政收支情况的审计工作报告、审计发现问题的纠正</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和处理结果报告。向区政府报告对其他事项的审计和专项审计调</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查情况及结果。依法向社会公布审计结果。</w:t>
      </w:r>
      <w:r>
        <w:rPr>
          <w:rFonts w:ascii="Times New Roman" w:eastAsia="仿宋_GB2312" w:cs="宋体" w:hAnsiTheme="minorHAnsi"/>
          <w:b w:val="0"/>
          <w:color w:val="auto"/>
          <w:kern w:val="0"/>
          <w:sz w:val="32"/>
          <w:szCs w:val="32"/>
          <w:lang w:val="en-US" w:eastAsia="zh-CN" w:bidi="ar-SA"/>
        </w:rPr>
        <w:t xml:space="preserve"> </w:t>
      </w:r>
    </w:p>
    <w:p>
      <w:pPr>
        <w:pStyle w:val="26"/>
        <w:rPr>
          <w:rFonts w:ascii="Times New Roman" w:eastAsia="仿宋_GB2312" w:cs="宋体" w:hAnsiTheme="minorHAnsi"/>
          <w:b w:val="0"/>
          <w:color w:val="auto"/>
          <w:kern w:val="0"/>
          <w:sz w:val="32"/>
          <w:szCs w:val="32"/>
          <w:lang w:val="en-US" w:eastAsia="zh-CN" w:bidi="ar-SA"/>
        </w:rPr>
      </w:pPr>
      <w:r>
        <w:rPr>
          <w:rFonts w:hint="eastAsia" w:ascii="Times New Roman" w:eastAsia="仿宋_GB2312" w:cs="宋体" w:hAnsiTheme="minorHAnsi"/>
          <w:b w:val="0"/>
          <w:color w:val="auto"/>
          <w:kern w:val="0"/>
          <w:sz w:val="32"/>
          <w:szCs w:val="32"/>
          <w:lang w:val="en-US" w:eastAsia="zh-CN" w:bidi="ar-SA"/>
        </w:rPr>
        <w:t>（四）直接审计下列事项，出具审计报告，在法定职权范围内做出审计决定，提出处理、处罚的建议：区本级财政预算执行情况和其他财政收支，区机关、事业单位预算执行情况和其他财政收支，中央、省和市财政转移支付资金。区财政直接管辖的街道办事处、区直机关、事业单位预算执行情况、决算和其他财政收支，中央、省和市财政转移支付资金。</w:t>
      </w:r>
    </w:p>
    <w:p>
      <w:pPr>
        <w:pStyle w:val="26"/>
        <w:rPr>
          <w:rFonts w:ascii="Times New Roman" w:eastAsia="仿宋_GB2312" w:cs="宋体" w:hAnsiTheme="minorHAnsi"/>
          <w:b w:val="0"/>
          <w:color w:val="auto"/>
          <w:kern w:val="0"/>
          <w:sz w:val="32"/>
          <w:szCs w:val="32"/>
          <w:lang w:val="en-US" w:eastAsia="zh-CN" w:bidi="ar-SA"/>
        </w:rPr>
      </w:pPr>
      <w:r>
        <w:rPr>
          <w:rFonts w:ascii="Times New Roman" w:eastAsia="仿宋_GB2312" w:cs="宋体" w:hAnsiTheme="minorHAnsi"/>
          <w:b w:val="0"/>
          <w:color w:val="auto"/>
          <w:kern w:val="0"/>
          <w:sz w:val="32"/>
          <w:szCs w:val="32"/>
          <w:lang w:val="en-US" w:eastAsia="zh-CN" w:bidi="ar-SA"/>
        </w:rPr>
        <w:t xml:space="preserve">1. </w:t>
      </w:r>
      <w:r>
        <w:rPr>
          <w:rFonts w:hint="eastAsia" w:ascii="Times New Roman" w:eastAsia="仿宋_GB2312" w:cs="宋体" w:hAnsiTheme="minorHAnsi"/>
          <w:b w:val="0"/>
          <w:color w:val="auto"/>
          <w:kern w:val="0"/>
          <w:sz w:val="32"/>
          <w:szCs w:val="32"/>
          <w:lang w:val="en-US" w:eastAsia="zh-CN" w:bidi="ar-SA"/>
        </w:rPr>
        <w:t>使用区级财政资金的事业单位和社会团体的财务收支。</w:t>
      </w:r>
      <w:r>
        <w:rPr>
          <w:rFonts w:ascii="Times New Roman" w:eastAsia="仿宋_GB2312" w:cs="宋体" w:hAnsiTheme="minorHAnsi"/>
          <w:b w:val="0"/>
          <w:color w:val="auto"/>
          <w:kern w:val="0"/>
          <w:sz w:val="32"/>
          <w:szCs w:val="32"/>
          <w:lang w:val="en-US" w:eastAsia="zh-CN" w:bidi="ar-SA"/>
        </w:rPr>
        <w:t xml:space="preserve"> </w:t>
      </w:r>
    </w:p>
    <w:p>
      <w:pPr>
        <w:pStyle w:val="26"/>
        <w:rPr>
          <w:rFonts w:ascii="Times New Roman" w:eastAsia="仿宋_GB2312" w:cs="宋体" w:hAnsiTheme="minorHAnsi"/>
          <w:b w:val="0"/>
          <w:color w:val="auto"/>
          <w:kern w:val="0"/>
          <w:sz w:val="32"/>
          <w:szCs w:val="32"/>
          <w:lang w:val="en-US" w:eastAsia="zh-CN" w:bidi="ar-SA"/>
        </w:rPr>
      </w:pPr>
      <w:r>
        <w:rPr>
          <w:rFonts w:ascii="Times New Roman" w:eastAsia="仿宋_GB2312" w:cs="宋体" w:hAnsiTheme="minorHAnsi"/>
          <w:b w:val="0"/>
          <w:color w:val="auto"/>
          <w:kern w:val="0"/>
          <w:sz w:val="32"/>
          <w:szCs w:val="32"/>
          <w:lang w:val="en-US" w:eastAsia="zh-CN" w:bidi="ar-SA"/>
        </w:rPr>
        <w:t xml:space="preserve">2. </w:t>
      </w:r>
      <w:r>
        <w:rPr>
          <w:rFonts w:hint="eastAsia" w:ascii="Times New Roman" w:eastAsia="仿宋_GB2312" w:cs="宋体" w:hAnsiTheme="minorHAnsi"/>
          <w:b w:val="0"/>
          <w:color w:val="auto"/>
          <w:kern w:val="0"/>
          <w:sz w:val="32"/>
          <w:szCs w:val="32"/>
          <w:lang w:val="en-US" w:eastAsia="zh-CN" w:bidi="ar-SA"/>
        </w:rPr>
        <w:t>按规定对区街道办事处、区直有关部门、事业单位党政主要领导干部，区属企业领导人及依法属于区审计机关审计监督</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对象的其他单位主要负责人实施经济责任审计。</w:t>
      </w:r>
      <w:r>
        <w:rPr>
          <w:rFonts w:ascii="Times New Roman" w:eastAsia="仿宋_GB2312" w:cs="宋体" w:hAnsiTheme="minorHAnsi"/>
          <w:b w:val="0"/>
          <w:color w:val="auto"/>
          <w:kern w:val="0"/>
          <w:sz w:val="32"/>
          <w:szCs w:val="32"/>
          <w:lang w:val="en-US" w:eastAsia="zh-CN" w:bidi="ar-SA"/>
        </w:rPr>
        <w:t xml:space="preserve"> </w:t>
      </w:r>
    </w:p>
    <w:p>
      <w:pPr>
        <w:pStyle w:val="26"/>
        <w:rPr>
          <w:rFonts w:ascii="Times New Roman" w:eastAsia="仿宋_GB2312" w:cs="宋体" w:hAnsiTheme="minorHAnsi"/>
          <w:b w:val="0"/>
          <w:color w:val="auto"/>
          <w:kern w:val="0"/>
          <w:sz w:val="32"/>
          <w:szCs w:val="32"/>
          <w:lang w:val="en-US" w:eastAsia="zh-CN" w:bidi="ar-SA"/>
        </w:rPr>
      </w:pPr>
      <w:r>
        <w:rPr>
          <w:rFonts w:ascii="Times New Roman" w:eastAsia="仿宋_GB2312" w:cs="宋体" w:hAnsiTheme="minorHAnsi"/>
          <w:b w:val="0"/>
          <w:color w:val="auto"/>
          <w:kern w:val="0"/>
          <w:sz w:val="32"/>
          <w:szCs w:val="32"/>
          <w:lang w:val="en-US" w:eastAsia="zh-CN" w:bidi="ar-SA"/>
        </w:rPr>
        <w:t xml:space="preserve">3. </w:t>
      </w:r>
      <w:r>
        <w:rPr>
          <w:rFonts w:hint="eastAsia" w:ascii="Times New Roman" w:eastAsia="仿宋_GB2312" w:cs="宋体" w:hAnsiTheme="minorHAnsi"/>
          <w:b w:val="0"/>
          <w:color w:val="auto"/>
          <w:kern w:val="0"/>
          <w:sz w:val="32"/>
          <w:szCs w:val="32"/>
          <w:lang w:val="en-US" w:eastAsia="zh-CN" w:bidi="ar-SA"/>
        </w:rPr>
        <w:t>国家投资建设项目的预算执行情况和决算。</w:t>
      </w:r>
      <w:r>
        <w:rPr>
          <w:rFonts w:ascii="Times New Roman" w:eastAsia="仿宋_GB2312" w:cs="宋体" w:hAnsiTheme="minorHAnsi"/>
          <w:b w:val="0"/>
          <w:color w:val="auto"/>
          <w:kern w:val="0"/>
          <w:sz w:val="32"/>
          <w:szCs w:val="32"/>
          <w:lang w:val="en-US" w:eastAsia="zh-CN" w:bidi="ar-SA"/>
        </w:rPr>
        <w:t xml:space="preserve"> </w:t>
      </w:r>
    </w:p>
    <w:p>
      <w:pPr>
        <w:pStyle w:val="26"/>
        <w:rPr>
          <w:rFonts w:ascii="Times New Roman" w:eastAsia="仿宋_GB2312" w:cs="宋体" w:hAnsiTheme="minorHAnsi"/>
          <w:b w:val="0"/>
          <w:color w:val="auto"/>
          <w:kern w:val="0"/>
          <w:sz w:val="32"/>
          <w:szCs w:val="32"/>
          <w:lang w:val="en-US" w:eastAsia="zh-CN" w:bidi="ar-SA"/>
        </w:rPr>
      </w:pPr>
      <w:r>
        <w:rPr>
          <w:rFonts w:ascii="Times New Roman" w:eastAsia="仿宋_GB2312" w:cs="宋体" w:hAnsiTheme="minorHAnsi"/>
          <w:b w:val="0"/>
          <w:color w:val="auto"/>
          <w:kern w:val="0"/>
          <w:sz w:val="32"/>
          <w:szCs w:val="32"/>
          <w:lang w:val="en-US" w:eastAsia="zh-CN" w:bidi="ar-SA"/>
        </w:rPr>
        <w:t xml:space="preserve">4. </w:t>
      </w:r>
      <w:r>
        <w:rPr>
          <w:rFonts w:hint="eastAsia" w:ascii="Times New Roman" w:eastAsia="仿宋_GB2312" w:cs="宋体" w:hAnsiTheme="minorHAnsi"/>
          <w:b w:val="0"/>
          <w:color w:val="auto"/>
          <w:kern w:val="0"/>
          <w:sz w:val="32"/>
          <w:szCs w:val="32"/>
          <w:lang w:val="en-US" w:eastAsia="zh-CN" w:bidi="ar-SA"/>
        </w:rPr>
        <w:t>区属国有企业和国有资本占控股或主导地位企业资产、负债和损益情况。</w:t>
      </w:r>
      <w:r>
        <w:rPr>
          <w:rFonts w:ascii="Times New Roman" w:eastAsia="仿宋_GB2312" w:cs="宋体" w:hAnsiTheme="minorHAnsi"/>
          <w:b w:val="0"/>
          <w:color w:val="auto"/>
          <w:kern w:val="0"/>
          <w:sz w:val="32"/>
          <w:szCs w:val="32"/>
          <w:lang w:val="en-US" w:eastAsia="zh-CN" w:bidi="ar-SA"/>
        </w:rPr>
        <w:t xml:space="preserve"> </w:t>
      </w:r>
    </w:p>
    <w:p>
      <w:pPr>
        <w:pStyle w:val="26"/>
        <w:rPr>
          <w:rFonts w:ascii="Times New Roman" w:eastAsia="仿宋_GB2312" w:cs="宋体" w:hAnsiTheme="minorHAnsi"/>
          <w:b w:val="0"/>
          <w:color w:val="auto"/>
          <w:kern w:val="0"/>
          <w:sz w:val="32"/>
          <w:szCs w:val="32"/>
          <w:lang w:val="en-US" w:eastAsia="zh-CN" w:bidi="ar-SA"/>
        </w:rPr>
      </w:pPr>
      <w:r>
        <w:rPr>
          <w:rFonts w:ascii="Times New Roman" w:eastAsia="仿宋_GB2312" w:cs="宋体" w:hAnsiTheme="minorHAnsi"/>
          <w:b w:val="0"/>
          <w:color w:val="auto"/>
          <w:kern w:val="0"/>
          <w:sz w:val="32"/>
          <w:szCs w:val="32"/>
          <w:lang w:val="en-US" w:eastAsia="zh-CN" w:bidi="ar-SA"/>
        </w:rPr>
        <w:t xml:space="preserve">5. </w:t>
      </w:r>
      <w:r>
        <w:rPr>
          <w:rFonts w:hint="eastAsia" w:ascii="Times New Roman" w:eastAsia="仿宋_GB2312" w:cs="宋体" w:hAnsiTheme="minorHAnsi"/>
          <w:b w:val="0"/>
          <w:color w:val="auto"/>
          <w:kern w:val="0"/>
          <w:sz w:val="32"/>
          <w:szCs w:val="32"/>
          <w:lang w:val="en-US" w:eastAsia="zh-CN" w:bidi="ar-SA"/>
        </w:rPr>
        <w:t>区政府管理和其他单位受区政府及其部门委托管理的社</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会保障基金、社会捐赠资金及其他有关基金、资金的财务收支。</w:t>
      </w:r>
      <w:r>
        <w:rPr>
          <w:rFonts w:ascii="Times New Roman" w:eastAsia="仿宋_GB2312" w:cs="宋体" w:hAnsiTheme="minorHAnsi"/>
          <w:b w:val="0"/>
          <w:color w:val="auto"/>
          <w:kern w:val="0"/>
          <w:sz w:val="32"/>
          <w:szCs w:val="32"/>
          <w:lang w:val="en-US" w:eastAsia="zh-CN" w:bidi="ar-SA"/>
        </w:rPr>
        <w:t xml:space="preserve"> </w:t>
      </w:r>
    </w:p>
    <w:p>
      <w:pPr>
        <w:pStyle w:val="26"/>
        <w:rPr>
          <w:rFonts w:ascii="Times New Roman" w:eastAsia="仿宋_GB2312" w:cs="宋体" w:hAnsiTheme="minorHAnsi"/>
          <w:b w:val="0"/>
          <w:color w:val="auto"/>
          <w:kern w:val="0"/>
          <w:sz w:val="32"/>
          <w:szCs w:val="32"/>
          <w:lang w:val="en-US" w:eastAsia="zh-CN" w:bidi="ar-SA"/>
        </w:rPr>
      </w:pPr>
      <w:r>
        <w:rPr>
          <w:rFonts w:ascii="Times New Roman" w:eastAsia="仿宋_GB2312" w:cs="宋体" w:hAnsiTheme="minorHAnsi"/>
          <w:b w:val="0"/>
          <w:color w:val="auto"/>
          <w:kern w:val="0"/>
          <w:sz w:val="32"/>
          <w:szCs w:val="32"/>
          <w:lang w:val="en-US" w:eastAsia="zh-CN" w:bidi="ar-SA"/>
        </w:rPr>
        <w:t xml:space="preserve">6. </w:t>
      </w:r>
      <w:r>
        <w:rPr>
          <w:rFonts w:hint="eastAsia" w:ascii="Times New Roman" w:eastAsia="仿宋_GB2312" w:cs="宋体" w:hAnsiTheme="minorHAnsi"/>
          <w:b w:val="0"/>
          <w:color w:val="auto"/>
          <w:kern w:val="0"/>
          <w:sz w:val="32"/>
          <w:szCs w:val="32"/>
          <w:lang w:val="en-US" w:eastAsia="zh-CN" w:bidi="ar-SA"/>
        </w:rPr>
        <w:t>国际组织和外国政府援助、贷款项目的财务收支。</w:t>
      </w:r>
      <w:r>
        <w:rPr>
          <w:rFonts w:ascii="Times New Roman" w:eastAsia="仿宋_GB2312" w:cs="宋体" w:hAnsiTheme="minorHAnsi"/>
          <w:b w:val="0"/>
          <w:color w:val="auto"/>
          <w:kern w:val="0"/>
          <w:sz w:val="32"/>
          <w:szCs w:val="32"/>
          <w:lang w:val="en-US" w:eastAsia="zh-CN" w:bidi="ar-SA"/>
        </w:rPr>
        <w:t xml:space="preserve"> </w:t>
      </w:r>
    </w:p>
    <w:p>
      <w:pPr>
        <w:pStyle w:val="26"/>
        <w:rPr>
          <w:rFonts w:ascii="Times New Roman" w:eastAsia="仿宋_GB2312" w:cs="宋体" w:hAnsiTheme="minorHAnsi"/>
          <w:b w:val="0"/>
          <w:color w:val="auto"/>
          <w:kern w:val="0"/>
          <w:sz w:val="32"/>
          <w:szCs w:val="32"/>
          <w:lang w:val="en-US" w:eastAsia="zh-CN" w:bidi="ar-SA"/>
        </w:rPr>
      </w:pPr>
      <w:r>
        <w:rPr>
          <w:rFonts w:ascii="Times New Roman" w:eastAsia="仿宋_GB2312" w:cs="宋体" w:hAnsiTheme="minorHAnsi"/>
          <w:b w:val="0"/>
          <w:color w:val="auto"/>
          <w:kern w:val="0"/>
          <w:sz w:val="32"/>
          <w:szCs w:val="32"/>
          <w:lang w:val="en-US" w:eastAsia="zh-CN" w:bidi="ar-SA"/>
        </w:rPr>
        <w:t xml:space="preserve">7. </w:t>
      </w:r>
      <w:r>
        <w:rPr>
          <w:rFonts w:hint="eastAsia" w:ascii="Times New Roman" w:eastAsia="仿宋_GB2312" w:cs="宋体" w:hAnsiTheme="minorHAnsi"/>
          <w:b w:val="0"/>
          <w:color w:val="auto"/>
          <w:kern w:val="0"/>
          <w:sz w:val="32"/>
          <w:szCs w:val="32"/>
          <w:lang w:val="en-US" w:eastAsia="zh-CN" w:bidi="ar-SA"/>
        </w:rPr>
        <w:t>法律、行政法规规定的应当由审计机关审计的其他事项。</w:t>
      </w:r>
      <w:r>
        <w:rPr>
          <w:rFonts w:ascii="Times New Roman" w:eastAsia="仿宋_GB2312" w:cs="宋体" w:hAnsiTheme="minorHAnsi"/>
          <w:b w:val="0"/>
          <w:color w:val="auto"/>
          <w:kern w:val="0"/>
          <w:sz w:val="32"/>
          <w:szCs w:val="32"/>
          <w:lang w:val="en-US" w:eastAsia="zh-CN" w:bidi="ar-SA"/>
        </w:rPr>
        <w:t xml:space="preserve"> </w:t>
      </w:r>
    </w:p>
    <w:p>
      <w:pPr>
        <w:pStyle w:val="26"/>
        <w:rPr>
          <w:rFonts w:ascii="Times New Roman" w:eastAsia="仿宋_GB2312" w:cs="宋体" w:hAnsiTheme="minorHAnsi"/>
          <w:b w:val="0"/>
          <w:color w:val="auto"/>
          <w:kern w:val="0"/>
          <w:sz w:val="32"/>
          <w:szCs w:val="32"/>
          <w:lang w:val="en-US" w:eastAsia="zh-CN" w:bidi="ar-SA"/>
        </w:rPr>
      </w:pPr>
      <w:r>
        <w:rPr>
          <w:rFonts w:hint="eastAsia" w:ascii="Times New Roman" w:eastAsia="仿宋_GB2312" w:cs="宋体" w:hAnsiTheme="minorHAnsi"/>
          <w:b w:val="0"/>
          <w:color w:val="auto"/>
          <w:kern w:val="0"/>
          <w:sz w:val="32"/>
          <w:szCs w:val="32"/>
          <w:lang w:val="en-US" w:eastAsia="zh-CN" w:bidi="ar-SA"/>
        </w:rPr>
        <w:t>（五）依法检查审计决定执行情况，督促纠正和处理审计发现的问题，依法办理被审计单位对审计决定提请行政复议、行政诉讼或区政府裁决中的有关事项。协助配合有关部门查处相关重大案件。</w:t>
      </w:r>
      <w:r>
        <w:rPr>
          <w:rFonts w:ascii="Times New Roman" w:eastAsia="仿宋_GB2312" w:cs="宋体" w:hAnsiTheme="minorHAnsi"/>
          <w:b w:val="0"/>
          <w:color w:val="auto"/>
          <w:kern w:val="0"/>
          <w:sz w:val="32"/>
          <w:szCs w:val="32"/>
          <w:lang w:val="en-US" w:eastAsia="zh-CN" w:bidi="ar-SA"/>
        </w:rPr>
        <w:t xml:space="preserve"> </w:t>
      </w:r>
    </w:p>
    <w:p>
      <w:pPr>
        <w:pStyle w:val="26"/>
        <w:rPr>
          <w:rFonts w:ascii="Times New Roman" w:eastAsia="仿宋_GB2312" w:cs="宋体" w:hAnsiTheme="minorHAnsi"/>
          <w:b w:val="0"/>
          <w:color w:val="auto"/>
          <w:kern w:val="0"/>
          <w:sz w:val="32"/>
          <w:szCs w:val="32"/>
          <w:lang w:val="en-US" w:eastAsia="zh-CN" w:bidi="ar-SA"/>
        </w:rPr>
      </w:pPr>
      <w:r>
        <w:rPr>
          <w:rFonts w:hint="eastAsia" w:ascii="Times New Roman" w:eastAsia="仿宋_GB2312" w:cs="宋体" w:hAnsiTheme="minorHAnsi"/>
          <w:b w:val="0"/>
          <w:color w:val="auto"/>
          <w:kern w:val="0"/>
          <w:sz w:val="32"/>
          <w:szCs w:val="32"/>
          <w:lang w:val="en-US" w:eastAsia="zh-CN" w:bidi="ar-SA"/>
        </w:rPr>
        <w:t>（六）指导和监督内部审计工作，核查社会审计机构对依法属于审计监督对象的单位出具相关审计报告。</w:t>
      </w:r>
      <w:r>
        <w:rPr>
          <w:rFonts w:ascii="Times New Roman" w:eastAsia="仿宋_GB2312" w:cs="宋体" w:hAnsiTheme="minorHAnsi"/>
          <w:b w:val="0"/>
          <w:color w:val="auto"/>
          <w:kern w:val="0"/>
          <w:sz w:val="32"/>
          <w:szCs w:val="32"/>
          <w:lang w:val="en-US" w:eastAsia="zh-CN" w:bidi="ar-SA"/>
        </w:rPr>
        <w:t xml:space="preserve"> </w:t>
      </w:r>
    </w:p>
    <w:p>
      <w:pPr>
        <w:pStyle w:val="26"/>
        <w:rPr>
          <w:rFonts w:hint="eastAsia" w:ascii="Times New Roman" w:eastAsia="仿宋_GB2312" w:cs="宋体" w:hAnsiTheme="minorHAnsi"/>
          <w:b w:val="0"/>
          <w:color w:val="auto"/>
          <w:kern w:val="0"/>
          <w:sz w:val="32"/>
          <w:szCs w:val="32"/>
          <w:lang w:val="en-US" w:eastAsia="zh-CN" w:bidi="ar-SA"/>
        </w:rPr>
      </w:pPr>
      <w:r>
        <w:rPr>
          <w:rFonts w:hint="eastAsia" w:ascii="Times New Roman" w:eastAsia="仿宋_GB2312" w:cs="宋体" w:hAnsiTheme="minorHAnsi"/>
          <w:b w:val="0"/>
          <w:color w:val="auto"/>
          <w:kern w:val="0"/>
          <w:sz w:val="32"/>
          <w:szCs w:val="32"/>
          <w:lang w:val="en-US" w:eastAsia="zh-CN" w:bidi="ar-SA"/>
        </w:rPr>
        <w:t>（七）</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承办区政府交办的其他事项。</w:t>
      </w:r>
    </w:p>
    <w:p>
      <w:pPr>
        <w:pStyle w:val="26"/>
        <w:rPr>
          <w:rFonts w:hint="eastAsia" w:ascii="Times New Roman" w:eastAsia="仿宋_GB2312" w:cs="宋体" w:hAnsiTheme="minorHAnsi"/>
          <w:b w:val="0"/>
          <w:color w:val="auto"/>
          <w:kern w:val="0"/>
          <w:sz w:val="32"/>
          <w:szCs w:val="32"/>
          <w:lang w:val="en-US" w:eastAsia="zh-CN" w:bidi="ar-SA"/>
        </w:rPr>
      </w:pP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4173"/>
        <w:gridCol w:w="2070"/>
        <w:gridCol w:w="23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4173"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070"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352"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4173"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石家庄市桥西区审计局(本级)</w:t>
            </w:r>
          </w:p>
        </w:tc>
        <w:tc>
          <w:tcPr>
            <w:tcW w:w="2070"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352"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部门（单位）：石家庄市桥西区审计局</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242.08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53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16"/>
        <w:gridCol w:w="1800"/>
        <w:gridCol w:w="975"/>
        <w:gridCol w:w="1050"/>
        <w:gridCol w:w="1020"/>
        <w:gridCol w:w="840"/>
        <w:gridCol w:w="250"/>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539"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539"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791"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部门（单位）：石家庄市桥西区审计局                                                                                                         </w:t>
            </w:r>
          </w:p>
        </w:tc>
        <w:tc>
          <w:tcPr>
            <w:tcW w:w="3160"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816"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975"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50"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20"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8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847"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16"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80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975"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50"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0"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8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847"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16"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80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5"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50"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0"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840"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847"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16"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80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5"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50"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0"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840"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847"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816"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975"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50"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20"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840"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847"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816"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9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375.41</w:t>
            </w:r>
          </w:p>
        </w:tc>
        <w:tc>
          <w:tcPr>
            <w:tcW w:w="105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375.41</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4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jc w:val="center"/>
        </w:trPr>
        <w:tc>
          <w:tcPr>
            <w:tcW w:w="1016"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80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9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242.08</w:t>
            </w:r>
          </w:p>
        </w:tc>
        <w:tc>
          <w:tcPr>
            <w:tcW w:w="105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242.08</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2" w:hRule="atLeast"/>
          <w:jc w:val="center"/>
        </w:trPr>
        <w:tc>
          <w:tcPr>
            <w:tcW w:w="1016"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w:t>
            </w:r>
          </w:p>
        </w:tc>
        <w:tc>
          <w:tcPr>
            <w:tcW w:w="180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审计事务</w:t>
            </w:r>
          </w:p>
        </w:tc>
        <w:tc>
          <w:tcPr>
            <w:tcW w:w="9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242.08</w:t>
            </w:r>
          </w:p>
        </w:tc>
        <w:tc>
          <w:tcPr>
            <w:tcW w:w="105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242.08</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2" w:hRule="atLeast"/>
          <w:jc w:val="center"/>
        </w:trPr>
        <w:tc>
          <w:tcPr>
            <w:tcW w:w="1016"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2010801</w:t>
            </w:r>
          </w:p>
        </w:tc>
        <w:tc>
          <w:tcPr>
            <w:tcW w:w="180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9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217.61</w:t>
            </w:r>
          </w:p>
        </w:tc>
        <w:tc>
          <w:tcPr>
            <w:tcW w:w="105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217.61</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jc w:val="center"/>
        </w:trPr>
        <w:tc>
          <w:tcPr>
            <w:tcW w:w="1016"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2010805</w:t>
            </w:r>
          </w:p>
        </w:tc>
        <w:tc>
          <w:tcPr>
            <w:tcW w:w="180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审计管理</w:t>
            </w:r>
          </w:p>
        </w:tc>
        <w:tc>
          <w:tcPr>
            <w:tcW w:w="9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24.46</w:t>
            </w:r>
          </w:p>
        </w:tc>
        <w:tc>
          <w:tcPr>
            <w:tcW w:w="105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24.46</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16"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80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9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87.60</w:t>
            </w:r>
          </w:p>
        </w:tc>
        <w:tc>
          <w:tcPr>
            <w:tcW w:w="105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87.60</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16"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80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9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87.60</w:t>
            </w:r>
          </w:p>
        </w:tc>
        <w:tc>
          <w:tcPr>
            <w:tcW w:w="105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87.60</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016"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80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9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50.45</w:t>
            </w:r>
          </w:p>
        </w:tc>
        <w:tc>
          <w:tcPr>
            <w:tcW w:w="105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50.45</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9" w:hRule="atLeast"/>
          <w:jc w:val="center"/>
        </w:trPr>
        <w:tc>
          <w:tcPr>
            <w:tcW w:w="1016"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80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9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24.82</w:t>
            </w:r>
          </w:p>
        </w:tc>
        <w:tc>
          <w:tcPr>
            <w:tcW w:w="105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24.82</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16"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80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9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12.34</w:t>
            </w:r>
          </w:p>
        </w:tc>
        <w:tc>
          <w:tcPr>
            <w:tcW w:w="105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12.34</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jc w:val="center"/>
        </w:trPr>
        <w:tc>
          <w:tcPr>
            <w:tcW w:w="1016"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80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9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18.66</w:t>
            </w:r>
          </w:p>
        </w:tc>
        <w:tc>
          <w:tcPr>
            <w:tcW w:w="105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18.66</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7" w:hRule="atLeast"/>
          <w:jc w:val="center"/>
        </w:trPr>
        <w:tc>
          <w:tcPr>
            <w:tcW w:w="1016"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80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9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18.66</w:t>
            </w:r>
          </w:p>
        </w:tc>
        <w:tc>
          <w:tcPr>
            <w:tcW w:w="105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18.66</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7" w:hRule="atLeast"/>
          <w:jc w:val="center"/>
        </w:trPr>
        <w:tc>
          <w:tcPr>
            <w:tcW w:w="1016"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80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9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18.66</w:t>
            </w:r>
          </w:p>
        </w:tc>
        <w:tc>
          <w:tcPr>
            <w:tcW w:w="105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18.66</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jc w:val="center"/>
        </w:trPr>
        <w:tc>
          <w:tcPr>
            <w:tcW w:w="1016"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80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9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27.08</w:t>
            </w:r>
          </w:p>
        </w:tc>
        <w:tc>
          <w:tcPr>
            <w:tcW w:w="105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27.08</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jc w:val="center"/>
        </w:trPr>
        <w:tc>
          <w:tcPr>
            <w:tcW w:w="1016"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80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9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27.08</w:t>
            </w:r>
          </w:p>
        </w:tc>
        <w:tc>
          <w:tcPr>
            <w:tcW w:w="105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27.08</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7" w:hRule="atLeast"/>
          <w:jc w:val="center"/>
        </w:trPr>
        <w:tc>
          <w:tcPr>
            <w:tcW w:w="1016"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80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9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27.08</w:t>
            </w:r>
          </w:p>
        </w:tc>
        <w:tc>
          <w:tcPr>
            <w:tcW w:w="105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27.08</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4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539"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089"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97"/>
        <w:gridCol w:w="1576"/>
        <w:gridCol w:w="1128"/>
        <w:gridCol w:w="126"/>
        <w:gridCol w:w="1000"/>
        <w:gridCol w:w="1126"/>
        <w:gridCol w:w="497"/>
        <w:gridCol w:w="629"/>
        <w:gridCol w:w="1251"/>
        <w:gridCol w:w="13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2005"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部门（单位）：石家庄市桥西区审计局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339"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55"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364"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57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574"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74"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574"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38"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6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60"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804"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57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574"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574"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574"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8"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60"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804"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7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574"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574"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574"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8"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60"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804"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7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574"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574"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574"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8"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36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57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574"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574"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574"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38"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2" w:hRule="atLeast"/>
          <w:jc w:val="center"/>
        </w:trPr>
        <w:tc>
          <w:tcPr>
            <w:tcW w:w="136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350.95</w:t>
            </w:r>
          </w:p>
        </w:tc>
        <w:tc>
          <w:tcPr>
            <w:tcW w:w="574"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24.46</w:t>
            </w: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3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60"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804"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242.08</w:t>
            </w: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217.61</w:t>
            </w:r>
          </w:p>
        </w:tc>
        <w:tc>
          <w:tcPr>
            <w:tcW w:w="574"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24.46</w:t>
            </w: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3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jc w:val="center"/>
        </w:trPr>
        <w:tc>
          <w:tcPr>
            <w:tcW w:w="560"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w:t>
            </w:r>
          </w:p>
        </w:tc>
        <w:tc>
          <w:tcPr>
            <w:tcW w:w="804"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审计事务</w:t>
            </w: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242.08</w:t>
            </w: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217.61</w:t>
            </w:r>
          </w:p>
        </w:tc>
        <w:tc>
          <w:tcPr>
            <w:tcW w:w="574"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24.46</w:t>
            </w: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3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jc w:val="center"/>
        </w:trPr>
        <w:tc>
          <w:tcPr>
            <w:tcW w:w="560"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2010801</w:t>
            </w:r>
          </w:p>
        </w:tc>
        <w:tc>
          <w:tcPr>
            <w:tcW w:w="804"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217.61</w:t>
            </w: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217.61</w:t>
            </w:r>
          </w:p>
        </w:tc>
        <w:tc>
          <w:tcPr>
            <w:tcW w:w="574"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3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560"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2010805</w:t>
            </w:r>
          </w:p>
        </w:tc>
        <w:tc>
          <w:tcPr>
            <w:tcW w:w="804"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审计管理</w:t>
            </w: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24.46</w:t>
            </w: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4"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24.46</w:t>
            </w: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3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60"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804"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87.60</w:t>
            </w: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87.60</w:t>
            </w:r>
          </w:p>
        </w:tc>
        <w:tc>
          <w:tcPr>
            <w:tcW w:w="574"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3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60"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804"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87.60</w:t>
            </w: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87.60</w:t>
            </w:r>
          </w:p>
        </w:tc>
        <w:tc>
          <w:tcPr>
            <w:tcW w:w="574"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3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60"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804"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50.45</w:t>
            </w: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50.45</w:t>
            </w:r>
          </w:p>
        </w:tc>
        <w:tc>
          <w:tcPr>
            <w:tcW w:w="574"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3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60"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804"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24.82</w:t>
            </w: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24.82</w:t>
            </w:r>
          </w:p>
        </w:tc>
        <w:tc>
          <w:tcPr>
            <w:tcW w:w="574"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3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60"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804"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w:t>
            </w: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w:t>
            </w:r>
          </w:p>
        </w:tc>
        <w:tc>
          <w:tcPr>
            <w:tcW w:w="574"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3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7" w:hRule="atLeast"/>
          <w:jc w:val="center"/>
        </w:trPr>
        <w:tc>
          <w:tcPr>
            <w:tcW w:w="560"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804"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574"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3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60"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804"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574"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3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7" w:hRule="atLeast"/>
          <w:jc w:val="center"/>
        </w:trPr>
        <w:tc>
          <w:tcPr>
            <w:tcW w:w="560"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804"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574"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3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2" w:hRule="atLeast"/>
          <w:jc w:val="center"/>
        </w:trPr>
        <w:tc>
          <w:tcPr>
            <w:tcW w:w="560"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804"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574"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3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2" w:hRule="atLeast"/>
          <w:jc w:val="center"/>
        </w:trPr>
        <w:tc>
          <w:tcPr>
            <w:tcW w:w="560"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804"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574"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3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2" w:hRule="atLeast"/>
          <w:jc w:val="center"/>
        </w:trPr>
        <w:tc>
          <w:tcPr>
            <w:tcW w:w="560"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804"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574"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3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24" w:type="pct"/>
        <w:tblInd w:w="-159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0"/>
        <w:gridCol w:w="750"/>
        <w:gridCol w:w="1042"/>
        <w:gridCol w:w="1659"/>
        <w:gridCol w:w="439"/>
        <w:gridCol w:w="624"/>
        <w:gridCol w:w="458"/>
        <w:gridCol w:w="428"/>
        <w:gridCol w:w="1305"/>
        <w:gridCol w:w="1395"/>
        <w:gridCol w:w="12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04"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部门（单位）：石家庄市桥西区审计局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73"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22"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2" w:hRule="atLeast"/>
        </w:trPr>
        <w:tc>
          <w:tcPr>
            <w:tcW w:w="1669"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330" w:type="pct"/>
            <w:gridSpan w:val="8"/>
            <w:tcBorders>
              <w:top w:val="single" w:color="auto" w:sz="4" w:space="0"/>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76" w:type="pct"/>
            <w:vMerge w:val="restart"/>
            <w:tcBorders>
              <w:top w:val="single" w:color="auto" w:sz="4" w:space="0"/>
              <w:left w:val="single" w:color="000000" w:sz="4" w:space="0"/>
              <w:bottom w:val="single" w:color="auto"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332" w:type="pct"/>
            <w:vMerge w:val="restart"/>
            <w:tcBorders>
              <w:top w:val="single" w:color="auto" w:sz="4" w:space="0"/>
              <w:left w:val="nil"/>
              <w:bottom w:val="single" w:color="auto"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461" w:type="pct"/>
            <w:vMerge w:val="restart"/>
            <w:tcBorders>
              <w:top w:val="single" w:color="auto" w:sz="4" w:space="0"/>
              <w:left w:val="nil"/>
              <w:bottom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928"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7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39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77"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617"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37"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76" w:type="pct"/>
            <w:vMerge w:val="continue"/>
            <w:tcBorders>
              <w:top w:val="single" w:color="auto" w:sz="4" w:space="0"/>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332" w:type="pct"/>
            <w:vMerge w:val="continue"/>
            <w:tcBorders>
              <w:top w:val="single" w:color="auto" w:sz="4" w:space="0"/>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61" w:type="pct"/>
            <w:vMerge w:val="continue"/>
            <w:tcBorders>
              <w:top w:val="single" w:color="auto" w:sz="4" w:space="0"/>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28"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7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39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77"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617"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37"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332" w:type="pct"/>
            <w:tcBorders>
              <w:top w:val="single" w:color="auto"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461"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9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7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39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7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61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37"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33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46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c>
          <w:tcPr>
            <w:tcW w:w="9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7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39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242.08</w:t>
            </w:r>
          </w:p>
        </w:tc>
        <w:tc>
          <w:tcPr>
            <w:tcW w:w="57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242.08</w:t>
            </w:r>
          </w:p>
        </w:tc>
        <w:tc>
          <w:tcPr>
            <w:tcW w:w="61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33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46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7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39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33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46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7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39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33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46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7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39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33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46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7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39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33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46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7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39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33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46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7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39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33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46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7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39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87.60</w:t>
            </w:r>
          </w:p>
        </w:tc>
        <w:tc>
          <w:tcPr>
            <w:tcW w:w="57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87.60</w:t>
            </w:r>
          </w:p>
        </w:tc>
        <w:tc>
          <w:tcPr>
            <w:tcW w:w="61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33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46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7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39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18.66</w:t>
            </w:r>
          </w:p>
        </w:tc>
        <w:tc>
          <w:tcPr>
            <w:tcW w:w="57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18.66</w:t>
            </w:r>
          </w:p>
        </w:tc>
        <w:tc>
          <w:tcPr>
            <w:tcW w:w="61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33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46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7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39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33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46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7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39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332"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461"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7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39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332"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461"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7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39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332"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461"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7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39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332"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461"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7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39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332"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461"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7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39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332"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461"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7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39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332"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461"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7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39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332"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461"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7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39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27.08</w:t>
            </w:r>
          </w:p>
        </w:tc>
        <w:tc>
          <w:tcPr>
            <w:tcW w:w="57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27.08</w:t>
            </w:r>
          </w:p>
        </w:tc>
        <w:tc>
          <w:tcPr>
            <w:tcW w:w="61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332"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461"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7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39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332"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461"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7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39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332"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461"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7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39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332"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461"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7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39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332"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461"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7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39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33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46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7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39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33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46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7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39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33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46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c>
          <w:tcPr>
            <w:tcW w:w="9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7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39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c>
          <w:tcPr>
            <w:tcW w:w="57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c>
          <w:tcPr>
            <w:tcW w:w="61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33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46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7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39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61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33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46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7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39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33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46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7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39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33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46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8"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7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39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76"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332"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461"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c>
          <w:tcPr>
            <w:tcW w:w="928"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7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39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c>
          <w:tcPr>
            <w:tcW w:w="577"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375.41</w:t>
            </w:r>
          </w:p>
          <w:p>
            <w:pPr>
              <w:jc w:val="right"/>
              <w:rPr>
                <w:rFonts w:hint="default" w:ascii="Times New Roman" w:hAnsi="Times New Roman" w:eastAsia="宋体" w:cs="Times New Roman"/>
                <w:i w:val="0"/>
                <w:iCs w:val="0"/>
                <w:color w:val="000000"/>
                <w:sz w:val="20"/>
                <w:szCs w:val="20"/>
                <w:highlight w:val="none"/>
                <w:u w:val="none"/>
              </w:rPr>
            </w:pPr>
          </w:p>
        </w:tc>
        <w:tc>
          <w:tcPr>
            <w:tcW w:w="617"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7"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792" w:type="pct"/>
        <w:tblInd w:w="-82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082"/>
        <w:gridCol w:w="3416"/>
        <w:gridCol w:w="406"/>
        <w:gridCol w:w="821"/>
        <w:gridCol w:w="1000"/>
        <w:gridCol w:w="815"/>
        <w:gridCol w:w="177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2633"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编制部门（单位）：石家庄市桥西区审计局</w:t>
            </w:r>
          </w:p>
        </w:tc>
        <w:tc>
          <w:tcPr>
            <w:tcW w:w="978"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387"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415"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584"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81"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833"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59"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9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949"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581"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833"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5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74"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49"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81"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833"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5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74"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49"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2415"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5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974"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9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2415"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5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c>
          <w:tcPr>
            <w:tcW w:w="97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350.95</w:t>
            </w:r>
          </w:p>
        </w:tc>
        <w:tc>
          <w:tcPr>
            <w:tcW w:w="9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58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83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5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242.08</w:t>
            </w:r>
          </w:p>
        </w:tc>
        <w:tc>
          <w:tcPr>
            <w:tcW w:w="97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217.61</w:t>
            </w:r>
          </w:p>
        </w:tc>
        <w:tc>
          <w:tcPr>
            <w:tcW w:w="9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58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w:t>
            </w:r>
          </w:p>
        </w:tc>
        <w:tc>
          <w:tcPr>
            <w:tcW w:w="183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审计事务</w:t>
            </w:r>
          </w:p>
        </w:tc>
        <w:tc>
          <w:tcPr>
            <w:tcW w:w="65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242.08</w:t>
            </w:r>
          </w:p>
        </w:tc>
        <w:tc>
          <w:tcPr>
            <w:tcW w:w="97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217.61</w:t>
            </w:r>
          </w:p>
        </w:tc>
        <w:tc>
          <w:tcPr>
            <w:tcW w:w="9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58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2010801</w:t>
            </w:r>
          </w:p>
        </w:tc>
        <w:tc>
          <w:tcPr>
            <w:tcW w:w="183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5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217.61</w:t>
            </w:r>
          </w:p>
        </w:tc>
        <w:tc>
          <w:tcPr>
            <w:tcW w:w="97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217.61</w:t>
            </w:r>
          </w:p>
        </w:tc>
        <w:tc>
          <w:tcPr>
            <w:tcW w:w="9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58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2010805</w:t>
            </w:r>
          </w:p>
        </w:tc>
        <w:tc>
          <w:tcPr>
            <w:tcW w:w="183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审计管理</w:t>
            </w:r>
          </w:p>
        </w:tc>
        <w:tc>
          <w:tcPr>
            <w:tcW w:w="65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24.46</w:t>
            </w:r>
          </w:p>
        </w:tc>
        <w:tc>
          <w:tcPr>
            <w:tcW w:w="97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58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83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5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87.60</w:t>
            </w:r>
          </w:p>
        </w:tc>
        <w:tc>
          <w:tcPr>
            <w:tcW w:w="97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87.60</w:t>
            </w:r>
          </w:p>
        </w:tc>
        <w:tc>
          <w:tcPr>
            <w:tcW w:w="9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58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83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5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87.60</w:t>
            </w:r>
          </w:p>
        </w:tc>
        <w:tc>
          <w:tcPr>
            <w:tcW w:w="97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87.60</w:t>
            </w:r>
          </w:p>
        </w:tc>
        <w:tc>
          <w:tcPr>
            <w:tcW w:w="9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58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83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5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50.45</w:t>
            </w:r>
          </w:p>
        </w:tc>
        <w:tc>
          <w:tcPr>
            <w:tcW w:w="97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50.45</w:t>
            </w:r>
          </w:p>
        </w:tc>
        <w:tc>
          <w:tcPr>
            <w:tcW w:w="9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58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83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5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24.82</w:t>
            </w:r>
          </w:p>
        </w:tc>
        <w:tc>
          <w:tcPr>
            <w:tcW w:w="97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24.82</w:t>
            </w:r>
          </w:p>
        </w:tc>
        <w:tc>
          <w:tcPr>
            <w:tcW w:w="9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58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83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65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w:t>
            </w:r>
          </w:p>
        </w:tc>
        <w:tc>
          <w:tcPr>
            <w:tcW w:w="97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w:t>
            </w:r>
          </w:p>
        </w:tc>
        <w:tc>
          <w:tcPr>
            <w:tcW w:w="9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58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83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5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97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9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58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83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5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97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9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58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83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5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97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9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58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83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5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97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9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58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83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5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97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9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58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83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5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97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9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rPr>
          <w:rFonts w:hint="eastAsia" w:ascii="仿宋_GB2312" w:hAnsi="宋体" w:eastAsia="仿宋_GB2312"/>
          <w:b/>
          <w:color w:val="auto"/>
          <w:kern w:val="0"/>
          <w:sz w:val="32"/>
          <w:szCs w:val="32"/>
          <w:highlight w:val="none"/>
        </w:rPr>
      </w:pP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2"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2"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部门（单位）：石家庄市桥西区审计局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273.87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28.11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92.07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2.81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30.32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0.30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25.79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37.62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18.38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8.69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19.83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30.62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16.45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48.96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48.50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2.96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9.45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322.83</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7"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2"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部门（单位）：石家庄市桥西区审计局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7"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部门（单位）：石家庄市桥西区审计局</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2"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7"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部门（单位）：石家庄市桥西区审计局</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6"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6"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1.00</w:t>
            </w: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1.00</w:t>
            </w: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0.30</w:t>
            </w: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0.30</w:t>
            </w: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0.30</w:t>
            </w: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4"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本部门2024年度收、支总计（含结转和结余）均为375.41万元。与2023年度决算相比，收支各减少61.49万元，下降14.1%，主要原因</w:t>
      </w:r>
      <w:r>
        <w:rPr>
          <w:rFonts w:ascii="Times New Roman" w:hAnsi="Times New Roman" w:eastAsia="仿宋_GB2312" w:cs="Times New Roman"/>
          <w:kern w:val="2"/>
          <w:sz w:val="32"/>
          <w:szCs w:val="32"/>
        </w:rPr>
        <w:t>是</w:t>
      </w:r>
      <w:r>
        <w:rPr>
          <w:rFonts w:hint="eastAsia" w:ascii="仿宋_GB2312" w:hAnsi="Times New Roman" w:eastAsia="仿宋_GB2312" w:cs="DengXian-Regular"/>
          <w:sz w:val="32"/>
          <w:szCs w:val="32"/>
        </w:rPr>
        <w:t>审计项目</w:t>
      </w:r>
      <w:r>
        <w:rPr>
          <w:rFonts w:hint="eastAsia" w:ascii="仿宋_GB2312" w:hAnsi="Times New Roman" w:eastAsia="仿宋_GB2312" w:cs="DengXian-Regular"/>
          <w:sz w:val="32"/>
          <w:szCs w:val="32"/>
          <w:lang w:eastAsia="zh-CN"/>
        </w:rPr>
        <w:t>资金</w:t>
      </w:r>
      <w:r>
        <w:rPr>
          <w:rFonts w:hint="eastAsia" w:ascii="仿宋_GB2312" w:hAnsi="Times New Roman" w:eastAsia="仿宋_GB2312" w:cs="DengXian-Regular"/>
          <w:sz w:val="32"/>
          <w:szCs w:val="32"/>
        </w:rPr>
        <w:t>减少</w:t>
      </w:r>
      <w:r>
        <w:rPr>
          <w:rFonts w:ascii="Times New Roman" w:eastAsia="仿宋_GB2312"/>
          <w:b w:val="0"/>
          <w:sz w:val="32"/>
          <w:szCs w:val="32"/>
        </w:rPr>
        <w:t>。</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b w:val="0"/>
          <w:sz w:val="32"/>
          <w:szCs w:val="32"/>
        </w:rPr>
      </w:pP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375.41万元，其中：财政拨款收入375.41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-8488045</wp:posOffset>
            </wp:positionV>
            <wp:extent cx="5741035" cy="3007360"/>
            <wp:effectExtent l="4445" t="4445" r="762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本部门2024年度本年支出合计375.41万元，其中：基本支出350.95万元，占93.5%；项目支出24.46万元，占6.5%；上缴上级支出0.00万元，占0.0%；经营支出0.00万元，占0.0%；对附属单位补助支出0.00万元，占0.0%。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485130" cy="3054985"/>
            <wp:effectExtent l="4445" t="4445" r="15875" b="7620"/>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b w:val="0"/>
          <w:sz w:val="32"/>
          <w:szCs w:val="32"/>
        </w:rPr>
      </w:pPr>
    </w:p>
    <w:p>
      <w:pPr>
        <w:widowControl/>
        <w:spacing w:before="0" w:beforeLines="0" w:beforeAutospacing="0" w:after="0" w:afterLines="0" w:afterAutospacing="0" w:line="360" w:lineRule="auto"/>
        <w:ind w:firstLine="640" w:firstLineChars="200"/>
        <w:jc w:val="left"/>
        <w:outlineLvl w:val="1"/>
        <w:rPr>
          <w:rFonts w:ascii="Times New Roman" w:eastAsia="黑体"/>
          <w:b w:val="0"/>
          <w:sz w:val="32"/>
          <w:szCs w:val="32"/>
        </w:rPr>
      </w:pP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本部门2024年度财政拨款收、支总计（含结转和结余）均为375.41万元。与2023年度相比，财政拨款收支各减少61.49万元，降低14.1%，主要原因是</w:t>
      </w:r>
      <w:r>
        <w:rPr>
          <w:rFonts w:hint="eastAsia" w:ascii="仿宋_GB2312" w:hAnsi="Times New Roman" w:eastAsia="仿宋_GB2312" w:cs="DengXian-Regular"/>
          <w:sz w:val="32"/>
          <w:szCs w:val="32"/>
        </w:rPr>
        <w:t>审计项目</w:t>
      </w:r>
      <w:r>
        <w:rPr>
          <w:rFonts w:hint="eastAsia" w:ascii="仿宋_GB2312" w:hAnsi="Times New Roman" w:eastAsia="仿宋_GB2312" w:cs="DengXian-Regular"/>
          <w:sz w:val="32"/>
          <w:szCs w:val="32"/>
          <w:lang w:eastAsia="zh-CN"/>
        </w:rPr>
        <w:t>资金</w:t>
      </w:r>
      <w:r>
        <w:rPr>
          <w:rFonts w:hint="eastAsia" w:ascii="仿宋_GB2312" w:hAnsi="Times New Roman" w:eastAsia="仿宋_GB2312" w:cs="DengXian-Regular"/>
          <w:sz w:val="32"/>
          <w:szCs w:val="32"/>
        </w:rPr>
        <w:t>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本部门2024年度财政拨款本年收入375.41万元,比上年减少61.35万元，降低14.0%，主要原因是</w:t>
      </w:r>
      <w:r>
        <w:rPr>
          <w:rFonts w:hint="eastAsia" w:ascii="仿宋_GB2312" w:hAnsi="Times New Roman" w:eastAsia="仿宋_GB2312" w:cs="DengXian-Regular"/>
          <w:sz w:val="32"/>
          <w:szCs w:val="32"/>
        </w:rPr>
        <w:t>审计项目</w:t>
      </w:r>
      <w:r>
        <w:rPr>
          <w:rFonts w:hint="eastAsia" w:ascii="仿宋_GB2312" w:hAnsi="Times New Roman" w:eastAsia="仿宋_GB2312" w:cs="DengXian-Regular"/>
          <w:sz w:val="32"/>
          <w:szCs w:val="32"/>
          <w:lang w:eastAsia="zh-CN"/>
        </w:rPr>
        <w:t>资金</w:t>
      </w:r>
      <w:r>
        <w:rPr>
          <w:rFonts w:hint="eastAsia" w:ascii="仿宋_GB2312" w:hAnsi="Times New Roman" w:eastAsia="仿宋_GB2312" w:cs="DengXian-Regular"/>
          <w:sz w:val="32"/>
          <w:szCs w:val="32"/>
        </w:rPr>
        <w:t>减少</w:t>
      </w:r>
      <w:r>
        <w:rPr>
          <w:rFonts w:ascii="Times New Roman" w:eastAsia="仿宋_GB2312"/>
          <w:b w:val="0"/>
          <w:sz w:val="32"/>
          <w:szCs w:val="32"/>
        </w:rPr>
        <w:t>；本年支出375.41万元，比上年减少61.35万元，降低14.0%，主要原因</w:t>
      </w:r>
      <w:r>
        <w:rPr>
          <w:rFonts w:ascii="Times New Roman" w:hAnsi="Times New Roman" w:eastAsia="仿宋_GB2312" w:cs="Times New Roman"/>
          <w:kern w:val="2"/>
          <w:sz w:val="32"/>
          <w:szCs w:val="32"/>
        </w:rPr>
        <w:t>是</w:t>
      </w:r>
      <w:r>
        <w:rPr>
          <w:rFonts w:hint="eastAsia" w:ascii="仿宋_GB2312" w:hAnsi="Times New Roman" w:eastAsia="仿宋_GB2312" w:cs="DengXian-Regular"/>
          <w:sz w:val="32"/>
          <w:szCs w:val="32"/>
        </w:rPr>
        <w:t>审计项目</w:t>
      </w:r>
      <w:r>
        <w:rPr>
          <w:rFonts w:hint="eastAsia" w:ascii="仿宋_GB2312" w:hAnsi="Times New Roman" w:eastAsia="仿宋_GB2312" w:cs="DengXian-Regular"/>
          <w:sz w:val="32"/>
          <w:szCs w:val="32"/>
          <w:lang w:eastAsia="zh-CN"/>
        </w:rPr>
        <w:t>资金</w:t>
      </w:r>
      <w:r>
        <w:rPr>
          <w:rFonts w:hint="eastAsia" w:ascii="仿宋_GB2312" w:hAnsi="Times New Roman" w:eastAsia="仿宋_GB2312" w:cs="DengXian-Regular"/>
          <w:sz w:val="32"/>
          <w:szCs w:val="32"/>
        </w:rPr>
        <w:t>减少</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1.一般公共预算财政拨款本年收入375.41万元,比上年减少61.35万元，降低14.0%，主要原因</w:t>
      </w:r>
      <w:r>
        <w:rPr>
          <w:rFonts w:ascii="Times New Roman" w:hAnsi="Times New Roman" w:eastAsia="仿宋_GB2312" w:cs="Times New Roman"/>
          <w:kern w:val="2"/>
          <w:sz w:val="32"/>
          <w:szCs w:val="32"/>
        </w:rPr>
        <w:t>是</w:t>
      </w:r>
      <w:r>
        <w:rPr>
          <w:rFonts w:hint="eastAsia" w:ascii="仿宋_GB2312" w:hAnsi="Times New Roman" w:eastAsia="仿宋_GB2312" w:cs="DengXian-Regular"/>
          <w:sz w:val="32"/>
          <w:szCs w:val="32"/>
        </w:rPr>
        <w:t>审计项目</w:t>
      </w:r>
      <w:r>
        <w:rPr>
          <w:rFonts w:hint="eastAsia" w:ascii="仿宋_GB2312" w:hAnsi="Times New Roman" w:eastAsia="仿宋_GB2312" w:cs="DengXian-Regular"/>
          <w:sz w:val="32"/>
          <w:szCs w:val="32"/>
          <w:lang w:eastAsia="zh-CN"/>
        </w:rPr>
        <w:t>资金</w:t>
      </w:r>
      <w:r>
        <w:rPr>
          <w:rFonts w:hint="eastAsia" w:ascii="仿宋_GB2312" w:hAnsi="Times New Roman" w:eastAsia="仿宋_GB2312" w:cs="DengXian-Regular"/>
          <w:sz w:val="32"/>
          <w:szCs w:val="32"/>
        </w:rPr>
        <w:t>减少</w:t>
      </w:r>
      <w:r>
        <w:rPr>
          <w:rFonts w:ascii="Times New Roman" w:eastAsia="仿宋_GB2312"/>
          <w:b w:val="0"/>
          <w:sz w:val="32"/>
          <w:szCs w:val="32"/>
        </w:rPr>
        <w:t>；本年支出375.41万元，比上年减少61.35万元，降低14.0%，主要原因</w:t>
      </w:r>
      <w:r>
        <w:rPr>
          <w:rFonts w:ascii="Times New Roman" w:hAnsi="Times New Roman" w:eastAsia="仿宋_GB2312" w:cs="Times New Roman"/>
          <w:kern w:val="2"/>
          <w:sz w:val="32"/>
          <w:szCs w:val="32"/>
        </w:rPr>
        <w:t>是</w:t>
      </w:r>
      <w:r>
        <w:rPr>
          <w:rFonts w:hint="eastAsia" w:ascii="仿宋_GB2312" w:hAnsi="Times New Roman" w:eastAsia="仿宋_GB2312" w:cs="DengXian-Regular"/>
          <w:sz w:val="32"/>
          <w:szCs w:val="32"/>
        </w:rPr>
        <w:t>审计项目</w:t>
      </w:r>
      <w:r>
        <w:rPr>
          <w:rFonts w:hint="eastAsia" w:ascii="仿宋_GB2312" w:hAnsi="Times New Roman" w:eastAsia="仿宋_GB2312" w:cs="DengXian-Regular"/>
          <w:sz w:val="32"/>
          <w:szCs w:val="32"/>
          <w:lang w:eastAsia="zh-CN"/>
        </w:rPr>
        <w:t>资金</w:t>
      </w:r>
      <w:r>
        <w:rPr>
          <w:rFonts w:hint="eastAsia" w:ascii="仿宋_GB2312" w:hAnsi="Times New Roman" w:eastAsia="仿宋_GB2312" w:cs="DengXian-Regular"/>
          <w:sz w:val="32"/>
          <w:szCs w:val="32"/>
        </w:rPr>
        <w:t>减少</w:t>
      </w:r>
      <w:r>
        <w:rPr>
          <w:rFonts w:ascii="Times New Roman" w:eastAsia="仿宋_GB2312"/>
          <w:b w:val="0"/>
          <w:sz w:val="32"/>
          <w:szCs w:val="32"/>
        </w:rPr>
        <w:t>。</w:t>
      </w:r>
    </w:p>
    <w:p>
      <w:pPr>
        <w:autoSpaceDE w:val="0"/>
        <w:autoSpaceDN w:val="0"/>
        <w:adjustRightInd w:val="0"/>
        <w:spacing w:line="580" w:lineRule="exact"/>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2.政府性基金预算财政拨款本年收入0.00万元，比上年增加0.00万元，增长0.00%，主要原因是；本年支出0.00万元，比上年增加0.00万元，增长0.00%，</w:t>
      </w:r>
      <w:r>
        <w:rPr>
          <w:rFonts w:hint="eastAsia" w:ascii="Times New Roman" w:hAnsi="Times New Roman" w:eastAsia="仿宋_GB2312" w:cs="Times New Roman"/>
          <w:kern w:val="2"/>
          <w:sz w:val="32"/>
          <w:szCs w:val="32"/>
          <w:lang w:val="zh-CN"/>
        </w:rPr>
        <w:t>与</w:t>
      </w:r>
      <w:r>
        <w:rPr>
          <w:rFonts w:ascii="Times New Roman" w:hAnsi="Times New Roman" w:eastAsia="仿宋_GB2312" w:cs="Times New Roman"/>
          <w:kern w:val="2"/>
          <w:sz w:val="32"/>
          <w:szCs w:val="32"/>
          <w:lang w:val="zh-CN"/>
        </w:rPr>
        <w:t>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无增减变化</w:t>
      </w:r>
      <w:r>
        <w:rPr>
          <w:rFonts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3.国有资本经营预算财政拨款本年收入0.00万元，比上年增加0.00万元，增长0.00%，主要原因是；本年支出0.00万元，比上年增加0.00万元，增长0.00%，</w:t>
      </w:r>
      <w:r>
        <w:rPr>
          <w:rFonts w:hint="eastAsia" w:ascii="Times New Roman" w:hAnsi="Times New Roman" w:eastAsia="仿宋_GB2312" w:cs="Times New Roman"/>
          <w:kern w:val="2"/>
          <w:sz w:val="32"/>
          <w:szCs w:val="32"/>
          <w:lang w:val="zh-CN"/>
        </w:rPr>
        <w:t>与</w:t>
      </w:r>
      <w:r>
        <w:rPr>
          <w:rFonts w:ascii="Times New Roman" w:hAnsi="Times New Roman" w:eastAsia="仿宋_GB2312" w:cs="Times New Roman"/>
          <w:kern w:val="2"/>
          <w:sz w:val="32"/>
          <w:szCs w:val="32"/>
          <w:lang w:val="zh-CN"/>
        </w:rPr>
        <w:t>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无增减变化</w:t>
      </w:r>
      <w:r>
        <w:rPr>
          <w:rFonts w:ascii="Times New Roman" w:eastAsia="仿宋_GB2312"/>
          <w:b w:val="0"/>
          <w:sz w:val="32"/>
          <w:szCs w:val="32"/>
        </w:rPr>
        <w:t>。</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本部门2024年度财政拨款本年收入375.41万元，完成年初预算的85.0%，比年初预算减少66.03万元，决算数小于预算数主要原因</w:t>
      </w:r>
      <w:r>
        <w:rPr>
          <w:rFonts w:hint="eastAsia" w:ascii="仿宋_GB2312" w:hAnsi="Times New Roman" w:eastAsia="仿宋_GB2312" w:cs="DengXian-Regular"/>
          <w:sz w:val="32"/>
          <w:szCs w:val="32"/>
          <w:lang w:eastAsia="zh-CN"/>
        </w:rPr>
        <w:t>人员经费收支和专项经费收支减少</w:t>
      </w:r>
      <w:r>
        <w:rPr>
          <w:rFonts w:ascii="Times New Roman" w:eastAsia="仿宋_GB2312"/>
          <w:b w:val="0"/>
          <w:sz w:val="32"/>
          <w:szCs w:val="32"/>
        </w:rPr>
        <w:t>；本年支出375.41万元，完成年初预算的85.0%，比年初预算减少66.03万元，决算数小于预算数主要原因是</w:t>
      </w:r>
      <w:r>
        <w:rPr>
          <w:rFonts w:hint="eastAsia" w:ascii="仿宋_GB2312" w:hAnsi="Times New Roman" w:eastAsia="仿宋_GB2312" w:cs="DengXian-Regular"/>
          <w:sz w:val="32"/>
          <w:szCs w:val="32"/>
          <w:lang w:eastAsia="zh-CN"/>
        </w:rPr>
        <w:t>人员经费收支和专项经费收支减少</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1.一般公共预算财政拨款本年收入完成年初预算的85.0%，比年初预算减少66.03万元，主要原因是</w:t>
      </w:r>
      <w:r>
        <w:rPr>
          <w:rFonts w:hint="eastAsia" w:ascii="仿宋_GB2312" w:hAnsi="Times New Roman" w:eastAsia="仿宋_GB2312" w:cs="DengXian-Regular"/>
          <w:sz w:val="32"/>
          <w:szCs w:val="32"/>
        </w:rPr>
        <w:t>审计项目</w:t>
      </w:r>
      <w:r>
        <w:rPr>
          <w:rFonts w:hint="eastAsia" w:ascii="仿宋_GB2312" w:hAnsi="Times New Roman" w:eastAsia="仿宋_GB2312" w:cs="DengXian-Regular"/>
          <w:sz w:val="32"/>
          <w:szCs w:val="32"/>
          <w:lang w:eastAsia="zh-CN"/>
        </w:rPr>
        <w:t>资金</w:t>
      </w:r>
      <w:r>
        <w:rPr>
          <w:rFonts w:hint="eastAsia" w:ascii="仿宋_GB2312" w:hAnsi="Times New Roman" w:eastAsia="仿宋_GB2312" w:cs="DengXian-Regular"/>
          <w:sz w:val="32"/>
          <w:szCs w:val="32"/>
        </w:rPr>
        <w:t>减少</w:t>
      </w:r>
      <w:r>
        <w:rPr>
          <w:rFonts w:ascii="Times New Roman" w:eastAsia="仿宋_GB2312"/>
          <w:b w:val="0"/>
          <w:sz w:val="32"/>
          <w:szCs w:val="32"/>
        </w:rPr>
        <w:t>；支出完成年初预算的85.0%，比年初预算减少66.03万元，主要原因是</w:t>
      </w:r>
      <w:r>
        <w:rPr>
          <w:rFonts w:hint="eastAsia" w:ascii="仿宋_GB2312" w:hAnsi="Times New Roman" w:eastAsia="仿宋_GB2312" w:cs="DengXian-Regular"/>
          <w:sz w:val="32"/>
          <w:szCs w:val="32"/>
        </w:rPr>
        <w:t>审计项目</w:t>
      </w:r>
      <w:r>
        <w:rPr>
          <w:rFonts w:hint="eastAsia" w:ascii="仿宋_GB2312" w:hAnsi="Times New Roman" w:eastAsia="仿宋_GB2312" w:cs="DengXian-Regular"/>
          <w:sz w:val="32"/>
          <w:szCs w:val="32"/>
          <w:lang w:eastAsia="zh-CN"/>
        </w:rPr>
        <w:t>资金</w:t>
      </w:r>
      <w:r>
        <w:rPr>
          <w:rFonts w:hint="eastAsia" w:ascii="仿宋_GB2312" w:hAnsi="Times New Roman" w:eastAsia="仿宋_GB2312" w:cs="DengXian-Regular"/>
          <w:sz w:val="32"/>
          <w:szCs w:val="32"/>
        </w:rPr>
        <w:t>减少</w:t>
      </w:r>
      <w:r>
        <w:rPr>
          <w:rFonts w:ascii="Times New Roman" w:eastAsia="仿宋_GB2312"/>
          <w:b w:val="0"/>
          <w:sz w:val="32"/>
          <w:szCs w:val="32"/>
        </w:rPr>
        <w:t>。</w:t>
      </w:r>
    </w:p>
    <w:p>
      <w:pPr>
        <w:autoSpaceDE w:val="0"/>
        <w:autoSpaceDN w:val="0"/>
        <w:adjustRightInd w:val="0"/>
        <w:spacing w:line="580" w:lineRule="exact"/>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2.政府性基金预算财政拨款本年收入完成年初预算的0.0%，比年初预算增加0.00万元，</w:t>
      </w:r>
      <w:r>
        <w:rPr>
          <w:rFonts w:hint="eastAsia" w:ascii="Times New Roman" w:hAnsi="Times New Roman" w:eastAsia="仿宋_GB2312" w:cs="Times New Roman"/>
          <w:kern w:val="2"/>
          <w:sz w:val="32"/>
          <w:szCs w:val="32"/>
          <w:lang w:val="zh-CN"/>
        </w:rPr>
        <w:t>与</w:t>
      </w:r>
      <w:r>
        <w:rPr>
          <w:rFonts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无变化</w:t>
      </w:r>
      <w:r>
        <w:rPr>
          <w:rFonts w:ascii="Times New Roman" w:eastAsia="仿宋_GB2312"/>
          <w:b w:val="0"/>
          <w:sz w:val="32"/>
          <w:szCs w:val="32"/>
        </w:rPr>
        <w:t>；支出完成年初预算的0.0%，比年初预算增加0.00万元，</w:t>
      </w:r>
      <w:r>
        <w:rPr>
          <w:rFonts w:hint="eastAsia" w:ascii="Times New Roman" w:hAnsi="Times New Roman" w:eastAsia="仿宋_GB2312" w:cs="Times New Roman"/>
          <w:kern w:val="2"/>
          <w:sz w:val="32"/>
          <w:szCs w:val="32"/>
          <w:lang w:val="zh-CN"/>
        </w:rPr>
        <w:t>与</w:t>
      </w:r>
      <w:r>
        <w:rPr>
          <w:rFonts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无变化</w:t>
      </w:r>
      <w:r>
        <w:rPr>
          <w:rFonts w:ascii="Times New Roman" w:eastAsia="仿宋_GB2312"/>
          <w:b w:val="0"/>
          <w:sz w:val="32"/>
          <w:szCs w:val="32"/>
        </w:rPr>
        <w:t>。</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eastAsia="仿宋_GB2312"/>
          <w:b w:val="0"/>
          <w:sz w:val="32"/>
          <w:szCs w:val="32"/>
        </w:rPr>
        <w:t>3.国有资本经营预算财政拨款本年收入完成年初预算的0.0%，比年初预算增加0.00万元，</w:t>
      </w:r>
      <w:r>
        <w:rPr>
          <w:rFonts w:hint="eastAsia" w:ascii="Times New Roman" w:hAnsi="Times New Roman" w:eastAsia="仿宋_GB2312" w:cs="Times New Roman"/>
          <w:kern w:val="2"/>
          <w:sz w:val="32"/>
          <w:szCs w:val="32"/>
          <w:lang w:val="zh-CN"/>
        </w:rPr>
        <w:t>与</w:t>
      </w:r>
      <w:r>
        <w:rPr>
          <w:rFonts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无变化</w:t>
      </w:r>
      <w:r>
        <w:rPr>
          <w:rFonts w:ascii="Times New Roman" w:eastAsia="仿宋_GB2312"/>
          <w:b w:val="0"/>
          <w:sz w:val="32"/>
          <w:szCs w:val="32"/>
        </w:rPr>
        <w:t>；支出完成年初预算的0.0%，比年初预算增加0.00万元，</w:t>
      </w:r>
      <w:r>
        <w:rPr>
          <w:rFonts w:hint="eastAsia" w:ascii="Times New Roman" w:hAnsi="Times New Roman" w:eastAsia="仿宋_GB2312" w:cs="Times New Roman"/>
          <w:kern w:val="2"/>
          <w:sz w:val="32"/>
          <w:szCs w:val="32"/>
          <w:lang w:val="zh-CN"/>
        </w:rPr>
        <w:t>与</w:t>
      </w:r>
      <w:r>
        <w:rPr>
          <w:rFonts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无变化</w:t>
      </w:r>
      <w:r>
        <w:rPr>
          <w:rFonts w:ascii="Times New Roman" w:hAnsi="Times New Roman" w:eastAsia="仿宋_GB2312" w:cs="Times New Roman"/>
          <w:kern w:val="2"/>
          <w:sz w:val="32"/>
          <w:szCs w:val="32"/>
          <w:lang w:val="zh-CN"/>
        </w:rPr>
        <w:t>。</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r>
        <w:rPr>
          <w:rFonts w:ascii="Times New Roman" w:hAnsi="Times New Roman" w:eastAsia="仿宋_GB2312"/>
          <w:sz w:val="32"/>
          <w:szCs w:val="32"/>
          <w:highlight w:val="none"/>
        </w:rPr>
        <w:drawing>
          <wp:inline distT="0" distB="0" distL="114300" distR="114300">
            <wp:extent cx="5694680" cy="3045460"/>
            <wp:effectExtent l="4445" t="4445" r="15875"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2024年度财政拨款支出375.41万元，主要用于以下方面：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一般公共服务（类）支出242.08万元，占64.5%，主要用于</w:t>
      </w:r>
      <w:r>
        <w:rPr>
          <w:rFonts w:hint="eastAsia" w:ascii="Times New Roman" w:eastAsia="仿宋_GB2312"/>
          <w:b w:val="0"/>
          <w:sz w:val="32"/>
          <w:szCs w:val="32"/>
          <w:lang w:eastAsia="zh-CN"/>
        </w:rPr>
        <w:t>行政运行、审计事务、审计管理</w:t>
      </w:r>
      <w:r>
        <w:rPr>
          <w:rFonts w:ascii="Times New Roman" w:eastAsia="仿宋_GB2312"/>
          <w:b w:val="0"/>
          <w:sz w:val="32"/>
          <w:szCs w:val="32"/>
        </w:rPr>
        <w:t>等支出；外交（类）支出0.00万元，占0.0%，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支出；国防（类）支出0.00万元，占0.0%，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支出；公共安全类（类）支出0.00万元，占0.0%，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支出；教育（类）支出0.00万元，占0.0%，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支出；科学技术（类）支出0.00万元，占0.0%，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支出；文化旅游体育与传媒（类）支出0.00万元，占0.0%，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支出；社会保障和就业（类）支出87.60万元，占23.3%，主要用于</w:t>
      </w:r>
      <w:r>
        <w:rPr>
          <w:rFonts w:hint="eastAsia" w:ascii="Times New Roman" w:eastAsia="仿宋_GB2312"/>
          <w:b w:val="0"/>
          <w:sz w:val="32"/>
          <w:szCs w:val="32"/>
          <w:lang w:eastAsia="zh-CN"/>
        </w:rPr>
        <w:t>养老保险</w:t>
      </w:r>
      <w:r>
        <w:rPr>
          <w:rFonts w:ascii="Times New Roman" w:eastAsia="仿宋_GB2312"/>
          <w:b w:val="0"/>
          <w:sz w:val="32"/>
          <w:szCs w:val="32"/>
        </w:rPr>
        <w:t>等支出；卫生健康（类）支出18.66万元，占5.0%，主要用于</w:t>
      </w:r>
      <w:r>
        <w:rPr>
          <w:rFonts w:hint="eastAsia" w:ascii="Times New Roman" w:eastAsia="仿宋_GB2312"/>
          <w:b w:val="0"/>
          <w:sz w:val="32"/>
          <w:szCs w:val="32"/>
          <w:lang w:eastAsia="zh-CN"/>
        </w:rPr>
        <w:t>医疗保险</w:t>
      </w:r>
      <w:r>
        <w:rPr>
          <w:rFonts w:ascii="Times New Roman" w:eastAsia="仿宋_GB2312"/>
          <w:b w:val="0"/>
          <w:sz w:val="32"/>
          <w:szCs w:val="32"/>
        </w:rPr>
        <w:t>等支出；节能环保（类）支出0.00万元，占0.0%，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支出；城乡社区（类）支出0.00万元，占0.0%，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支出；农林水（类）支出0.00万元，占0.0%，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支出；交通运输（类）支出0.00万元，占0.0%，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支出；资源勘探信息等（类）支出0.00万元，占0.0%，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支出；商业服务业等（类）支出0.00万元，占0.0%，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支出；金融（类）支出0.00万元，占0.0%，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支出；援助其他地区（类）支出0.00万元，占0.0%，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支出；自然资源海洋气象等（类）支出0.00万元，占0.0%，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支出；住房保障（类）支出27.08万元，占7.2%，主要用于</w:t>
      </w:r>
      <w:r>
        <w:rPr>
          <w:rFonts w:hint="eastAsia" w:ascii="Times New Roman" w:eastAsia="仿宋_GB2312"/>
          <w:b w:val="0"/>
          <w:sz w:val="32"/>
          <w:szCs w:val="32"/>
          <w:lang w:eastAsia="zh-CN"/>
        </w:rPr>
        <w:t>住房公积金</w:t>
      </w:r>
      <w:r>
        <w:rPr>
          <w:rFonts w:ascii="Times New Roman" w:eastAsia="仿宋_GB2312"/>
          <w:b w:val="0"/>
          <w:sz w:val="32"/>
          <w:szCs w:val="32"/>
        </w:rPr>
        <w:t>等支出；粮油物资储备（类）支出0.00万元，占0.0%，主</w:t>
      </w:r>
      <w:r>
        <w:rPr>
          <w:rFonts w:hint="eastAsia" w:ascii="Times New Roman" w:eastAsia="仿宋_GB2312"/>
          <w:b w:val="0"/>
          <w:sz w:val="32"/>
          <w:szCs w:val="32"/>
          <w:lang w:eastAsia="zh-CN"/>
        </w:rPr>
        <w:t>无</w:t>
      </w:r>
      <w:r>
        <w:rPr>
          <w:rFonts w:ascii="Times New Roman" w:eastAsia="仿宋_GB2312"/>
          <w:b w:val="0"/>
          <w:sz w:val="32"/>
          <w:szCs w:val="32"/>
        </w:rPr>
        <w:t>支出；国有资本经营预算支出0.00万元，占0.0%，</w:t>
      </w:r>
      <w:r>
        <w:rPr>
          <w:rFonts w:hint="eastAsia" w:ascii="Times New Roman" w:eastAsia="仿宋_GB2312"/>
          <w:b w:val="0"/>
          <w:sz w:val="32"/>
          <w:szCs w:val="32"/>
          <w:lang w:eastAsia="zh-CN"/>
        </w:rPr>
        <w:t>无</w:t>
      </w:r>
      <w:r>
        <w:rPr>
          <w:rFonts w:ascii="Times New Roman" w:eastAsia="仿宋_GB2312"/>
          <w:b w:val="0"/>
          <w:sz w:val="32"/>
          <w:szCs w:val="32"/>
        </w:rPr>
        <w:t>支出；害防治及应急管理（类）支出0.00万元，占0.0%，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支出；其他（类）支出0.00万元，占0.0%，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支出；债务还本（类）支出0.00万元，占0.0%，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支出；债务付息（类）支出0.00万元，占0.0%，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支出；抗疫特别国债安排的支出0.00万元，占0.0%，</w:t>
      </w:r>
      <w:r>
        <w:rPr>
          <w:rFonts w:hint="eastAsia" w:ascii="Times New Roman" w:eastAsia="仿宋_GB2312"/>
          <w:b w:val="0"/>
          <w:sz w:val="32"/>
          <w:szCs w:val="32"/>
          <w:lang w:eastAsia="zh-CN"/>
        </w:rPr>
        <w:t>无</w:t>
      </w:r>
      <w:r>
        <w:rPr>
          <w:rFonts w:ascii="Times New Roman" w:eastAsia="仿宋_GB2312"/>
          <w:b w:val="0"/>
          <w:sz w:val="32"/>
          <w:szCs w:val="32"/>
        </w:rPr>
        <w:t>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支出；外交（类）支出0.00万元，占0.0%，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支出；国防（类）支出0.00万元，占0.0%，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支出；公共安全类（类）支出0.00万元，占0.0%，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支出；教育（类）支出0.00万元，占0.0%，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支出；科学技术（类）支出0.00万元，占0.0%，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支出；文化旅游体育与传媒（类）支出0.00万元，占0.0%，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支出；社会保障和就业（类）支出0.00万元，占0.0%，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支出；卫生健康（类）支出0.00万元，占0.0%，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支出；节能环保（类）支出0.00万元，占0.0%，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支出；城乡社区（类）支出0.00万元，占0.0%，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支出；农林水（类）支出0.00万元，占0.0%，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支出；交通运输（类）支出0.00万元，占0.0%，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支出；资源勘探信息等（类）支出0.00万元，占0.0%，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支出；商业服务业等（类）支出0.00万元，占0.0%，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支出；金融（类）支出0.00万元，占0.0%，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支出；援助其他地区（类）支出0.00万元，占0.0%，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支出；自然资源海洋气象等（类）支出0.00万元，占0.0%，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支出；住房保障（类）支出0.00万元，占0.0%，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支出；粮油物资储备（类）支出0.00万元，占0.0%，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支出；国有资本经营预算支出0.00万元，占0.0%，</w:t>
      </w:r>
      <w:r>
        <w:rPr>
          <w:rFonts w:hint="eastAsia" w:ascii="Times New Roman" w:eastAsia="仿宋_GB2312"/>
          <w:b w:val="0"/>
          <w:sz w:val="32"/>
          <w:szCs w:val="32"/>
          <w:lang w:eastAsia="zh-CN"/>
        </w:rPr>
        <w:t>无</w:t>
      </w:r>
      <w:r>
        <w:rPr>
          <w:rFonts w:ascii="Times New Roman" w:eastAsia="仿宋_GB2312"/>
          <w:b w:val="0"/>
          <w:sz w:val="32"/>
          <w:szCs w:val="32"/>
        </w:rPr>
        <w:t>支出；害防治及应急管理（类）支出0.00万元，占0.0%，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支出；其他（类）支出0.00万元，占0.0%，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支出；债务还本（类）支出0.00万元，占0.0%，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支出；债务付息（类）支出0.00万元，占0.0%，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支出；抗疫特别国债安排的支出0.00万元，占0.00%，</w:t>
      </w:r>
      <w:r>
        <w:rPr>
          <w:rFonts w:hint="eastAsia" w:ascii="Times New Roman" w:eastAsia="仿宋_GB2312"/>
          <w:b w:val="0"/>
          <w:sz w:val="32"/>
          <w:szCs w:val="32"/>
          <w:lang w:eastAsia="zh-CN"/>
        </w:rPr>
        <w:t>无</w:t>
      </w:r>
      <w:r>
        <w:rPr>
          <w:rFonts w:ascii="Times New Roman" w:eastAsia="仿宋_GB2312"/>
          <w:b w:val="0"/>
          <w:sz w:val="32"/>
          <w:szCs w:val="32"/>
        </w:rPr>
        <w:t>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支出；外交（类）支出0.00万元，占0.0%，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支出；国防（类）支出0.00万元，占0.0%，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支出；公共安全（类）支出0.00万元，占0.0%，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支出；教育（类）支出0.00万元，占0.0%，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支出；科学技术（类）支出0.00万元，占0.0%，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支出；文化旅游体育与传媒（类）支出0.00万元，占0.0%，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支出；社会保障和就业（类）支出0.00万元，占0.0%，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支出；卫生健康（类）支出0.00万元，占0.0%，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支出；节能环保（类）支出0.00万元，占0.0%，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支出；城乡社区（类）支出0.00万元，占0.0%，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支出；农林水（类）支出0.00万元，占0.0%，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支出；交通运输（类）支出0.00万元，占0.0%，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支出；资源勘探信息等（类）支出0.00万元，占0.0%，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支出；商业服务业等（类）支出0.00万元，占0.0%，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支出；金融（类）支出0.00万元，占0.0%，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支出；援助其他地区（类）支出0.00万元，占0.0%，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支出；自然资源海洋气象等（类）支出0.00万元，占0.0%，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支出；住房保障（类）支出0.00万元，占0.0%，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支出；粮油物资储备（类）支出0.00万元，占0.0%，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支出；国有资本经营预算支出0.00万元，占0.0%，</w:t>
      </w:r>
      <w:r>
        <w:rPr>
          <w:rFonts w:hint="eastAsia" w:ascii="Times New Roman" w:eastAsia="仿宋_GB2312"/>
          <w:b w:val="0"/>
          <w:sz w:val="32"/>
          <w:szCs w:val="32"/>
          <w:lang w:eastAsia="zh-CN"/>
        </w:rPr>
        <w:t>无</w:t>
      </w:r>
      <w:r>
        <w:rPr>
          <w:rFonts w:ascii="Times New Roman" w:eastAsia="仿宋_GB2312"/>
          <w:b w:val="0"/>
          <w:sz w:val="32"/>
          <w:szCs w:val="32"/>
        </w:rPr>
        <w:t>支出；害防治及应急管理（类）支出0.00万元，占0.0%，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支出；其他（类）支出0.00万元，占0.0%，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支出；债务还本（类）支出0.00万元，占0.0%，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支出；债务付息（类）支出0.00万元，占0.0%，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支出；抗疫特别国债安排的支出0.00万元，占0.0%，</w:t>
      </w:r>
      <w:r>
        <w:rPr>
          <w:rFonts w:hint="eastAsia" w:ascii="Times New Roman" w:eastAsia="仿宋_GB2312"/>
          <w:b w:val="0"/>
          <w:sz w:val="32"/>
          <w:szCs w:val="32"/>
          <w:lang w:eastAsia="zh-CN"/>
        </w:rPr>
        <w:t>无</w:t>
      </w:r>
      <w:r>
        <w:rPr>
          <w:rFonts w:ascii="Times New Roman" w:eastAsia="仿宋_GB2312"/>
          <w:b w:val="0"/>
          <w:sz w:val="32"/>
          <w:szCs w:val="32"/>
        </w:rPr>
        <w:t>支出。</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2024年度财政拨款基本支出350.95万元，其中：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322.83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28.11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before="0" w:beforeLines="0" w:beforeAutospacing="0" w:after="0" w:afterLines="0" w:afterAutospacing="0" w:line="360" w:lineRule="auto"/>
        <w:ind w:firstLine="640" w:firstLineChars="200"/>
        <w:jc w:val="left"/>
        <w:outlineLvl w:val="1"/>
        <w:rPr>
          <w:rFonts w:ascii="Times New Roman" w:eastAsia="黑体"/>
          <w:b w:val="0"/>
          <w:sz w:val="32"/>
          <w:szCs w:val="32"/>
        </w:rPr>
      </w:pP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pStyle w:val="11"/>
        <w:widowControl/>
        <w:spacing w:before="0" w:beforeAutospacing="0" w:after="0" w:afterAutospacing="0"/>
        <w:rPr>
          <w:rFonts w:ascii="Times New Roman" w:eastAsia="仿宋_GB2312"/>
          <w:sz w:val="32"/>
          <w:szCs w:val="32"/>
        </w:rPr>
      </w:pPr>
      <w:r>
        <w:rPr>
          <w:rFonts w:ascii="Times New Roman" w:eastAsia="仿宋_GB2312"/>
          <w:b w:val="0"/>
          <w:sz w:val="32"/>
          <w:szCs w:val="32"/>
        </w:rPr>
        <w:t>本部门2024年度“三公”经费财政拨款支出预算为1.00万元，支出决算为0.30万元，完成预算的30.0%，较预算减少0.70万元，降低70.0%，主要原因是</w:t>
      </w:r>
      <w:r>
        <w:rPr>
          <w:rFonts w:hint="eastAsia" w:ascii="Times New Roman" w:hAnsi="Times New Roman" w:eastAsia="仿宋_GB2312"/>
          <w:kern w:val="2"/>
          <w:sz w:val="32"/>
          <w:szCs w:val="32"/>
          <w:lang w:val="zh-CN"/>
        </w:rPr>
        <w:t>节能并减少支出</w:t>
      </w:r>
      <w:r>
        <w:rPr>
          <w:rFonts w:ascii="Times New Roman" w:eastAsia="仿宋_GB2312"/>
          <w:b w:val="0"/>
          <w:sz w:val="32"/>
          <w:szCs w:val="32"/>
        </w:rPr>
        <w:t>；较2023年度决算减少0.19万元，降低38.8%，主要原因是</w:t>
      </w:r>
      <w:r>
        <w:rPr>
          <w:rFonts w:hint="eastAsia" w:ascii="Times New Roman" w:hAnsi="Times New Roman" w:eastAsia="仿宋_GB2312"/>
          <w:kern w:val="2"/>
          <w:sz w:val="32"/>
          <w:szCs w:val="32"/>
          <w:lang w:val="zh-CN"/>
        </w:rPr>
        <w:t>节能并减少支出</w:t>
      </w:r>
      <w:r>
        <w:rPr>
          <w:rFonts w:ascii="Times New Roman" w:eastAsia="仿宋_GB2312"/>
          <w:b w:val="0"/>
          <w:sz w:val="32"/>
          <w:szCs w:val="32"/>
        </w:rPr>
        <w:t>。</w:t>
      </w:r>
    </w:p>
    <w:p>
      <w:pPr>
        <w:widowControl/>
        <w:spacing w:before="0" w:beforeLines="0" w:beforeAutospacing="0" w:after="0" w:afterLines="0" w:afterAutospacing="0" w:line="360" w:lineRule="auto"/>
        <w:jc w:val="left"/>
        <w:rPr>
          <w:rFonts w:ascii="Times New Roman" w:eastAsia="楷体_GB2312"/>
          <w:b/>
          <w:sz w:val="32"/>
          <w:szCs w:val="32"/>
        </w:rPr>
      </w:pP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w:t>
      </w:r>
      <w:r>
        <w:rPr>
          <w:rFonts w:ascii="Times New Roman" w:hAnsi="Times New Roman" w:eastAsia="仿宋_GB2312"/>
          <w:kern w:val="2"/>
          <w:sz w:val="32"/>
          <w:szCs w:val="32"/>
        </w:rPr>
        <w:t>主要是</w:t>
      </w:r>
      <w:r>
        <w:rPr>
          <w:rFonts w:hint="eastAsia" w:ascii="仿宋_GB2312" w:hAnsi="Times New Roman" w:eastAsia="仿宋_GB2312" w:cs="DengXian-Regular"/>
          <w:sz w:val="32"/>
          <w:szCs w:val="32"/>
        </w:rPr>
        <w:t>今年未发生因公出国（境）费用</w:t>
      </w:r>
      <w:r>
        <w:rPr>
          <w:rFonts w:ascii="Times New Roman" w:eastAsia="仿宋_GB2312"/>
          <w:b w:val="0"/>
          <w:sz w:val="32"/>
          <w:szCs w:val="32"/>
        </w:rPr>
        <w:t>；较上年增加0.00万元，增长0.00%,</w:t>
      </w:r>
      <w:r>
        <w:rPr>
          <w:rFonts w:hint="eastAsia" w:ascii="Times New Roman" w:eastAsia="仿宋_GB2312"/>
          <w:b w:val="0"/>
          <w:sz w:val="32"/>
          <w:szCs w:val="32"/>
          <w:lang w:eastAsia="zh-CN"/>
        </w:rPr>
        <w:t>与上年持平，均未产生费用</w:t>
      </w:r>
      <w:r>
        <w:rPr>
          <w:rFonts w:ascii="Times New Roman" w:eastAsia="仿宋_GB2312"/>
          <w:b w:val="0"/>
          <w:sz w:val="32"/>
          <w:szCs w:val="32"/>
        </w:rPr>
        <w:t>。因公出国（境）团组0个、共0人、参加其他单位组织的因公出国（境）团组个、共</w:t>
      </w:r>
      <w:r>
        <w:rPr>
          <w:rFonts w:hint="eastAsia" w:ascii="Times New Roman" w:eastAsia="仿宋_GB2312"/>
          <w:b w:val="0"/>
          <w:sz w:val="32"/>
          <w:szCs w:val="32"/>
          <w:lang w:val="en-US" w:eastAsia="zh-CN"/>
        </w:rPr>
        <w:t>0</w:t>
      </w:r>
      <w:r>
        <w:rPr>
          <w:rFonts w:ascii="Times New Roman" w:eastAsia="仿宋_GB2312"/>
          <w:b w:val="0"/>
          <w:sz w:val="32"/>
          <w:szCs w:val="32"/>
        </w:rPr>
        <w:t>人。</w:t>
      </w:r>
    </w:p>
    <w:p>
      <w:pPr>
        <w:adjustRightInd w:val="0"/>
        <w:snapToGrid w:val="0"/>
        <w:spacing w:line="580" w:lineRule="exact"/>
        <w:ind w:firstLine="643" w:firstLineChars="200"/>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本部门2024年度公务用车购置及运行维护费预算为1.00万元，支出决算0.30万元，完成预算的30.0%,较预算减少0.70万元，降低70.0%,</w:t>
      </w:r>
      <w:r>
        <w:rPr>
          <w:rFonts w:ascii="Times New Roman" w:hAnsi="Times New Roman" w:eastAsia="仿宋_GB2312" w:cs="Times New Roman"/>
          <w:kern w:val="2"/>
          <w:sz w:val="32"/>
          <w:szCs w:val="32"/>
          <w:lang w:val="zh-CN"/>
        </w:rPr>
        <w:t>主要是</w:t>
      </w:r>
      <w:r>
        <w:rPr>
          <w:rFonts w:hint="eastAsia" w:ascii="Times New Roman" w:hAnsi="Times New Roman" w:eastAsia="仿宋_GB2312"/>
          <w:kern w:val="2"/>
          <w:sz w:val="32"/>
          <w:szCs w:val="32"/>
          <w:lang w:val="zh-CN"/>
        </w:rPr>
        <w:t>节能并减少支出</w:t>
      </w:r>
      <w:r>
        <w:rPr>
          <w:rFonts w:ascii="Times New Roman" w:eastAsia="仿宋_GB2312"/>
          <w:b w:val="0"/>
          <w:sz w:val="32"/>
          <w:szCs w:val="32"/>
        </w:rPr>
        <w:t>；较上年减少0.19万元，降低38.8%,</w:t>
      </w:r>
      <w:r>
        <w:rPr>
          <w:rFonts w:ascii="Times New Roman" w:hAnsi="Times New Roman" w:eastAsia="仿宋_GB2312" w:cs="Times New Roman"/>
          <w:kern w:val="2"/>
          <w:sz w:val="32"/>
          <w:szCs w:val="32"/>
          <w:lang w:val="zh-CN"/>
        </w:rPr>
        <w:t>主要是</w:t>
      </w:r>
      <w:r>
        <w:rPr>
          <w:rFonts w:hint="eastAsia" w:ascii="Times New Roman" w:hAnsi="Times New Roman" w:eastAsia="仿宋_GB2312"/>
          <w:kern w:val="2"/>
          <w:sz w:val="32"/>
          <w:szCs w:val="32"/>
          <w:lang w:val="zh-CN"/>
        </w:rPr>
        <w:t>节能并减少支出</w:t>
      </w:r>
      <w:r>
        <w:rPr>
          <w:rFonts w:hint="eastAsia" w:ascii="Times New Roman" w:hAnsi="Times New Roman" w:eastAsia="仿宋_GB2312" w:cs="Times New Roman"/>
          <w:kern w:val="2"/>
          <w:sz w:val="32"/>
          <w:szCs w:val="32"/>
          <w:lang w:val="zh-CN"/>
        </w:rPr>
        <w:t>。</w:t>
      </w:r>
      <w:r>
        <w:rPr>
          <w:rFonts w:ascii="Times New Roman" w:eastAsia="仿宋_GB2312"/>
          <w:b w:val="0"/>
          <w:sz w:val="32"/>
          <w:szCs w:val="32"/>
        </w:rPr>
        <w:t>其中：</w:t>
      </w:r>
    </w:p>
    <w:p>
      <w:pPr>
        <w:adjustRightInd w:val="0"/>
        <w:snapToGrid w:val="0"/>
        <w:spacing w:line="580" w:lineRule="exact"/>
        <w:ind w:firstLine="643" w:firstLineChars="200"/>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本部门2024年度公务用车购置量0辆，发生“公务用车购置”经费支出0.00万元。公务用车购置费支出较预算增加0.00万元，增长0.0%,主要原因是</w:t>
      </w:r>
      <w:r>
        <w:rPr>
          <w:rFonts w:hint="eastAsia" w:ascii="Times New Roman" w:eastAsia="仿宋_GB2312"/>
          <w:b w:val="0"/>
          <w:sz w:val="32"/>
          <w:szCs w:val="32"/>
          <w:lang w:eastAsia="zh-CN"/>
        </w:rPr>
        <w:t>没有购置汽车需求</w:t>
      </w:r>
      <w:r>
        <w:rPr>
          <w:rFonts w:ascii="Times New Roman" w:eastAsia="仿宋_GB2312"/>
          <w:b w:val="0"/>
          <w:sz w:val="32"/>
          <w:szCs w:val="32"/>
        </w:rPr>
        <w:t>；较上年增加0.00万元，增长0.00%,</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未发生公务用车购置经费支出</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公务用车运行维护费支出0.30万元：</w:t>
      </w:r>
      <w:r>
        <w:rPr>
          <w:rFonts w:ascii="Times New Roman" w:eastAsia="仿宋_GB2312"/>
          <w:b w:val="0"/>
          <w:sz w:val="32"/>
          <w:szCs w:val="32"/>
        </w:rPr>
        <w:t>本部门2024年度单位公务用车保有量1辆，发生运行维护费支出0.30万元。公车运行维护费支出较预算减少0.70万元，降低70.0%,</w:t>
      </w:r>
      <w:r>
        <w:rPr>
          <w:rFonts w:ascii="Times New Roman" w:hAnsi="Times New Roman" w:eastAsia="仿宋_GB2312" w:cs="Times New Roman"/>
          <w:kern w:val="2"/>
          <w:sz w:val="32"/>
          <w:szCs w:val="32"/>
          <w:lang w:val="zh-CN"/>
        </w:rPr>
        <w:t>主要是</w:t>
      </w:r>
      <w:r>
        <w:rPr>
          <w:rFonts w:hint="eastAsia" w:ascii="Times New Roman" w:hAnsi="Times New Roman" w:eastAsia="仿宋_GB2312"/>
          <w:kern w:val="2"/>
          <w:sz w:val="32"/>
          <w:szCs w:val="32"/>
          <w:lang w:val="zh-CN"/>
        </w:rPr>
        <w:t>节能并减少支出</w:t>
      </w:r>
      <w:r>
        <w:rPr>
          <w:rFonts w:ascii="Times New Roman" w:eastAsia="仿宋_GB2312"/>
          <w:b w:val="0"/>
          <w:sz w:val="32"/>
          <w:szCs w:val="32"/>
        </w:rPr>
        <w:t>；较上年减少0.19万元，降低38.8%，</w:t>
      </w:r>
      <w:r>
        <w:rPr>
          <w:rFonts w:ascii="Times New Roman" w:hAnsi="Times New Roman" w:eastAsia="仿宋_GB2312" w:cs="Times New Roman"/>
          <w:kern w:val="2"/>
          <w:sz w:val="32"/>
          <w:szCs w:val="32"/>
          <w:lang w:val="zh-CN"/>
        </w:rPr>
        <w:t>主要是</w:t>
      </w:r>
      <w:r>
        <w:rPr>
          <w:rFonts w:hint="eastAsia" w:ascii="Times New Roman" w:hAnsi="Times New Roman" w:eastAsia="仿宋_GB2312"/>
          <w:kern w:val="2"/>
          <w:sz w:val="32"/>
          <w:szCs w:val="32"/>
          <w:lang w:val="zh-CN"/>
        </w:rPr>
        <w:t>节能并减少支出</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本部门2024年度公务接待费支出预算为0.00万元，支出决算0.00万元，完成预算的0.0%。公务接待费支出较预算增加0.00万元，增长0.0%,主要原因是</w:t>
      </w:r>
      <w:r>
        <w:rPr>
          <w:rFonts w:hint="eastAsia" w:ascii="Times New Roman" w:eastAsia="仿宋_GB2312"/>
          <w:b w:val="0"/>
          <w:sz w:val="32"/>
          <w:szCs w:val="32"/>
          <w:lang w:eastAsia="zh-CN"/>
        </w:rPr>
        <w:t>没有接待需求</w:t>
      </w:r>
      <w:r>
        <w:rPr>
          <w:rFonts w:ascii="Times New Roman" w:eastAsia="仿宋_GB2312"/>
          <w:b w:val="0"/>
          <w:sz w:val="32"/>
          <w:szCs w:val="32"/>
        </w:rPr>
        <w:t>；较上年度增加0.00万元，增长0.00%,</w:t>
      </w:r>
      <w:r>
        <w:rPr>
          <w:rFonts w:ascii="Times New Roman" w:hAnsi="Times New Roman" w:eastAsia="仿宋_GB2312" w:cs="Times New Roman"/>
          <w:kern w:val="2"/>
          <w:sz w:val="32"/>
          <w:szCs w:val="32"/>
          <w:lang w:val="zh-CN"/>
        </w:rPr>
        <w:t>主要是</w:t>
      </w:r>
      <w:r>
        <w:rPr>
          <w:rFonts w:hint="eastAsia" w:ascii="Times New Roman" w:eastAsia="仿宋_GB2312"/>
          <w:b w:val="0"/>
          <w:sz w:val="32"/>
          <w:szCs w:val="32"/>
          <w:lang w:eastAsia="zh-CN"/>
        </w:rPr>
        <w:t>与上年持平，无变化，</w:t>
      </w:r>
      <w:r>
        <w:rPr>
          <w:rFonts w:hint="eastAsia" w:ascii="仿宋_GB2312" w:hAnsi="Times New Roman" w:eastAsia="仿宋_GB2312" w:cs="DengXian-Regular"/>
          <w:sz w:val="32"/>
          <w:szCs w:val="32"/>
        </w:rPr>
        <w:t>无公务接待费发生</w:t>
      </w:r>
      <w:r>
        <w:rPr>
          <w:rFonts w:ascii="Times New Roman" w:eastAsia="仿宋_GB2312"/>
          <w:b w:val="0"/>
          <w:sz w:val="32"/>
          <w:szCs w:val="32"/>
        </w:rPr>
        <w:t>。本年度共发生公务接待0批次、0人次。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本部门2024年度机关运行经费支出28.11万元，较2023年度减少2.67万元，降低8.7%。主要原因是</w:t>
      </w:r>
      <w:r>
        <w:rPr>
          <w:rFonts w:hint="eastAsia" w:ascii="Times New Roman" w:eastAsia="仿宋_GB2312"/>
          <w:b w:val="0"/>
          <w:sz w:val="32"/>
          <w:szCs w:val="32"/>
          <w:lang w:eastAsia="zh-CN"/>
        </w:rPr>
        <w:t>厉行节约</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0.01万元，从采购类型来看，政府采购货物支出0.00万元、政府采购工程支出0.00万元、政府采购服务支出0.01万元。授予中小企业合同金额0.01万元，占政府采购支出总额的100.0%，其中授予小微企业合同金额0.00万元，占政府采购支出总额的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截至2024年12月31日，本部门共有车辆1辆，比上年增加0辆，</w:t>
      </w:r>
      <w:r>
        <w:rPr>
          <w:rFonts w:hint="eastAsia" w:ascii="Times New Roman" w:hAnsi="Times New Roman" w:eastAsia="仿宋_GB2312"/>
          <w:kern w:val="2"/>
          <w:sz w:val="32"/>
          <w:szCs w:val="32"/>
          <w:lang w:val="zh-CN"/>
        </w:rPr>
        <w:t>与</w:t>
      </w:r>
      <w:r>
        <w:rPr>
          <w:rFonts w:ascii="Times New Roman" w:hAnsi="Times New Roman" w:eastAsia="仿宋_GB2312"/>
          <w:kern w:val="2"/>
          <w:sz w:val="32"/>
          <w:szCs w:val="32"/>
          <w:lang w:val="zh-CN"/>
        </w:rPr>
        <w:t>上年</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lang w:val="zh-CN"/>
        </w:rPr>
        <w:t>主要是</w:t>
      </w:r>
      <w:r>
        <w:rPr>
          <w:rFonts w:hint="eastAsia" w:ascii="仿宋_GB2312" w:hAnsi="Times New Roman" w:eastAsia="仿宋_GB2312" w:cs="DengXian-Regular"/>
          <w:sz w:val="32"/>
          <w:szCs w:val="32"/>
          <w:lang w:val="en-US" w:eastAsia="zh-CN"/>
        </w:rPr>
        <w:t>公车1辆无变化</w:t>
      </w:r>
      <w:r>
        <w:rPr>
          <w:rFonts w:ascii="Times New Roman" w:eastAsia="仿宋_GB2312"/>
          <w:b w:val="0"/>
          <w:sz w:val="32"/>
          <w:szCs w:val="32"/>
        </w:rPr>
        <w:t>。其中，副部（省）级及以上领导用车0辆，主要负责人用车0辆，机要通信用车0辆，应急保障用车1辆，执法执勤用车0辆，特种专业技术用车0辆，离退休干部用车0辆，其他用车0辆。单位价值100万元（含）以上设备（不含车辆）0台（套）。</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w:t>
      </w:r>
      <w:r>
        <w:rPr>
          <w:rFonts w:hint="eastAsia" w:ascii="Times New Roman" w:eastAsia="仿宋_GB2312"/>
          <w:b w:val="0"/>
          <w:sz w:val="32"/>
          <w:szCs w:val="32"/>
          <w:lang w:val="en-US" w:eastAsia="zh-CN"/>
        </w:rPr>
        <w:t>24.46</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2</w:t>
      </w:r>
      <w:r>
        <w:rPr>
          <w:rFonts w:ascii="Times New Roman" w:eastAsia="仿宋_GB2312"/>
          <w:b w:val="0"/>
          <w:sz w:val="32"/>
          <w:szCs w:val="32"/>
        </w:rPr>
        <w:t>个，涉及资金</w:t>
      </w:r>
      <w:r>
        <w:rPr>
          <w:rFonts w:hint="eastAsia" w:ascii="Times New Roman" w:eastAsia="仿宋_GB2312"/>
          <w:b w:val="0"/>
          <w:sz w:val="32"/>
          <w:szCs w:val="32"/>
          <w:lang w:val="en-US" w:eastAsia="zh-CN"/>
        </w:rPr>
        <w:t>24.46</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审计管理经费</w:t>
      </w:r>
      <w:r>
        <w:rPr>
          <w:rFonts w:hint="eastAsia" w:ascii="仿宋_GB2312" w:hAnsi="仿宋_GB2312" w:eastAsia="仿宋_GB2312" w:cs="仿宋_GB2312"/>
          <w:sz w:val="32"/>
          <w:szCs w:val="32"/>
        </w:rPr>
        <w:t>”</w:t>
      </w:r>
      <w:r>
        <w:rPr>
          <w:rFonts w:hint="eastAsia" w:ascii="Times New Roman" w:eastAsia="仿宋_GB2312"/>
          <w:b w:val="0"/>
          <w:sz w:val="32"/>
          <w:szCs w:val="32"/>
          <w:lang w:val="en-US" w:eastAsia="zh-CN"/>
        </w:rPr>
        <w:t>1</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24.46</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Times New Roman" w:eastAsia="仿宋_GB2312"/>
          <w:b w:val="0"/>
          <w:sz w:val="32"/>
          <w:szCs w:val="32"/>
          <w:lang w:eastAsia="zh-CN"/>
        </w:rPr>
        <w:t>，产出指标、效益指标、满意度指标均圆满完成，资金使用依法合规，专款专用，支出内容和方向正确，符合规定要求，</w:t>
      </w:r>
      <w:r>
        <w:rPr>
          <w:rFonts w:hint="eastAsia" w:ascii="仿宋_GB2312" w:hAnsi="仿宋_GB2312" w:eastAsia="仿宋_GB2312" w:cs="仿宋_GB2312"/>
          <w:sz w:val="32"/>
          <w:szCs w:val="32"/>
        </w:rPr>
        <w:t>绩效评价等级为</w:t>
      </w:r>
      <w:r>
        <w:rPr>
          <w:rFonts w:hint="eastAsia" w:ascii="仿宋_GB2312" w:hAnsi="仿宋_GB2312" w:eastAsia="仿宋_GB2312" w:cs="仿宋_GB2312"/>
          <w:sz w:val="32"/>
          <w:szCs w:val="32"/>
          <w:lang w:eastAsia="zh-CN"/>
        </w:rPr>
        <w:t>良好</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w:t>
      </w:r>
      <w:r>
        <w:rPr>
          <w:rFonts w:hint="eastAsia" w:ascii="仿宋_GB2312" w:hAnsi="仿宋_GB2312" w:eastAsia="仿宋_GB2312" w:cs="仿宋_GB2312"/>
          <w:sz w:val="32"/>
          <w:szCs w:val="32"/>
          <w:lang w:eastAsia="zh-CN"/>
        </w:rPr>
        <w:t>审计管理经费</w:t>
      </w:r>
      <w:r>
        <w:rPr>
          <w:rFonts w:hint="eastAsia" w:ascii="Times New Roman" w:eastAsia="仿宋_GB2312"/>
          <w:b w:val="0"/>
          <w:sz w:val="32"/>
          <w:szCs w:val="32"/>
          <w:lang w:val="en-US" w:eastAsia="zh-CN"/>
        </w:rPr>
        <w:t>1</w:t>
      </w:r>
      <w:r>
        <w:rPr>
          <w:rFonts w:ascii="Times New Roman" w:eastAsia="仿宋_GB2312"/>
          <w:b w:val="0"/>
          <w:sz w:val="32"/>
          <w:szCs w:val="32"/>
        </w:rPr>
        <w:t>个项目绩效自评结果。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95</w:t>
      </w:r>
      <w:bookmarkStart w:id="0" w:name="_GoBack"/>
      <w:bookmarkEnd w:id="0"/>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50</w:t>
      </w:r>
      <w:r>
        <w:rPr>
          <w:rFonts w:ascii="Times New Roman" w:eastAsia="仿宋_GB2312"/>
          <w:b w:val="0"/>
          <w:sz w:val="32"/>
          <w:szCs w:val="32"/>
        </w:rPr>
        <w:t>万元，执行数为</w:t>
      </w:r>
      <w:r>
        <w:rPr>
          <w:rFonts w:hint="eastAsia" w:ascii="Times New Roman" w:eastAsia="仿宋_GB2312"/>
          <w:b w:val="0"/>
          <w:sz w:val="32"/>
          <w:szCs w:val="32"/>
          <w:lang w:val="en-US" w:eastAsia="zh-CN"/>
        </w:rPr>
        <w:t>24.46</w:t>
      </w:r>
      <w:r>
        <w:rPr>
          <w:rFonts w:ascii="Times New Roman" w:eastAsia="仿宋_GB2312"/>
          <w:b w:val="0"/>
          <w:sz w:val="32"/>
          <w:szCs w:val="32"/>
        </w:rPr>
        <w:t>万元，完成预算的</w:t>
      </w:r>
      <w:r>
        <w:rPr>
          <w:rFonts w:hint="eastAsia" w:ascii="Times New Roman" w:eastAsia="仿宋_GB2312"/>
          <w:b w:val="0"/>
          <w:sz w:val="32"/>
          <w:szCs w:val="32"/>
          <w:lang w:val="en-US" w:eastAsia="zh-CN"/>
        </w:rPr>
        <w:t>50.76</w:t>
      </w:r>
      <w:r>
        <w:rPr>
          <w:rFonts w:ascii="Times New Roman" w:eastAsia="仿宋_GB2312"/>
          <w:b w:val="0"/>
          <w:sz w:val="32"/>
          <w:szCs w:val="32"/>
        </w:rPr>
        <w:t>%。项目绩效目标完成情况：</w:t>
      </w:r>
      <w:r>
        <w:rPr>
          <w:rFonts w:hint="default" w:ascii="Times New Roman" w:eastAsia="仿宋_GB2312"/>
          <w:b w:val="0"/>
          <w:sz w:val="32"/>
          <w:szCs w:val="32"/>
        </w:rPr>
        <w:t>加强审计力量，提高审计业务质量。未发现问题</w:t>
      </w:r>
      <w:r>
        <w:rPr>
          <w:rFonts w:ascii="Times New Roman" w:eastAsia="仿宋_GB2312"/>
          <w:b w:val="0"/>
          <w:sz w:val="32"/>
          <w:szCs w:val="32"/>
        </w:rPr>
        <w:t>。发现的主要问题及原因是：一是</w:t>
      </w:r>
      <w:r>
        <w:rPr>
          <w:rFonts w:hint="eastAsia" w:ascii="Times New Roman" w:eastAsia="仿宋_GB2312"/>
          <w:b w:val="0"/>
          <w:sz w:val="32"/>
          <w:szCs w:val="32"/>
          <w:lang w:eastAsia="zh-CN"/>
        </w:rPr>
        <w:t>阶段性支出目标没有达成</w:t>
      </w:r>
      <w:r>
        <w:rPr>
          <w:rFonts w:ascii="Times New Roman" w:eastAsia="仿宋_GB2312"/>
          <w:b w:val="0"/>
          <w:sz w:val="32"/>
          <w:szCs w:val="32"/>
        </w:rPr>
        <w:t>；二是</w:t>
      </w:r>
      <w:r>
        <w:rPr>
          <w:rFonts w:hint="eastAsia" w:ascii="Times New Roman" w:eastAsia="仿宋_GB2312"/>
          <w:b w:val="0"/>
          <w:sz w:val="32"/>
          <w:szCs w:val="32"/>
          <w:lang w:eastAsia="zh-CN"/>
        </w:rPr>
        <w:t>财政资金紧缺</w:t>
      </w:r>
      <w:r>
        <w:rPr>
          <w:rFonts w:ascii="Times New Roman" w:eastAsia="仿宋_GB2312"/>
          <w:b w:val="0"/>
          <w:sz w:val="32"/>
          <w:szCs w:val="32"/>
        </w:rPr>
        <w:t>。下一步改进措施：</w:t>
      </w:r>
      <w:r>
        <w:rPr>
          <w:rFonts w:hint="default" w:ascii="Times New Roman" w:eastAsia="仿宋_GB2312"/>
          <w:b w:val="0"/>
          <w:sz w:val="32"/>
          <w:szCs w:val="32"/>
        </w:rPr>
        <w:t>根据审计工作开展情况及实际资金需求，合理编制预算，科学设定绩效指标，进一步完善绩效评价结果运用机制，将评价结果作为申报下年度预算的重要依据，优化项目支出结构方面，提高资金使用效益。</w:t>
      </w:r>
    </w:p>
    <w:tbl>
      <w:tblPr>
        <w:tblpPr w:leftFromText="180" w:rightFromText="180" w:vertAnchor="text" w:horzAnchor="page" w:tblpX="1001" w:tblpY="662"/>
        <w:tblOverlap w:val="never"/>
        <w:tblW w:w="105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1170"/>
        <w:gridCol w:w="1275"/>
        <w:gridCol w:w="1000"/>
        <w:gridCol w:w="1389"/>
        <w:gridCol w:w="1080"/>
        <w:gridCol w:w="1290"/>
        <w:gridCol w:w="1725"/>
        <w:gridCol w:w="16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10545" w:type="dxa"/>
            <w:gridSpan w:val="8"/>
            <w:tcBorders>
              <w:top w:val="nil"/>
              <w:left w:val="nil"/>
              <w:bottom w:val="nil"/>
              <w:right w:val="nil"/>
            </w:tcBorders>
            <w:shd w:val="clear"/>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40"/>
                <w:szCs w:val="40"/>
                <w:u w:val="none"/>
                <w:bdr w:val="none" w:color="auto" w:sz="0" w:space="0"/>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94" w:hRule="atLeast"/>
        </w:trPr>
        <w:tc>
          <w:tcPr>
            <w:tcW w:w="0" w:type="auto"/>
            <w:gridSpan w:val="8"/>
            <w:tcBorders>
              <w:top w:val="nil"/>
              <w:left w:val="nil"/>
              <w:bottom w:val="nil"/>
              <w:right w:val="nil"/>
            </w:tcBorders>
            <w:shd w:val="clear"/>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9" w:hRule="atLeast"/>
        </w:trPr>
        <w:tc>
          <w:tcPr>
            <w:tcW w:w="0" w:type="auto"/>
            <w:gridSpan w:val="3"/>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填报单位：石家庄市桥西区审计局</w:t>
            </w:r>
          </w:p>
        </w:tc>
        <w:tc>
          <w:tcPr>
            <w:tcW w:w="0" w:type="auto"/>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00" w:hRule="atLeast"/>
        </w:trPr>
        <w:tc>
          <w:tcPr>
            <w:tcW w:w="1170" w:type="dxa"/>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Style w:val="27"/>
                <w:bdr w:val="none" w:color="auto" w:sz="0" w:space="0"/>
                <w:lang w:val="en-US" w:eastAsia="zh-CN" w:bidi="ar"/>
              </w:rPr>
              <w:t>基本情况</w:t>
            </w:r>
          </w:p>
        </w:tc>
        <w:tc>
          <w:tcPr>
            <w:tcW w:w="127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2475"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审计业务管理经费</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4545" w:type="dxa"/>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319001-石家庄市桥西区审计局本级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2355"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2475"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3015"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153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0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w:t>
            </w:r>
          </w:p>
        </w:tc>
        <w:tc>
          <w:tcPr>
            <w:tcW w:w="139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172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24.46</w:t>
            </w:r>
          </w:p>
        </w:tc>
        <w:tc>
          <w:tcPr>
            <w:tcW w:w="153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0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w:t>
            </w:r>
          </w:p>
        </w:tc>
        <w:tc>
          <w:tcPr>
            <w:tcW w:w="139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172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24.46</w:t>
            </w:r>
          </w:p>
        </w:tc>
        <w:tc>
          <w:tcPr>
            <w:tcW w:w="15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jc w:val="left"/>
              <w:rPr>
                <w:rFonts w:hint="default" w:ascii="Calibri" w:hAnsi="Calibri" w:eastAsia="宋体" w:cs="Calibri"/>
                <w:i w:val="0"/>
                <w:iCs w:val="0"/>
                <w:color w:val="000000"/>
                <w:sz w:val="20"/>
                <w:szCs w:val="20"/>
                <w:u w:val="none"/>
              </w:rPr>
            </w:pPr>
          </w:p>
        </w:tc>
        <w:tc>
          <w:tcPr>
            <w:tcW w:w="139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1725" w:type="dxa"/>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39"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3750" w:type="dxa"/>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4095" w:type="dxa"/>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153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750" w:type="dxa"/>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围绕桥西区区委、区政府确定的重点任务，进行审计法制管理，抓好干部队伍建设、基础设施建设及其它综合事务；组织开展业务培训，依法全面履行审计监督职责。</w:t>
            </w:r>
          </w:p>
        </w:tc>
        <w:tc>
          <w:tcPr>
            <w:tcW w:w="4095" w:type="dxa"/>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全力配合审计委员会的工作，履行审计工作常态化的监督职责，开展多形式的宣传，扩大了审计的影响力，加强全局业务素质的培训和法制化建设，充分发挥了审计的作用.</w:t>
            </w:r>
          </w:p>
        </w:tc>
        <w:tc>
          <w:tcPr>
            <w:tcW w:w="153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750" w:type="dxa"/>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095" w:type="dxa"/>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25"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750" w:type="dxa"/>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095" w:type="dxa"/>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20" w:hRule="atLeast"/>
        </w:trPr>
        <w:tc>
          <w:tcPr>
            <w:tcW w:w="1170" w:type="dxa"/>
            <w:vMerge w:val="restar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Style w:val="27"/>
                <w:bdr w:val="none" w:color="auto" w:sz="0" w:space="0"/>
                <w:lang w:val="en-US" w:eastAsia="zh-CN" w:bidi="ar"/>
              </w:rPr>
              <w:t>年度绩效指标完成情况</w:t>
            </w:r>
          </w:p>
        </w:tc>
        <w:tc>
          <w:tcPr>
            <w:tcW w:w="127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2475"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172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153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108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2475" w:type="dxa"/>
            <w:gridSpan w:val="2"/>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审计项目数量</w:t>
            </w:r>
          </w:p>
        </w:tc>
        <w:tc>
          <w:tcPr>
            <w:tcW w:w="129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≥15项</w:t>
            </w:r>
          </w:p>
        </w:tc>
        <w:tc>
          <w:tcPr>
            <w:tcW w:w="172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53</w:t>
            </w:r>
          </w:p>
        </w:tc>
        <w:tc>
          <w:tcPr>
            <w:tcW w:w="153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2475" w:type="dxa"/>
            <w:gridSpan w:val="2"/>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提出审计建议的数量</w:t>
            </w:r>
          </w:p>
        </w:tc>
        <w:tc>
          <w:tcPr>
            <w:tcW w:w="129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≥5项</w:t>
            </w:r>
          </w:p>
        </w:tc>
        <w:tc>
          <w:tcPr>
            <w:tcW w:w="172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19</w:t>
            </w:r>
          </w:p>
        </w:tc>
        <w:tc>
          <w:tcPr>
            <w:tcW w:w="153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2475" w:type="dxa"/>
            <w:gridSpan w:val="2"/>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审计通知书送达率</w:t>
            </w:r>
          </w:p>
        </w:tc>
        <w:tc>
          <w:tcPr>
            <w:tcW w:w="129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≥100%</w:t>
            </w:r>
          </w:p>
        </w:tc>
        <w:tc>
          <w:tcPr>
            <w:tcW w:w="172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153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2475" w:type="dxa"/>
            <w:gridSpan w:val="2"/>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预算控制数</w:t>
            </w:r>
          </w:p>
        </w:tc>
        <w:tc>
          <w:tcPr>
            <w:tcW w:w="129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≤50</w:t>
            </w:r>
            <w:r>
              <w:rPr>
                <w:rStyle w:val="27"/>
                <w:bdr w:val="none" w:color="auto" w:sz="0" w:space="0"/>
                <w:lang w:val="en-US" w:eastAsia="zh-CN" w:bidi="ar"/>
              </w:rPr>
              <w:t>万元</w:t>
            </w:r>
          </w:p>
        </w:tc>
        <w:tc>
          <w:tcPr>
            <w:tcW w:w="172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50万元</w:t>
            </w:r>
          </w:p>
        </w:tc>
        <w:tc>
          <w:tcPr>
            <w:tcW w:w="153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lang w:val="en-US"/>
              </w:rPr>
            </w:pPr>
            <w:r>
              <w:rPr>
                <w:rFonts w:hint="eastAsia" w:ascii="Calibri" w:hAnsi="Calibri" w:eastAsia="宋体" w:cs="Calibri"/>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2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1080" w:type="dxa"/>
            <w:tcBorders>
              <w:top w:val="nil"/>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2475"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≥80%</w:t>
            </w:r>
          </w:p>
        </w:tc>
        <w:tc>
          <w:tcPr>
            <w:tcW w:w="172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eastAsia" w:ascii="Calibri" w:hAnsi="Calibri" w:eastAsia="宋体" w:cs="Calibri"/>
                <w:i w:val="0"/>
                <w:iCs w:val="0"/>
                <w:color w:val="000000"/>
                <w:kern w:val="0"/>
                <w:sz w:val="20"/>
                <w:szCs w:val="20"/>
                <w:u w:val="none"/>
                <w:bdr w:val="none" w:color="auto" w:sz="0" w:space="0"/>
                <w:lang w:val="en-US" w:eastAsia="zh-CN" w:bidi="ar"/>
              </w:rPr>
              <w:t>50.76</w:t>
            </w:r>
            <w:r>
              <w:rPr>
                <w:rFonts w:hint="default" w:ascii="Calibri" w:hAnsi="Calibri" w:eastAsia="宋体" w:cs="Calibri"/>
                <w:i w:val="0"/>
                <w:iCs w:val="0"/>
                <w:color w:val="000000"/>
                <w:kern w:val="0"/>
                <w:sz w:val="20"/>
                <w:szCs w:val="20"/>
                <w:u w:val="none"/>
                <w:bdr w:val="none" w:color="auto" w:sz="0" w:space="0"/>
                <w:lang w:val="en-US" w:eastAsia="zh-CN" w:bidi="ar"/>
              </w:rPr>
              <w:t>%</w:t>
            </w:r>
          </w:p>
        </w:tc>
        <w:tc>
          <w:tcPr>
            <w:tcW w:w="153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Calibri" w:hAnsi="Calibri" w:eastAsia="宋体" w:cs="Calibri"/>
                <w:i w:val="0"/>
                <w:iCs w:val="0"/>
                <w:color w:val="000000"/>
                <w:sz w:val="20"/>
                <w:szCs w:val="20"/>
                <w:u w:val="none"/>
                <w:lang w:val="en-US" w:eastAsia="zh-CN"/>
              </w:rPr>
            </w:pPr>
            <w:r>
              <w:rPr>
                <w:rFonts w:hint="eastAsia" w:ascii="Calibri" w:hAnsi="Calibri" w:eastAsia="宋体" w:cs="Calibri"/>
                <w:i w:val="0"/>
                <w:iCs w:val="0"/>
                <w:color w:val="000000"/>
                <w:sz w:val="20"/>
                <w:szCs w:val="20"/>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restart"/>
            <w:tcBorders>
              <w:top w:val="nil"/>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1080" w:type="dxa"/>
            <w:vMerge w:val="restar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经济效益指标</w:t>
            </w:r>
          </w:p>
        </w:tc>
        <w:tc>
          <w:tcPr>
            <w:tcW w:w="2475" w:type="dxa"/>
            <w:gridSpan w:val="2"/>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提高效率</w:t>
            </w:r>
          </w:p>
        </w:tc>
        <w:tc>
          <w:tcPr>
            <w:tcW w:w="129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≥80%</w:t>
            </w:r>
          </w:p>
        </w:tc>
        <w:tc>
          <w:tcPr>
            <w:tcW w:w="172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153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8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restar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2475" w:type="dxa"/>
            <w:gridSpan w:val="2"/>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被审计单位根据审计建议制定的整改措施</w:t>
            </w:r>
          </w:p>
        </w:tc>
        <w:tc>
          <w:tcPr>
            <w:tcW w:w="129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≥5家</w:t>
            </w:r>
          </w:p>
        </w:tc>
        <w:tc>
          <w:tcPr>
            <w:tcW w:w="172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16</w:t>
            </w:r>
          </w:p>
        </w:tc>
        <w:tc>
          <w:tcPr>
            <w:tcW w:w="153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restar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生态效益指标</w:t>
            </w:r>
          </w:p>
        </w:tc>
        <w:tc>
          <w:tcPr>
            <w:tcW w:w="2475" w:type="dxa"/>
            <w:gridSpan w:val="2"/>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工作完成率</w:t>
            </w:r>
          </w:p>
        </w:tc>
        <w:tc>
          <w:tcPr>
            <w:tcW w:w="129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172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153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4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restar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可持续影响指标</w:t>
            </w:r>
          </w:p>
        </w:tc>
        <w:tc>
          <w:tcPr>
            <w:tcW w:w="2475" w:type="dxa"/>
            <w:gridSpan w:val="2"/>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保障日常办公</w:t>
            </w:r>
          </w:p>
        </w:tc>
        <w:tc>
          <w:tcPr>
            <w:tcW w:w="129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172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153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1080" w:type="dxa"/>
            <w:vMerge w:val="restar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2475" w:type="dxa"/>
            <w:gridSpan w:val="2"/>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被审计单位满意程度</w:t>
            </w:r>
          </w:p>
        </w:tc>
        <w:tc>
          <w:tcPr>
            <w:tcW w:w="129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1725" w:type="dxa"/>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1530" w:type="dxa"/>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725" w:type="dxa"/>
            <w:vMerge w:val="continue"/>
            <w:tcBorders>
              <w:top w:val="single" w:color="000000" w:sz="4" w:space="0"/>
              <w:left w:val="single" w:color="000000" w:sz="4" w:space="0"/>
              <w:bottom w:val="nil"/>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nil"/>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725" w:type="dxa"/>
            <w:vMerge w:val="continue"/>
            <w:tcBorders>
              <w:top w:val="single" w:color="000000" w:sz="4" w:space="0"/>
              <w:left w:val="single" w:color="000000" w:sz="4" w:space="0"/>
              <w:bottom w:val="nil"/>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nil"/>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70" w:type="dxa"/>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7845" w:type="dxa"/>
            <w:gridSpan w:val="6"/>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153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eastAsia" w:ascii="Calibri" w:hAnsi="Calibri" w:eastAsia="宋体" w:cs="Calibri"/>
                <w:i w:val="0"/>
                <w:iCs w:val="0"/>
                <w:color w:val="000000"/>
                <w:kern w:val="0"/>
                <w:sz w:val="20"/>
                <w:szCs w:val="20"/>
                <w:u w:val="none"/>
                <w:bdr w:val="none" w:color="auto" w:sz="0" w:space="0"/>
                <w:lang w:val="en-US" w:eastAsia="zh-CN" w:bidi="ar"/>
              </w:rPr>
              <w:t>95</w:t>
            </w:r>
          </w:p>
        </w:tc>
      </w:tr>
    </w:tbl>
    <w:p>
      <w:pPr>
        <w:widowControl/>
        <w:spacing w:before="0" w:beforeLines="0" w:beforeAutospacing="0" w:after="0" w:afterLines="0" w:afterAutospacing="0" w:line="360" w:lineRule="auto"/>
        <w:ind w:firstLine="640" w:firstLineChars="200"/>
        <w:jc w:val="center"/>
        <w:rPr>
          <w:rFonts w:ascii="Times New Roman" w:eastAsia="仿宋_GB2312"/>
          <w:sz w:val="32"/>
          <w:szCs w:val="32"/>
        </w:rPr>
      </w:pP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02FE02E7-B2EC-4D2F-9DA0-5B7C99A1C9B1}"/>
  </w:font>
  <w:font w:name="黑体">
    <w:panose1 w:val="02010609060101010101"/>
    <w:charset w:val="86"/>
    <w:family w:val="auto"/>
    <w:pitch w:val="default"/>
    <w:sig w:usb0="800002BF" w:usb1="38CF7CFA" w:usb2="00000016" w:usb3="00000000" w:csb0="00040001" w:csb1="00000000"/>
    <w:embedRegular r:id="rId2" w:fontKey="{9EAB240D-BAD0-400A-AD8C-973AD3710D4F}"/>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3" w:fontKey="{7B71FAC4-3AAD-45DB-9081-E5AF52A4A238}"/>
  </w:font>
  <w:font w:name="仿宋">
    <w:panose1 w:val="02010609060101010101"/>
    <w:charset w:val="86"/>
    <w:family w:val="modern"/>
    <w:pitch w:val="default"/>
    <w:sig w:usb0="800002BF" w:usb1="38CF7CFA" w:usb2="00000016" w:usb3="00000000" w:csb0="00040001" w:csb1="00000000"/>
    <w:embedRegular r:id="rId4" w:fontKey="{13BEE624-390F-4327-A1A9-6D038C390BEF}"/>
  </w:font>
  <w:font w:name="Calibri Light">
    <w:altName w:val="Calibri"/>
    <w:panose1 w:val="020F0302020204030204"/>
    <w:charset w:val="00"/>
    <w:family w:val="auto"/>
    <w:pitch w:val="default"/>
    <w:sig w:usb0="00000000" w:usb1="00000000"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方正仿宋_GBK">
    <w:panose1 w:val="02000000000000000000"/>
    <w:charset w:val="86"/>
    <w:family w:val="roman"/>
    <w:pitch w:val="default"/>
    <w:sig w:usb0="A00002BF" w:usb1="38CF7CFA" w:usb2="00082016" w:usb3="00000000" w:csb0="00040001" w:csb1="00000000"/>
  </w:font>
  <w:font w:name="楷体_GB2312">
    <w:panose1 w:val="02010609030101010101"/>
    <w:charset w:val="86"/>
    <w:family w:val="auto"/>
    <w:pitch w:val="default"/>
    <w:sig w:usb0="00000001" w:usb1="080E0000" w:usb2="00000000" w:usb3="00000000" w:csb0="00040000" w:csb1="00000000"/>
    <w:embedRegular r:id="rId5" w:fontKey="{49C8A105-F362-47BB-91F4-15E3A465E5ED}"/>
  </w:font>
  <w:font w:name="方正小标宋_GBK">
    <w:panose1 w:val="02000000000000000000"/>
    <w:charset w:val="86"/>
    <w:family w:val="script"/>
    <w:pitch w:val="default"/>
    <w:sig w:usb0="A00002BF" w:usb1="38CF7CFA" w:usb2="00082016" w:usb3="00000000" w:csb0="00040001" w:csb1="00000000"/>
    <w:embedRegular r:id="rId6" w:fontKey="{6014C82A-BC58-4A7E-9103-48D5D8274AF0}"/>
  </w:font>
  <w:font w:name="仿宋_GB2312">
    <w:panose1 w:val="02010609030101010101"/>
    <w:charset w:val="86"/>
    <w:family w:val="auto"/>
    <w:pitch w:val="default"/>
    <w:sig w:usb0="00000001" w:usb1="080E0000" w:usb2="00000000" w:usb3="00000000" w:csb0="00040000" w:csb1="00000000"/>
    <w:embedRegular r:id="rId7" w:fontKey="{39CDD59B-4618-460E-AF29-551AA9E34552}"/>
  </w:font>
  <w:font w:name="ArialUnicodeMS">
    <w:altName w:val="Malgun Gothic"/>
    <w:panose1 w:val="00000000000000000000"/>
    <w:charset w:val="81"/>
    <w:family w:val="auto"/>
    <w:pitch w:val="default"/>
    <w:sig w:usb0="00000000" w:usb1="00000000" w:usb2="00000010" w:usb3="00000000" w:csb0="00080001" w:csb1="00000000"/>
    <w:embedRegular r:id="rId8" w:fontKey="{5CB1EA89-05B8-4459-B59E-572601BAAF27}"/>
  </w:font>
  <w:font w:name="方正仿宋_GB2312">
    <w:altName w:val="仿宋"/>
    <w:panose1 w:val="02000000000000000000"/>
    <w:charset w:val="86"/>
    <w:family w:val="auto"/>
    <w:pitch w:val="default"/>
    <w:sig w:usb0="00000000" w:usb1="00000000" w:usb2="00000012" w:usb3="00000000" w:csb0="00040001" w:csb1="00000000"/>
    <w:embedRegular r:id="rId9" w:fontKey="{9E96541C-A0B3-4CEA-B65D-9893F6D034BB}"/>
  </w:font>
  <w:font w:name="DengXian-Regular">
    <w:altName w:val="宋体"/>
    <w:panose1 w:val="00000000000000000000"/>
    <w:charset w:val="86"/>
    <w:family w:val="auto"/>
    <w:pitch w:val="default"/>
    <w:sig w:usb0="00000000" w:usb1="00000000" w:usb2="00000010" w:usb3="00000000" w:csb0="00040001" w:csb1="00000000"/>
    <w:embedRegular r:id="rId10" w:fontKey="{01C45963-129C-4869-B3DC-4C45A1F8C378}"/>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0E1D99"/>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95558B"/>
    <w:rsid w:val="06B07006"/>
    <w:rsid w:val="06FC7C2A"/>
    <w:rsid w:val="07533AFE"/>
    <w:rsid w:val="07AC18F2"/>
    <w:rsid w:val="07B3657A"/>
    <w:rsid w:val="07C857D0"/>
    <w:rsid w:val="083F3A0A"/>
    <w:rsid w:val="08AB5AAF"/>
    <w:rsid w:val="09012C64"/>
    <w:rsid w:val="093B2E99"/>
    <w:rsid w:val="095D7943"/>
    <w:rsid w:val="09853D97"/>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E222B"/>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D81565"/>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1D37A3"/>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B84052"/>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0591C"/>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076B2"/>
    <w:rsid w:val="7396335C"/>
    <w:rsid w:val="73F46595"/>
    <w:rsid w:val="73F47FAE"/>
    <w:rsid w:val="74283FA2"/>
    <w:rsid w:val="742C135B"/>
    <w:rsid w:val="74463733"/>
    <w:rsid w:val="748A2F40"/>
    <w:rsid w:val="7496678D"/>
    <w:rsid w:val="74D84FF7"/>
    <w:rsid w:val="74F85778"/>
    <w:rsid w:val="75272439"/>
    <w:rsid w:val="758F1E9B"/>
    <w:rsid w:val="75CE266B"/>
    <w:rsid w:val="76120141"/>
    <w:rsid w:val="768216BE"/>
    <w:rsid w:val="76AA4771"/>
    <w:rsid w:val="76C23B43"/>
    <w:rsid w:val="76FD6F97"/>
    <w:rsid w:val="770218E8"/>
    <w:rsid w:val="77630DEE"/>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99" w:semiHidden="0"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5"/>
    <w:unhideWhenUsed/>
    <w:qFormat/>
    <w:uiPriority w:val="99"/>
    <w:rPr>
      <w:rFonts w:cstheme="minorBidi"/>
      <w:kern w:val="2"/>
      <w:sz w:val="18"/>
      <w:szCs w:val="18"/>
    </w:rPr>
  </w:style>
  <w:style w:type="paragraph" w:styleId="8">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footnote text"/>
    <w:basedOn w:val="1"/>
    <w:qFormat/>
    <w:uiPriority w:val="99"/>
    <w:pPr>
      <w:snapToGrid w:val="0"/>
      <w:jc w:val="left"/>
    </w:pPr>
    <w:rPr>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8"/>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9"/>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7"/>
    <w:semiHidden/>
    <w:qFormat/>
    <w:uiPriority w:val="99"/>
    <w:rPr>
      <w:rFonts w:asciiTheme="minorHAnsi" w:hAnsiTheme="minorHAnsi" w:eastAsiaTheme="minorEastAsia" w:cstheme="minorBidi"/>
      <w:sz w:val="18"/>
      <w:szCs w:val="18"/>
      <w:lang w:val="en-US" w:eastAsia="zh-CN" w:bidi="ar-SA"/>
    </w:rPr>
  </w:style>
  <w:style w:type="paragraph" w:customStyle="1" w:styleId="26">
    <w:name w:val="插入文本样式-插入单位职责文件"/>
    <w:basedOn w:val="1"/>
    <w:qFormat/>
    <w:uiPriority w:val="99"/>
    <w:pPr>
      <w:spacing w:line="500" w:lineRule="exact"/>
      <w:ind w:firstLine="560"/>
    </w:pPr>
    <w:rPr>
      <w:rFonts w:eastAsia="方正仿宋_GBK"/>
      <w:sz w:val="28"/>
    </w:rPr>
  </w:style>
  <w:style w:type="character" w:customStyle="1" w:styleId="27">
    <w:name w:val="font21"/>
    <w:basedOn w:val="14"/>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436.9</c:v>
                </c:pt>
                <c:pt idx="1">
                  <c:v>375.41</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3754118.53</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3509478.53</c:v>
                </c:pt>
                <c:pt idx="1">
                  <c:v>244640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436.77</c:v>
                </c:pt>
                <c:pt idx="1">
                  <c:v>436.77</c:v>
                </c:pt>
                <c:pt idx="2">
                  <c:v>436.77</c:v>
                </c:pt>
                <c:pt idx="3">
                  <c:v>436.77</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375.41</c:v>
                </c:pt>
                <c:pt idx="1">
                  <c:v>375.41</c:v>
                </c:pt>
                <c:pt idx="2">
                  <c:v>375.41</c:v>
                </c:pt>
                <c:pt idx="3">
                  <c:v>375.41</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441.44</c:v>
                </c:pt>
                <c:pt idx="1">
                  <c:v>441.44</c:v>
                </c:pt>
                <c:pt idx="2">
                  <c:v>441.44</c:v>
                </c:pt>
                <c:pt idx="3">
                  <c:v>441.44</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375.41</c:v>
                </c:pt>
                <c:pt idx="1">
                  <c:v>375.41</c:v>
                </c:pt>
                <c:pt idx="2">
                  <c:v>375.41</c:v>
                </c:pt>
                <c:pt idx="3">
                  <c:v>375.41</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242.08</c:v>
                </c:pt>
                <c:pt idx="1">
                  <c:v>0</c:v>
                </c:pt>
                <c:pt idx="2">
                  <c:v>0</c:v>
                </c:pt>
                <c:pt idx="3">
                  <c:v>0</c:v>
                </c:pt>
                <c:pt idx="4">
                  <c:v>0</c:v>
                </c:pt>
                <c:pt idx="5">
                  <c:v>0</c:v>
                </c:pt>
                <c:pt idx="6">
                  <c:v>0</c:v>
                </c:pt>
                <c:pt idx="7">
                  <c:v>87.6</c:v>
                </c:pt>
                <c:pt idx="8">
                  <c:v>18.66</c:v>
                </c:pt>
                <c:pt idx="9">
                  <c:v>0</c:v>
                </c:pt>
                <c:pt idx="10">
                  <c:v>0</c:v>
                </c:pt>
                <c:pt idx="11">
                  <c:v>0</c:v>
                </c:pt>
                <c:pt idx="12">
                  <c:v>0</c:v>
                </c:pt>
                <c:pt idx="13">
                  <c:v>0</c:v>
                </c:pt>
                <c:pt idx="14">
                  <c:v>0</c:v>
                </c:pt>
                <c:pt idx="15">
                  <c:v>0</c:v>
                </c:pt>
                <c:pt idx="16">
                  <c:v>0</c:v>
                </c:pt>
                <c:pt idx="17">
                  <c:v>0</c:v>
                </c:pt>
                <c:pt idx="18">
                  <c:v>27.08</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38</Pages>
  <Words>9946</Words>
  <Characters>12334</Characters>
  <Lines>86</Lines>
  <Paragraphs>24</Paragraphs>
  <TotalTime>54</TotalTime>
  <ScaleCrop>false</ScaleCrop>
  <LinksUpToDate>false</LinksUpToDate>
  <CharactersWithSpaces>12827</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念</cp:lastModifiedBy>
  <cp:lastPrinted>2023-08-04T01:00:00Z</cp:lastPrinted>
  <dcterms:modified xsi:type="dcterms:W3CDTF">2025-10-14T07:39:53Z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A961D73F5F9E432E94FF9476CC482915_13</vt:lpwstr>
  </property>
  <property fmtid="{D5CDD505-2E9C-101B-9397-08002B2CF9AE}" pid="4" name="KSOTemplateUUID">
    <vt:lpwstr>v1.0_mb_S7ajbG3IpAnL1wSthNCxfw==</vt:lpwstr>
  </property>
  <property fmtid="{D5CDD505-2E9C-101B-9397-08002B2CF9AE}" pid="5" name="KSOTemplateDocerSaveRecord">
    <vt:lpwstr>eyJoZGlkIjoiZDNkYmY3Y2M3NDUxMWY0ZGJmOTViMDZlOTRjY2EzMGIiLCJ1c2VySWQiOiIzNTcwODYxNTcifQ==</vt:lpwstr>
  </property>
</Properties>
</file>