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一、石家庄市桥西区振头街道办事处本级收支预算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一、石家庄市桥西区振头街道办事处本级收支预算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521001石家庄市桥西区振头街道办事处本级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3007.</w:t>
            </w:r>
            <w:r>
              <w:rPr>
                <w:rFonts w:hint="eastAsia"/>
                <w:lang w:val="en-US" w:eastAsia="zh-CN"/>
              </w:rPr>
              <w:t>01</w:t>
            </w:r>
          </w:p>
        </w:tc>
        <w:tc>
          <w:tcPr>
            <w:tcW w:w="4535" w:type="dxa"/>
            <w:vAlign w:val="center"/>
          </w:tcPr>
          <w:p>
            <w:pPr>
              <w:pStyle w:val="12"/>
            </w:pPr>
            <w:r>
              <w:t>一、一般公共服务支出</w:t>
            </w:r>
          </w:p>
        </w:tc>
        <w:tc>
          <w:tcPr>
            <w:tcW w:w="2126" w:type="dxa"/>
            <w:vAlign w:val="center"/>
          </w:tcPr>
          <w:p>
            <w:pPr>
              <w:pStyle w:val="11"/>
            </w:pPr>
            <w:r>
              <w:t>2601.94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3007.0</w:t>
            </w:r>
            <w:r>
              <w:rPr>
                <w:rFonts w:hint="eastAsia"/>
                <w:lang w:val="en-US" w:eastAsia="zh-CN"/>
              </w:rPr>
              <w:t>1</w:t>
            </w:r>
          </w:p>
        </w:tc>
        <w:tc>
          <w:tcPr>
            <w:tcW w:w="4535" w:type="dxa"/>
            <w:vAlign w:val="center"/>
          </w:tcPr>
          <w:p>
            <w:pPr>
              <w:pStyle w:val="14"/>
            </w:pPr>
            <w:r>
              <w:t>本年支出合计</w:t>
            </w:r>
          </w:p>
        </w:tc>
        <w:tc>
          <w:tcPr>
            <w:tcW w:w="2126" w:type="dxa"/>
            <w:vAlign w:val="center"/>
          </w:tcPr>
          <w:p>
            <w:pPr>
              <w:pStyle w:val="15"/>
            </w:pPr>
            <w:r>
              <w:t>3118.63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111.62</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3118.63</w:t>
            </w:r>
          </w:p>
        </w:tc>
        <w:tc>
          <w:tcPr>
            <w:tcW w:w="4535" w:type="dxa"/>
            <w:vAlign w:val="center"/>
          </w:tcPr>
          <w:p>
            <w:pPr>
              <w:pStyle w:val="14"/>
            </w:pPr>
            <w:r>
              <w:t>支出总计</w:t>
            </w:r>
          </w:p>
        </w:tc>
        <w:tc>
          <w:tcPr>
            <w:tcW w:w="2126" w:type="dxa"/>
            <w:vAlign w:val="center"/>
          </w:tcPr>
          <w:p>
            <w:pPr>
              <w:pStyle w:val="15"/>
            </w:pPr>
            <w:r>
              <w:t>3118.63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521001石家庄市桥西区振头街道办事处本级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3118.63</w:t>
            </w:r>
          </w:p>
        </w:tc>
        <w:tc>
          <w:tcPr>
            <w:tcW w:w="1134" w:type="dxa"/>
            <w:vAlign w:val="center"/>
          </w:tcPr>
          <w:p>
            <w:pPr>
              <w:pStyle w:val="15"/>
            </w:pPr>
            <w:r>
              <w:t>3007.0</w:t>
            </w:r>
            <w:r>
              <w:rPr>
                <w:rFonts w:hint="eastAsia"/>
                <w:lang w:val="en-US" w:eastAsia="zh-CN"/>
              </w:rPr>
              <w:t>1</w:t>
            </w:r>
          </w:p>
        </w:tc>
        <w:tc>
          <w:tcPr>
            <w:tcW w:w="1134" w:type="dxa"/>
            <w:vAlign w:val="center"/>
          </w:tcPr>
          <w:p>
            <w:pPr>
              <w:pStyle w:val="15"/>
            </w:pPr>
            <w:r>
              <w:t>3007.0</w:t>
            </w:r>
            <w:r>
              <w:rPr>
                <w:rFonts w:hint="eastAsia"/>
                <w:lang w:val="en-US" w:eastAsia="zh-CN"/>
              </w:rPr>
              <w:t>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2601.94</w:t>
            </w:r>
          </w:p>
        </w:tc>
        <w:tc>
          <w:tcPr>
            <w:tcW w:w="1134" w:type="dxa"/>
            <w:vAlign w:val="center"/>
          </w:tcPr>
          <w:p>
            <w:pPr>
              <w:pStyle w:val="11"/>
            </w:pPr>
            <w:r>
              <w:t>2490.33</w:t>
            </w:r>
          </w:p>
        </w:tc>
        <w:tc>
          <w:tcPr>
            <w:tcW w:w="1134" w:type="dxa"/>
            <w:vAlign w:val="center"/>
          </w:tcPr>
          <w:p>
            <w:pPr>
              <w:pStyle w:val="11"/>
            </w:pPr>
            <w:r>
              <w:t>2490.33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1.19</w:t>
            </w:r>
          </w:p>
        </w:tc>
        <w:tc>
          <w:tcPr>
            <w:tcW w:w="1134" w:type="dxa"/>
            <w:vAlign w:val="center"/>
          </w:tcPr>
          <w:p>
            <w:pPr>
              <w:pStyle w:val="11"/>
            </w:pPr>
            <w:r>
              <w:t>1.19</w:t>
            </w:r>
          </w:p>
        </w:tc>
        <w:tc>
          <w:tcPr>
            <w:tcW w:w="1134" w:type="dxa"/>
            <w:vAlign w:val="center"/>
          </w:tcPr>
          <w:p>
            <w:pPr>
              <w:pStyle w:val="11"/>
            </w:pPr>
            <w:r>
              <w:t>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1.19</w:t>
            </w:r>
          </w:p>
        </w:tc>
        <w:tc>
          <w:tcPr>
            <w:tcW w:w="1134" w:type="dxa"/>
            <w:vAlign w:val="center"/>
          </w:tcPr>
          <w:p>
            <w:pPr>
              <w:pStyle w:val="11"/>
            </w:pPr>
            <w:r>
              <w:t>1.19</w:t>
            </w:r>
          </w:p>
        </w:tc>
        <w:tc>
          <w:tcPr>
            <w:tcW w:w="1134" w:type="dxa"/>
            <w:vAlign w:val="center"/>
          </w:tcPr>
          <w:p>
            <w:pPr>
              <w:pStyle w:val="11"/>
            </w:pPr>
            <w:r>
              <w:t>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2489.14</w:t>
            </w:r>
          </w:p>
        </w:tc>
        <w:tc>
          <w:tcPr>
            <w:tcW w:w="1134" w:type="dxa"/>
            <w:vAlign w:val="center"/>
          </w:tcPr>
          <w:p>
            <w:pPr>
              <w:pStyle w:val="11"/>
            </w:pPr>
            <w:r>
              <w:t>2489.14</w:t>
            </w:r>
          </w:p>
        </w:tc>
        <w:tc>
          <w:tcPr>
            <w:tcW w:w="1134" w:type="dxa"/>
            <w:vAlign w:val="center"/>
          </w:tcPr>
          <w:p>
            <w:pPr>
              <w:pStyle w:val="11"/>
            </w:pPr>
            <w:r>
              <w:t>2489.14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2207.68</w:t>
            </w:r>
          </w:p>
        </w:tc>
        <w:tc>
          <w:tcPr>
            <w:tcW w:w="1134" w:type="dxa"/>
            <w:vAlign w:val="center"/>
          </w:tcPr>
          <w:p>
            <w:pPr>
              <w:pStyle w:val="11"/>
            </w:pPr>
            <w:r>
              <w:t>2207.68</w:t>
            </w:r>
          </w:p>
        </w:tc>
        <w:tc>
          <w:tcPr>
            <w:tcW w:w="1134" w:type="dxa"/>
            <w:vAlign w:val="center"/>
          </w:tcPr>
          <w:p>
            <w:pPr>
              <w:pStyle w:val="11"/>
            </w:pPr>
            <w:r>
              <w:t>2207.68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281.45</w:t>
            </w:r>
          </w:p>
        </w:tc>
        <w:tc>
          <w:tcPr>
            <w:tcW w:w="1134" w:type="dxa"/>
            <w:vAlign w:val="center"/>
          </w:tcPr>
          <w:p>
            <w:pPr>
              <w:pStyle w:val="11"/>
            </w:pPr>
            <w:r>
              <w:t>281.45</w:t>
            </w:r>
          </w:p>
        </w:tc>
        <w:tc>
          <w:tcPr>
            <w:tcW w:w="1134" w:type="dxa"/>
            <w:vAlign w:val="center"/>
          </w:tcPr>
          <w:p>
            <w:pPr>
              <w:pStyle w:val="11"/>
            </w:pPr>
            <w:r>
              <w:t>281.45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20132</w:t>
            </w:r>
          </w:p>
        </w:tc>
        <w:tc>
          <w:tcPr>
            <w:tcW w:w="1559" w:type="dxa"/>
            <w:vAlign w:val="center"/>
          </w:tcPr>
          <w:p>
            <w:pPr>
              <w:pStyle w:val="12"/>
            </w:pPr>
            <w:r>
              <w:t>组织事务</w:t>
            </w:r>
          </w:p>
        </w:tc>
        <w:tc>
          <w:tcPr>
            <w:tcW w:w="1134" w:type="dxa"/>
            <w:vAlign w:val="center"/>
          </w:tcPr>
          <w:p>
            <w:pPr>
              <w:pStyle w:val="11"/>
            </w:pPr>
            <w:r>
              <w:t>111.62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2013299</w:t>
            </w:r>
          </w:p>
        </w:tc>
        <w:tc>
          <w:tcPr>
            <w:tcW w:w="1559" w:type="dxa"/>
            <w:vAlign w:val="center"/>
          </w:tcPr>
          <w:p>
            <w:pPr>
              <w:pStyle w:val="12"/>
            </w:pPr>
            <w:r>
              <w:t>其他组织事务支出</w:t>
            </w:r>
          </w:p>
        </w:tc>
        <w:tc>
          <w:tcPr>
            <w:tcW w:w="1134" w:type="dxa"/>
            <w:vAlign w:val="center"/>
          </w:tcPr>
          <w:p>
            <w:pPr>
              <w:pStyle w:val="11"/>
            </w:pPr>
            <w:r>
              <w:t>111.62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356.26</w:t>
            </w:r>
          </w:p>
        </w:tc>
        <w:tc>
          <w:tcPr>
            <w:tcW w:w="1134" w:type="dxa"/>
            <w:vAlign w:val="center"/>
          </w:tcPr>
          <w:p>
            <w:pPr>
              <w:pStyle w:val="11"/>
            </w:pPr>
            <w:r>
              <w:t>356.26</w:t>
            </w:r>
          </w:p>
        </w:tc>
        <w:tc>
          <w:tcPr>
            <w:tcW w:w="1134" w:type="dxa"/>
            <w:vAlign w:val="center"/>
          </w:tcPr>
          <w:p>
            <w:pPr>
              <w:pStyle w:val="11"/>
            </w:pPr>
            <w:r>
              <w:t>356.26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356.26</w:t>
            </w:r>
          </w:p>
        </w:tc>
        <w:tc>
          <w:tcPr>
            <w:tcW w:w="1134" w:type="dxa"/>
            <w:vAlign w:val="center"/>
          </w:tcPr>
          <w:p>
            <w:pPr>
              <w:pStyle w:val="11"/>
            </w:pPr>
            <w:r>
              <w:t>356.26</w:t>
            </w:r>
          </w:p>
        </w:tc>
        <w:tc>
          <w:tcPr>
            <w:tcW w:w="1134" w:type="dxa"/>
            <w:vAlign w:val="center"/>
          </w:tcPr>
          <w:p>
            <w:pPr>
              <w:pStyle w:val="11"/>
            </w:pPr>
            <w:r>
              <w:t>356.26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256.14</w:t>
            </w:r>
          </w:p>
        </w:tc>
        <w:tc>
          <w:tcPr>
            <w:tcW w:w="1134" w:type="dxa"/>
            <w:vAlign w:val="center"/>
          </w:tcPr>
          <w:p>
            <w:pPr>
              <w:pStyle w:val="11"/>
            </w:pPr>
            <w:r>
              <w:t>256.14</w:t>
            </w:r>
          </w:p>
        </w:tc>
        <w:tc>
          <w:tcPr>
            <w:tcW w:w="1134" w:type="dxa"/>
            <w:vAlign w:val="center"/>
          </w:tcPr>
          <w:p>
            <w:pPr>
              <w:pStyle w:val="11"/>
            </w:pPr>
            <w:r>
              <w:t>256.14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94.12</w:t>
            </w:r>
          </w:p>
        </w:tc>
        <w:tc>
          <w:tcPr>
            <w:tcW w:w="1134" w:type="dxa"/>
            <w:vAlign w:val="center"/>
          </w:tcPr>
          <w:p>
            <w:pPr>
              <w:pStyle w:val="11"/>
            </w:pPr>
            <w:r>
              <w:t>94.12</w:t>
            </w:r>
          </w:p>
        </w:tc>
        <w:tc>
          <w:tcPr>
            <w:tcW w:w="1134" w:type="dxa"/>
            <w:vAlign w:val="center"/>
          </w:tcPr>
          <w:p>
            <w:pPr>
              <w:pStyle w:val="11"/>
            </w:pPr>
            <w:r>
              <w:t>94.12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67.99</w:t>
            </w:r>
          </w:p>
        </w:tc>
        <w:tc>
          <w:tcPr>
            <w:tcW w:w="1134" w:type="dxa"/>
            <w:vAlign w:val="center"/>
          </w:tcPr>
          <w:p>
            <w:pPr>
              <w:pStyle w:val="11"/>
            </w:pPr>
            <w:r>
              <w:t>67.99</w:t>
            </w:r>
          </w:p>
        </w:tc>
        <w:tc>
          <w:tcPr>
            <w:tcW w:w="1134" w:type="dxa"/>
            <w:vAlign w:val="center"/>
          </w:tcPr>
          <w:p>
            <w:pPr>
              <w:pStyle w:val="11"/>
            </w:pPr>
            <w:r>
              <w:t>67.99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67.99</w:t>
            </w:r>
          </w:p>
        </w:tc>
        <w:tc>
          <w:tcPr>
            <w:tcW w:w="1134" w:type="dxa"/>
            <w:vAlign w:val="center"/>
          </w:tcPr>
          <w:p>
            <w:pPr>
              <w:pStyle w:val="11"/>
            </w:pPr>
            <w:r>
              <w:t>67.99</w:t>
            </w:r>
          </w:p>
        </w:tc>
        <w:tc>
          <w:tcPr>
            <w:tcW w:w="1134" w:type="dxa"/>
            <w:vAlign w:val="center"/>
          </w:tcPr>
          <w:p>
            <w:pPr>
              <w:pStyle w:val="11"/>
            </w:pPr>
            <w:r>
              <w:t>67.99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67.99</w:t>
            </w:r>
          </w:p>
        </w:tc>
        <w:tc>
          <w:tcPr>
            <w:tcW w:w="1134" w:type="dxa"/>
            <w:vAlign w:val="center"/>
          </w:tcPr>
          <w:p>
            <w:pPr>
              <w:pStyle w:val="11"/>
            </w:pPr>
            <w:r>
              <w:t>67.99</w:t>
            </w:r>
          </w:p>
        </w:tc>
        <w:tc>
          <w:tcPr>
            <w:tcW w:w="1134" w:type="dxa"/>
            <w:vAlign w:val="center"/>
          </w:tcPr>
          <w:p>
            <w:pPr>
              <w:pStyle w:val="11"/>
            </w:pPr>
            <w:r>
              <w:t>67.99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90.44</w:t>
            </w:r>
          </w:p>
        </w:tc>
        <w:tc>
          <w:tcPr>
            <w:tcW w:w="1134" w:type="dxa"/>
            <w:vAlign w:val="center"/>
          </w:tcPr>
          <w:p>
            <w:pPr>
              <w:pStyle w:val="11"/>
            </w:pPr>
            <w:r>
              <w:t>90.44</w:t>
            </w:r>
          </w:p>
        </w:tc>
        <w:tc>
          <w:tcPr>
            <w:tcW w:w="1134" w:type="dxa"/>
            <w:vAlign w:val="center"/>
          </w:tcPr>
          <w:p>
            <w:pPr>
              <w:pStyle w:val="11"/>
            </w:pPr>
            <w:r>
              <w:t>90.44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90.44</w:t>
            </w:r>
          </w:p>
        </w:tc>
        <w:tc>
          <w:tcPr>
            <w:tcW w:w="1134" w:type="dxa"/>
            <w:vAlign w:val="center"/>
          </w:tcPr>
          <w:p>
            <w:pPr>
              <w:pStyle w:val="11"/>
            </w:pPr>
            <w:r>
              <w:t>90.44</w:t>
            </w:r>
          </w:p>
        </w:tc>
        <w:tc>
          <w:tcPr>
            <w:tcW w:w="1134" w:type="dxa"/>
            <w:vAlign w:val="center"/>
          </w:tcPr>
          <w:p>
            <w:pPr>
              <w:pStyle w:val="11"/>
            </w:pPr>
            <w:r>
              <w:t>90.44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90.44</w:t>
            </w:r>
          </w:p>
        </w:tc>
        <w:tc>
          <w:tcPr>
            <w:tcW w:w="1134" w:type="dxa"/>
            <w:vAlign w:val="center"/>
          </w:tcPr>
          <w:p>
            <w:pPr>
              <w:pStyle w:val="11"/>
            </w:pPr>
            <w:r>
              <w:t>90.44</w:t>
            </w:r>
          </w:p>
        </w:tc>
        <w:tc>
          <w:tcPr>
            <w:tcW w:w="1134" w:type="dxa"/>
            <w:vAlign w:val="center"/>
          </w:tcPr>
          <w:p>
            <w:pPr>
              <w:pStyle w:val="11"/>
            </w:pPr>
            <w:r>
              <w:t>90.44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521001石家庄市桥西区振头街道办事处本级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3118.63</w:t>
            </w:r>
          </w:p>
        </w:tc>
        <w:tc>
          <w:tcPr>
            <w:tcW w:w="1361" w:type="dxa"/>
            <w:vAlign w:val="center"/>
          </w:tcPr>
          <w:p>
            <w:pPr>
              <w:pStyle w:val="15"/>
            </w:pPr>
            <w:r>
              <w:t>2723.56</w:t>
            </w:r>
          </w:p>
        </w:tc>
        <w:tc>
          <w:tcPr>
            <w:tcW w:w="1361" w:type="dxa"/>
            <w:vAlign w:val="center"/>
          </w:tcPr>
          <w:p>
            <w:pPr>
              <w:pStyle w:val="15"/>
            </w:pPr>
            <w:r>
              <w:t>395.07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2601.94</w:t>
            </w:r>
          </w:p>
        </w:tc>
        <w:tc>
          <w:tcPr>
            <w:tcW w:w="1361" w:type="dxa"/>
            <w:vAlign w:val="center"/>
          </w:tcPr>
          <w:p>
            <w:pPr>
              <w:pStyle w:val="11"/>
            </w:pPr>
            <w:r>
              <w:t>2208.87</w:t>
            </w:r>
          </w:p>
        </w:tc>
        <w:tc>
          <w:tcPr>
            <w:tcW w:w="1361" w:type="dxa"/>
            <w:vAlign w:val="center"/>
          </w:tcPr>
          <w:p>
            <w:pPr>
              <w:pStyle w:val="11"/>
            </w:pPr>
            <w:r>
              <w:t>393.07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1.19</w:t>
            </w:r>
          </w:p>
        </w:tc>
        <w:tc>
          <w:tcPr>
            <w:tcW w:w="1361" w:type="dxa"/>
            <w:vAlign w:val="center"/>
          </w:tcPr>
          <w:p>
            <w:pPr>
              <w:pStyle w:val="11"/>
            </w:pPr>
            <w:r>
              <w:t>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1.19</w:t>
            </w:r>
          </w:p>
        </w:tc>
        <w:tc>
          <w:tcPr>
            <w:tcW w:w="1361" w:type="dxa"/>
            <w:vAlign w:val="center"/>
          </w:tcPr>
          <w:p>
            <w:pPr>
              <w:pStyle w:val="11"/>
            </w:pPr>
            <w:r>
              <w:t>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2489.14</w:t>
            </w:r>
          </w:p>
        </w:tc>
        <w:tc>
          <w:tcPr>
            <w:tcW w:w="1361" w:type="dxa"/>
            <w:vAlign w:val="center"/>
          </w:tcPr>
          <w:p>
            <w:pPr>
              <w:pStyle w:val="11"/>
            </w:pPr>
            <w:r>
              <w:t>2207.68</w:t>
            </w:r>
          </w:p>
        </w:tc>
        <w:tc>
          <w:tcPr>
            <w:tcW w:w="1361" w:type="dxa"/>
            <w:vAlign w:val="center"/>
          </w:tcPr>
          <w:p>
            <w:pPr>
              <w:pStyle w:val="11"/>
            </w:pPr>
            <w:r>
              <w:t>281.45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2207.68</w:t>
            </w:r>
          </w:p>
        </w:tc>
        <w:tc>
          <w:tcPr>
            <w:tcW w:w="1361" w:type="dxa"/>
            <w:vAlign w:val="center"/>
          </w:tcPr>
          <w:p>
            <w:pPr>
              <w:pStyle w:val="11"/>
            </w:pPr>
            <w:r>
              <w:t>2207.68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281.45</w:t>
            </w:r>
          </w:p>
        </w:tc>
        <w:tc>
          <w:tcPr>
            <w:tcW w:w="1361" w:type="dxa"/>
            <w:vAlign w:val="center"/>
          </w:tcPr>
          <w:p>
            <w:pPr>
              <w:pStyle w:val="11"/>
            </w:pPr>
          </w:p>
        </w:tc>
        <w:tc>
          <w:tcPr>
            <w:tcW w:w="1361" w:type="dxa"/>
            <w:vAlign w:val="center"/>
          </w:tcPr>
          <w:p>
            <w:pPr>
              <w:pStyle w:val="11"/>
            </w:pPr>
            <w:r>
              <w:t>281.45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111.62</w:t>
            </w:r>
          </w:p>
        </w:tc>
        <w:tc>
          <w:tcPr>
            <w:tcW w:w="1361" w:type="dxa"/>
            <w:vAlign w:val="center"/>
          </w:tcPr>
          <w:p>
            <w:pPr>
              <w:pStyle w:val="11"/>
            </w:pPr>
          </w:p>
        </w:tc>
        <w:tc>
          <w:tcPr>
            <w:tcW w:w="1361" w:type="dxa"/>
            <w:vAlign w:val="center"/>
          </w:tcPr>
          <w:p>
            <w:pPr>
              <w:pStyle w:val="11"/>
            </w:pPr>
            <w:r>
              <w:t>111.62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2013299</w:t>
            </w:r>
          </w:p>
        </w:tc>
        <w:tc>
          <w:tcPr>
            <w:tcW w:w="4535" w:type="dxa"/>
            <w:vAlign w:val="center"/>
          </w:tcPr>
          <w:p>
            <w:pPr>
              <w:pStyle w:val="12"/>
            </w:pPr>
            <w:r>
              <w:t>其他组织事务支出</w:t>
            </w:r>
          </w:p>
        </w:tc>
        <w:tc>
          <w:tcPr>
            <w:tcW w:w="1361" w:type="dxa"/>
            <w:vAlign w:val="center"/>
          </w:tcPr>
          <w:p>
            <w:pPr>
              <w:pStyle w:val="11"/>
            </w:pPr>
            <w:r>
              <w:t>111.62</w:t>
            </w:r>
          </w:p>
        </w:tc>
        <w:tc>
          <w:tcPr>
            <w:tcW w:w="1361" w:type="dxa"/>
            <w:vAlign w:val="center"/>
          </w:tcPr>
          <w:p>
            <w:pPr>
              <w:pStyle w:val="11"/>
            </w:pPr>
          </w:p>
        </w:tc>
        <w:tc>
          <w:tcPr>
            <w:tcW w:w="1361" w:type="dxa"/>
            <w:vAlign w:val="center"/>
          </w:tcPr>
          <w:p>
            <w:pPr>
              <w:pStyle w:val="11"/>
            </w:pPr>
            <w:r>
              <w:t>111.62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356.26</w:t>
            </w:r>
          </w:p>
        </w:tc>
        <w:tc>
          <w:tcPr>
            <w:tcW w:w="1361" w:type="dxa"/>
            <w:vAlign w:val="center"/>
          </w:tcPr>
          <w:p>
            <w:pPr>
              <w:pStyle w:val="11"/>
            </w:pPr>
            <w:r>
              <w:t>356.26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356.26</w:t>
            </w:r>
          </w:p>
        </w:tc>
        <w:tc>
          <w:tcPr>
            <w:tcW w:w="1361" w:type="dxa"/>
            <w:vAlign w:val="center"/>
          </w:tcPr>
          <w:p>
            <w:pPr>
              <w:pStyle w:val="11"/>
            </w:pPr>
            <w:r>
              <w:t>356.26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256.14</w:t>
            </w:r>
          </w:p>
        </w:tc>
        <w:tc>
          <w:tcPr>
            <w:tcW w:w="1361" w:type="dxa"/>
            <w:vAlign w:val="center"/>
          </w:tcPr>
          <w:p>
            <w:pPr>
              <w:pStyle w:val="11"/>
            </w:pPr>
            <w:r>
              <w:t>256.14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94.12</w:t>
            </w:r>
          </w:p>
        </w:tc>
        <w:tc>
          <w:tcPr>
            <w:tcW w:w="1361" w:type="dxa"/>
            <w:vAlign w:val="center"/>
          </w:tcPr>
          <w:p>
            <w:pPr>
              <w:pStyle w:val="11"/>
            </w:pPr>
            <w:r>
              <w:t>94.12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67.99</w:t>
            </w:r>
          </w:p>
        </w:tc>
        <w:tc>
          <w:tcPr>
            <w:tcW w:w="1361" w:type="dxa"/>
            <w:vAlign w:val="center"/>
          </w:tcPr>
          <w:p>
            <w:pPr>
              <w:pStyle w:val="11"/>
            </w:pPr>
            <w:r>
              <w:t>67.99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67.99</w:t>
            </w:r>
          </w:p>
        </w:tc>
        <w:tc>
          <w:tcPr>
            <w:tcW w:w="1361" w:type="dxa"/>
            <w:vAlign w:val="center"/>
          </w:tcPr>
          <w:p>
            <w:pPr>
              <w:pStyle w:val="11"/>
            </w:pPr>
            <w:r>
              <w:t>67.99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67.99</w:t>
            </w:r>
          </w:p>
        </w:tc>
        <w:tc>
          <w:tcPr>
            <w:tcW w:w="1361" w:type="dxa"/>
            <w:vAlign w:val="center"/>
          </w:tcPr>
          <w:p>
            <w:pPr>
              <w:pStyle w:val="11"/>
            </w:pPr>
            <w:r>
              <w:t>67.99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90.44</w:t>
            </w:r>
          </w:p>
        </w:tc>
        <w:tc>
          <w:tcPr>
            <w:tcW w:w="1361" w:type="dxa"/>
            <w:vAlign w:val="center"/>
          </w:tcPr>
          <w:p>
            <w:pPr>
              <w:pStyle w:val="11"/>
            </w:pPr>
            <w:r>
              <w:t>90.44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90.44</w:t>
            </w:r>
          </w:p>
        </w:tc>
        <w:tc>
          <w:tcPr>
            <w:tcW w:w="1361" w:type="dxa"/>
            <w:vAlign w:val="center"/>
          </w:tcPr>
          <w:p>
            <w:pPr>
              <w:pStyle w:val="11"/>
            </w:pPr>
            <w:r>
              <w:t>90.44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90.44</w:t>
            </w:r>
          </w:p>
        </w:tc>
        <w:tc>
          <w:tcPr>
            <w:tcW w:w="1361" w:type="dxa"/>
            <w:vAlign w:val="center"/>
          </w:tcPr>
          <w:p>
            <w:pPr>
              <w:pStyle w:val="11"/>
            </w:pPr>
            <w:r>
              <w:t>90.44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521001石家庄市桥西区振头街道办事处本级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3007.0</w:t>
            </w:r>
            <w:r>
              <w:rPr>
                <w:rFonts w:hint="eastAsia"/>
                <w:lang w:val="en-US" w:eastAsia="zh-CN"/>
              </w:rPr>
              <w:t>1</w:t>
            </w:r>
          </w:p>
        </w:tc>
        <w:tc>
          <w:tcPr>
            <w:tcW w:w="3402" w:type="dxa"/>
            <w:vAlign w:val="center"/>
          </w:tcPr>
          <w:p>
            <w:pPr>
              <w:pStyle w:val="12"/>
            </w:pPr>
            <w:r>
              <w:t>一、一般公共服务支出</w:t>
            </w:r>
          </w:p>
        </w:tc>
        <w:tc>
          <w:tcPr>
            <w:tcW w:w="1474" w:type="dxa"/>
            <w:vAlign w:val="center"/>
          </w:tcPr>
          <w:p>
            <w:pPr>
              <w:pStyle w:val="11"/>
            </w:pPr>
            <w:r>
              <w:t>2601.94</w:t>
            </w:r>
          </w:p>
        </w:tc>
        <w:tc>
          <w:tcPr>
            <w:tcW w:w="1474" w:type="dxa"/>
            <w:vAlign w:val="center"/>
          </w:tcPr>
          <w:p>
            <w:pPr>
              <w:pStyle w:val="11"/>
            </w:pPr>
            <w:r>
              <w:t>2601.94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2.00</w:t>
            </w:r>
          </w:p>
        </w:tc>
        <w:tc>
          <w:tcPr>
            <w:tcW w:w="1474" w:type="dxa"/>
            <w:vAlign w:val="center"/>
          </w:tcPr>
          <w:p>
            <w:pPr>
              <w:pStyle w:val="11"/>
            </w:pPr>
            <w:r>
              <w:t>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356.26</w:t>
            </w:r>
          </w:p>
        </w:tc>
        <w:tc>
          <w:tcPr>
            <w:tcW w:w="1474" w:type="dxa"/>
            <w:vAlign w:val="center"/>
          </w:tcPr>
          <w:p>
            <w:pPr>
              <w:pStyle w:val="11"/>
            </w:pPr>
            <w:r>
              <w:t>356.26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67.99</w:t>
            </w:r>
          </w:p>
        </w:tc>
        <w:tc>
          <w:tcPr>
            <w:tcW w:w="1474" w:type="dxa"/>
            <w:vAlign w:val="center"/>
          </w:tcPr>
          <w:p>
            <w:pPr>
              <w:pStyle w:val="11"/>
            </w:pPr>
            <w:r>
              <w:t>67.99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90.44</w:t>
            </w:r>
          </w:p>
        </w:tc>
        <w:tc>
          <w:tcPr>
            <w:tcW w:w="1474" w:type="dxa"/>
            <w:vAlign w:val="center"/>
          </w:tcPr>
          <w:p>
            <w:pPr>
              <w:pStyle w:val="11"/>
            </w:pPr>
            <w:r>
              <w:t>90.44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bookmarkStart w:id="1" w:name="_GoBack"/>
            <w:bookmarkEnd w:id="1"/>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3007.0</w:t>
            </w:r>
            <w:r>
              <w:rPr>
                <w:rFonts w:hint="eastAsia"/>
                <w:lang w:val="en-US" w:eastAsia="zh-CN"/>
              </w:rPr>
              <w:t>1</w:t>
            </w:r>
          </w:p>
        </w:tc>
        <w:tc>
          <w:tcPr>
            <w:tcW w:w="3402" w:type="dxa"/>
            <w:vAlign w:val="center"/>
          </w:tcPr>
          <w:p>
            <w:pPr>
              <w:pStyle w:val="14"/>
            </w:pPr>
            <w:r>
              <w:t>本年支出合计</w:t>
            </w:r>
          </w:p>
        </w:tc>
        <w:tc>
          <w:tcPr>
            <w:tcW w:w="1474" w:type="dxa"/>
            <w:vAlign w:val="center"/>
          </w:tcPr>
          <w:p>
            <w:pPr>
              <w:pStyle w:val="15"/>
            </w:pPr>
            <w:r>
              <w:t>3118.63</w:t>
            </w:r>
          </w:p>
        </w:tc>
        <w:tc>
          <w:tcPr>
            <w:tcW w:w="1474" w:type="dxa"/>
            <w:vAlign w:val="center"/>
          </w:tcPr>
          <w:p>
            <w:pPr>
              <w:pStyle w:val="15"/>
            </w:pPr>
            <w:r>
              <w:t>3118.63</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111.62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111.62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3118.63</w:t>
            </w:r>
          </w:p>
        </w:tc>
        <w:tc>
          <w:tcPr>
            <w:tcW w:w="3402" w:type="dxa"/>
            <w:vAlign w:val="center"/>
          </w:tcPr>
          <w:p>
            <w:pPr>
              <w:pStyle w:val="14"/>
            </w:pPr>
            <w:r>
              <w:t>支出总计</w:t>
            </w:r>
          </w:p>
        </w:tc>
        <w:tc>
          <w:tcPr>
            <w:tcW w:w="1474" w:type="dxa"/>
            <w:vAlign w:val="center"/>
          </w:tcPr>
          <w:p>
            <w:pPr>
              <w:pStyle w:val="15"/>
            </w:pPr>
            <w:r>
              <w:t>3118.63</w:t>
            </w:r>
          </w:p>
        </w:tc>
        <w:tc>
          <w:tcPr>
            <w:tcW w:w="1474" w:type="dxa"/>
            <w:vAlign w:val="center"/>
          </w:tcPr>
          <w:p>
            <w:pPr>
              <w:pStyle w:val="15"/>
            </w:pPr>
            <w:r>
              <w:t>3118.63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521001石家庄市桥西区振头街道办事处本级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3118.63</w:t>
            </w:r>
          </w:p>
        </w:tc>
        <w:tc>
          <w:tcPr>
            <w:tcW w:w="2551" w:type="dxa"/>
            <w:vAlign w:val="center"/>
          </w:tcPr>
          <w:p>
            <w:pPr>
              <w:pStyle w:val="15"/>
            </w:pPr>
            <w:r>
              <w:t>2723.56</w:t>
            </w:r>
          </w:p>
        </w:tc>
        <w:tc>
          <w:tcPr>
            <w:tcW w:w="2551" w:type="dxa"/>
            <w:vAlign w:val="center"/>
          </w:tcPr>
          <w:p>
            <w:pPr>
              <w:pStyle w:val="15"/>
            </w:pPr>
            <w:r>
              <w:t>395.07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2601.94</w:t>
            </w:r>
          </w:p>
        </w:tc>
        <w:tc>
          <w:tcPr>
            <w:tcW w:w="2551" w:type="dxa"/>
            <w:vAlign w:val="center"/>
          </w:tcPr>
          <w:p>
            <w:pPr>
              <w:pStyle w:val="11"/>
            </w:pPr>
            <w:r>
              <w:t>2208.87</w:t>
            </w:r>
          </w:p>
        </w:tc>
        <w:tc>
          <w:tcPr>
            <w:tcW w:w="2551" w:type="dxa"/>
            <w:vAlign w:val="center"/>
          </w:tcPr>
          <w:p>
            <w:pPr>
              <w:pStyle w:val="11"/>
            </w:pPr>
            <w:r>
              <w:t>393.07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1.19</w:t>
            </w:r>
          </w:p>
        </w:tc>
        <w:tc>
          <w:tcPr>
            <w:tcW w:w="2551" w:type="dxa"/>
            <w:vAlign w:val="center"/>
          </w:tcPr>
          <w:p>
            <w:pPr>
              <w:pStyle w:val="11"/>
            </w:pPr>
            <w:r>
              <w:t>1.19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1.19</w:t>
            </w:r>
          </w:p>
        </w:tc>
        <w:tc>
          <w:tcPr>
            <w:tcW w:w="2551" w:type="dxa"/>
            <w:vAlign w:val="center"/>
          </w:tcPr>
          <w:p>
            <w:pPr>
              <w:pStyle w:val="11"/>
            </w:pPr>
            <w:r>
              <w:t>1.19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2489.14</w:t>
            </w:r>
          </w:p>
        </w:tc>
        <w:tc>
          <w:tcPr>
            <w:tcW w:w="2551" w:type="dxa"/>
            <w:vAlign w:val="center"/>
          </w:tcPr>
          <w:p>
            <w:pPr>
              <w:pStyle w:val="11"/>
            </w:pPr>
            <w:r>
              <w:t>2207.68</w:t>
            </w:r>
          </w:p>
        </w:tc>
        <w:tc>
          <w:tcPr>
            <w:tcW w:w="2551" w:type="dxa"/>
            <w:vAlign w:val="center"/>
          </w:tcPr>
          <w:p>
            <w:pPr>
              <w:pStyle w:val="11"/>
            </w:pPr>
            <w:r>
              <w:t>281.45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2207.68</w:t>
            </w:r>
          </w:p>
        </w:tc>
        <w:tc>
          <w:tcPr>
            <w:tcW w:w="2551" w:type="dxa"/>
            <w:vAlign w:val="center"/>
          </w:tcPr>
          <w:p>
            <w:pPr>
              <w:pStyle w:val="11"/>
            </w:pPr>
            <w:r>
              <w:t>2207.68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281.45</w:t>
            </w:r>
          </w:p>
        </w:tc>
        <w:tc>
          <w:tcPr>
            <w:tcW w:w="2551" w:type="dxa"/>
            <w:vAlign w:val="center"/>
          </w:tcPr>
          <w:p>
            <w:pPr>
              <w:pStyle w:val="11"/>
            </w:pPr>
          </w:p>
        </w:tc>
        <w:tc>
          <w:tcPr>
            <w:tcW w:w="2551" w:type="dxa"/>
            <w:vAlign w:val="center"/>
          </w:tcPr>
          <w:p>
            <w:pPr>
              <w:pStyle w:val="11"/>
            </w:pPr>
            <w:r>
              <w:t>281.45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20132</w:t>
            </w:r>
          </w:p>
        </w:tc>
        <w:tc>
          <w:tcPr>
            <w:tcW w:w="4535" w:type="dxa"/>
            <w:vAlign w:val="center"/>
          </w:tcPr>
          <w:p>
            <w:pPr>
              <w:pStyle w:val="12"/>
            </w:pPr>
            <w:r>
              <w:t>组织事务</w:t>
            </w:r>
          </w:p>
        </w:tc>
        <w:tc>
          <w:tcPr>
            <w:tcW w:w="2551" w:type="dxa"/>
            <w:vAlign w:val="center"/>
          </w:tcPr>
          <w:p>
            <w:pPr>
              <w:pStyle w:val="11"/>
            </w:pPr>
            <w:r>
              <w:t>111.62</w:t>
            </w:r>
          </w:p>
        </w:tc>
        <w:tc>
          <w:tcPr>
            <w:tcW w:w="2551" w:type="dxa"/>
            <w:vAlign w:val="center"/>
          </w:tcPr>
          <w:p>
            <w:pPr>
              <w:pStyle w:val="11"/>
            </w:pPr>
          </w:p>
        </w:tc>
        <w:tc>
          <w:tcPr>
            <w:tcW w:w="2551" w:type="dxa"/>
            <w:vAlign w:val="center"/>
          </w:tcPr>
          <w:p>
            <w:pPr>
              <w:pStyle w:val="11"/>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2013299</w:t>
            </w:r>
          </w:p>
        </w:tc>
        <w:tc>
          <w:tcPr>
            <w:tcW w:w="4535" w:type="dxa"/>
            <w:vAlign w:val="center"/>
          </w:tcPr>
          <w:p>
            <w:pPr>
              <w:pStyle w:val="12"/>
            </w:pPr>
            <w:r>
              <w:t>其他组织事务支出</w:t>
            </w:r>
          </w:p>
        </w:tc>
        <w:tc>
          <w:tcPr>
            <w:tcW w:w="2551" w:type="dxa"/>
            <w:vAlign w:val="center"/>
          </w:tcPr>
          <w:p>
            <w:pPr>
              <w:pStyle w:val="11"/>
            </w:pPr>
            <w:r>
              <w:t>111.62</w:t>
            </w:r>
          </w:p>
        </w:tc>
        <w:tc>
          <w:tcPr>
            <w:tcW w:w="2551" w:type="dxa"/>
            <w:vAlign w:val="center"/>
          </w:tcPr>
          <w:p>
            <w:pPr>
              <w:pStyle w:val="11"/>
            </w:pPr>
          </w:p>
        </w:tc>
        <w:tc>
          <w:tcPr>
            <w:tcW w:w="2551" w:type="dxa"/>
            <w:vAlign w:val="center"/>
          </w:tcPr>
          <w:p>
            <w:pPr>
              <w:pStyle w:val="11"/>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356.26</w:t>
            </w:r>
          </w:p>
        </w:tc>
        <w:tc>
          <w:tcPr>
            <w:tcW w:w="2551" w:type="dxa"/>
            <w:vAlign w:val="center"/>
          </w:tcPr>
          <w:p>
            <w:pPr>
              <w:pStyle w:val="11"/>
            </w:pPr>
            <w:r>
              <w:t>356.26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356.26</w:t>
            </w:r>
          </w:p>
        </w:tc>
        <w:tc>
          <w:tcPr>
            <w:tcW w:w="2551" w:type="dxa"/>
            <w:vAlign w:val="center"/>
          </w:tcPr>
          <w:p>
            <w:pPr>
              <w:pStyle w:val="11"/>
            </w:pPr>
            <w:r>
              <w:t>356.26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256.14</w:t>
            </w:r>
          </w:p>
        </w:tc>
        <w:tc>
          <w:tcPr>
            <w:tcW w:w="2551" w:type="dxa"/>
            <w:vAlign w:val="center"/>
          </w:tcPr>
          <w:p>
            <w:pPr>
              <w:pStyle w:val="11"/>
            </w:pPr>
            <w:r>
              <w:t>256.14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94.12</w:t>
            </w:r>
          </w:p>
        </w:tc>
        <w:tc>
          <w:tcPr>
            <w:tcW w:w="2551" w:type="dxa"/>
            <w:vAlign w:val="center"/>
          </w:tcPr>
          <w:p>
            <w:pPr>
              <w:pStyle w:val="11"/>
            </w:pPr>
            <w:r>
              <w:t>94.12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67.99</w:t>
            </w:r>
          </w:p>
        </w:tc>
        <w:tc>
          <w:tcPr>
            <w:tcW w:w="2551" w:type="dxa"/>
            <w:vAlign w:val="center"/>
          </w:tcPr>
          <w:p>
            <w:pPr>
              <w:pStyle w:val="11"/>
            </w:pPr>
            <w:r>
              <w:t>67.99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67.99</w:t>
            </w:r>
          </w:p>
        </w:tc>
        <w:tc>
          <w:tcPr>
            <w:tcW w:w="2551" w:type="dxa"/>
            <w:vAlign w:val="center"/>
          </w:tcPr>
          <w:p>
            <w:pPr>
              <w:pStyle w:val="11"/>
            </w:pPr>
            <w:r>
              <w:t>67.99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67.99</w:t>
            </w:r>
          </w:p>
        </w:tc>
        <w:tc>
          <w:tcPr>
            <w:tcW w:w="2551" w:type="dxa"/>
            <w:vAlign w:val="center"/>
          </w:tcPr>
          <w:p>
            <w:pPr>
              <w:pStyle w:val="11"/>
            </w:pPr>
            <w:r>
              <w:t>67.99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90.44</w:t>
            </w:r>
          </w:p>
        </w:tc>
        <w:tc>
          <w:tcPr>
            <w:tcW w:w="2551" w:type="dxa"/>
            <w:vAlign w:val="center"/>
          </w:tcPr>
          <w:p>
            <w:pPr>
              <w:pStyle w:val="11"/>
            </w:pPr>
            <w:r>
              <w:t>90.44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90.44</w:t>
            </w:r>
          </w:p>
        </w:tc>
        <w:tc>
          <w:tcPr>
            <w:tcW w:w="2551" w:type="dxa"/>
            <w:vAlign w:val="center"/>
          </w:tcPr>
          <w:p>
            <w:pPr>
              <w:pStyle w:val="11"/>
            </w:pPr>
            <w:r>
              <w:t>90.44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90.44</w:t>
            </w:r>
          </w:p>
        </w:tc>
        <w:tc>
          <w:tcPr>
            <w:tcW w:w="2551" w:type="dxa"/>
            <w:vAlign w:val="center"/>
          </w:tcPr>
          <w:p>
            <w:pPr>
              <w:pStyle w:val="11"/>
            </w:pPr>
            <w:r>
              <w:t>90.44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521001石家庄市桥西区振头街道办事处本级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2723.56</w:t>
            </w:r>
          </w:p>
        </w:tc>
        <w:tc>
          <w:tcPr>
            <w:tcW w:w="2551" w:type="dxa"/>
            <w:vAlign w:val="center"/>
          </w:tcPr>
          <w:p>
            <w:pPr>
              <w:pStyle w:val="15"/>
            </w:pPr>
            <w:r>
              <w:t>2578.42</w:t>
            </w:r>
          </w:p>
        </w:tc>
        <w:tc>
          <w:tcPr>
            <w:tcW w:w="2551" w:type="dxa"/>
            <w:vAlign w:val="center"/>
          </w:tcPr>
          <w:p>
            <w:pPr>
              <w:pStyle w:val="15"/>
            </w:pPr>
            <w:r>
              <w:t>145.14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2325.20</w:t>
            </w:r>
          </w:p>
        </w:tc>
        <w:tc>
          <w:tcPr>
            <w:tcW w:w="2551" w:type="dxa"/>
            <w:vAlign w:val="center"/>
          </w:tcPr>
          <w:p>
            <w:pPr>
              <w:pStyle w:val="11"/>
            </w:pPr>
            <w:r>
              <w:t>2325.20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254.77</w:t>
            </w:r>
          </w:p>
        </w:tc>
        <w:tc>
          <w:tcPr>
            <w:tcW w:w="2551" w:type="dxa"/>
            <w:vAlign w:val="center"/>
          </w:tcPr>
          <w:p>
            <w:pPr>
              <w:pStyle w:val="11"/>
            </w:pPr>
            <w:r>
              <w:t>254.77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135.68</w:t>
            </w:r>
          </w:p>
        </w:tc>
        <w:tc>
          <w:tcPr>
            <w:tcW w:w="2551" w:type="dxa"/>
            <w:vAlign w:val="center"/>
          </w:tcPr>
          <w:p>
            <w:pPr>
              <w:pStyle w:val="11"/>
            </w:pPr>
            <w:r>
              <w:t>135.68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187.43</w:t>
            </w:r>
          </w:p>
        </w:tc>
        <w:tc>
          <w:tcPr>
            <w:tcW w:w="2551" w:type="dxa"/>
            <w:vAlign w:val="center"/>
          </w:tcPr>
          <w:p>
            <w:pPr>
              <w:pStyle w:val="11"/>
            </w:pPr>
            <w:r>
              <w:t>187.43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162.53</w:t>
            </w:r>
          </w:p>
        </w:tc>
        <w:tc>
          <w:tcPr>
            <w:tcW w:w="2551" w:type="dxa"/>
            <w:vAlign w:val="center"/>
          </w:tcPr>
          <w:p>
            <w:pPr>
              <w:pStyle w:val="11"/>
            </w:pPr>
            <w:r>
              <w:t>162.53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94.12</w:t>
            </w:r>
          </w:p>
        </w:tc>
        <w:tc>
          <w:tcPr>
            <w:tcW w:w="2551" w:type="dxa"/>
            <w:vAlign w:val="center"/>
          </w:tcPr>
          <w:p>
            <w:pPr>
              <w:pStyle w:val="11"/>
            </w:pPr>
            <w:r>
              <w:t>94.12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53.36</w:t>
            </w:r>
          </w:p>
        </w:tc>
        <w:tc>
          <w:tcPr>
            <w:tcW w:w="2551" w:type="dxa"/>
            <w:vAlign w:val="center"/>
          </w:tcPr>
          <w:p>
            <w:pPr>
              <w:pStyle w:val="11"/>
            </w:pPr>
            <w:r>
              <w:t>53.36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14.63</w:t>
            </w:r>
          </w:p>
        </w:tc>
        <w:tc>
          <w:tcPr>
            <w:tcW w:w="2551" w:type="dxa"/>
            <w:vAlign w:val="center"/>
          </w:tcPr>
          <w:p>
            <w:pPr>
              <w:pStyle w:val="11"/>
            </w:pPr>
            <w:r>
              <w:t>14.63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4.10</w:t>
            </w:r>
          </w:p>
        </w:tc>
        <w:tc>
          <w:tcPr>
            <w:tcW w:w="2551" w:type="dxa"/>
            <w:vAlign w:val="center"/>
          </w:tcPr>
          <w:p>
            <w:pPr>
              <w:pStyle w:val="11"/>
            </w:pPr>
            <w:r>
              <w:t>4.10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90.44</w:t>
            </w:r>
          </w:p>
        </w:tc>
        <w:tc>
          <w:tcPr>
            <w:tcW w:w="2551" w:type="dxa"/>
            <w:vAlign w:val="center"/>
          </w:tcPr>
          <w:p>
            <w:pPr>
              <w:pStyle w:val="11"/>
            </w:pPr>
            <w:r>
              <w:t>90.44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1322.14</w:t>
            </w:r>
          </w:p>
        </w:tc>
        <w:tc>
          <w:tcPr>
            <w:tcW w:w="2551" w:type="dxa"/>
            <w:vAlign w:val="center"/>
          </w:tcPr>
          <w:p>
            <w:pPr>
              <w:pStyle w:val="11"/>
            </w:pPr>
            <w:r>
              <w:t>1322.14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145.14</w:t>
            </w:r>
          </w:p>
        </w:tc>
        <w:tc>
          <w:tcPr>
            <w:tcW w:w="2551" w:type="dxa"/>
            <w:vAlign w:val="center"/>
          </w:tcPr>
          <w:p>
            <w:pPr>
              <w:pStyle w:val="11"/>
            </w:pPr>
          </w:p>
        </w:tc>
        <w:tc>
          <w:tcPr>
            <w:tcW w:w="2551" w:type="dxa"/>
            <w:vAlign w:val="center"/>
          </w:tcPr>
          <w:p>
            <w:pPr>
              <w:pStyle w:val="11"/>
            </w:pPr>
            <w:r>
              <w:t>145.14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18.81</w:t>
            </w:r>
          </w:p>
        </w:tc>
        <w:tc>
          <w:tcPr>
            <w:tcW w:w="2551" w:type="dxa"/>
            <w:vAlign w:val="center"/>
          </w:tcPr>
          <w:p>
            <w:pPr>
              <w:pStyle w:val="11"/>
            </w:pPr>
          </w:p>
        </w:tc>
        <w:tc>
          <w:tcPr>
            <w:tcW w:w="2551" w:type="dxa"/>
            <w:vAlign w:val="center"/>
          </w:tcPr>
          <w:p>
            <w:pPr>
              <w:pStyle w:val="11"/>
            </w:pPr>
            <w:r>
              <w:t>18.81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20.04</w:t>
            </w:r>
          </w:p>
        </w:tc>
        <w:tc>
          <w:tcPr>
            <w:tcW w:w="2551" w:type="dxa"/>
            <w:vAlign w:val="center"/>
          </w:tcPr>
          <w:p>
            <w:pPr>
              <w:pStyle w:val="11"/>
            </w:pPr>
          </w:p>
        </w:tc>
        <w:tc>
          <w:tcPr>
            <w:tcW w:w="2551" w:type="dxa"/>
            <w:vAlign w:val="center"/>
          </w:tcPr>
          <w:p>
            <w:pPr>
              <w:pStyle w:val="11"/>
            </w:pPr>
            <w:r>
              <w:t>20.04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15.72</w:t>
            </w:r>
          </w:p>
        </w:tc>
        <w:tc>
          <w:tcPr>
            <w:tcW w:w="2551" w:type="dxa"/>
            <w:vAlign w:val="center"/>
          </w:tcPr>
          <w:p>
            <w:pPr>
              <w:pStyle w:val="11"/>
            </w:pPr>
          </w:p>
        </w:tc>
        <w:tc>
          <w:tcPr>
            <w:tcW w:w="2551" w:type="dxa"/>
            <w:vAlign w:val="center"/>
          </w:tcPr>
          <w:p>
            <w:pPr>
              <w:pStyle w:val="11"/>
            </w:pPr>
            <w:r>
              <w:t>15.72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2.54</w:t>
            </w:r>
          </w:p>
        </w:tc>
        <w:tc>
          <w:tcPr>
            <w:tcW w:w="2551" w:type="dxa"/>
            <w:vAlign w:val="center"/>
          </w:tcPr>
          <w:p>
            <w:pPr>
              <w:pStyle w:val="11"/>
            </w:pPr>
          </w:p>
        </w:tc>
        <w:tc>
          <w:tcPr>
            <w:tcW w:w="2551" w:type="dxa"/>
            <w:vAlign w:val="center"/>
          </w:tcPr>
          <w:p>
            <w:pPr>
              <w:pStyle w:val="11"/>
            </w:pPr>
            <w:r>
              <w:t>2.54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9.06</w:t>
            </w:r>
          </w:p>
        </w:tc>
        <w:tc>
          <w:tcPr>
            <w:tcW w:w="2551" w:type="dxa"/>
            <w:vAlign w:val="center"/>
          </w:tcPr>
          <w:p>
            <w:pPr>
              <w:pStyle w:val="11"/>
            </w:pPr>
          </w:p>
        </w:tc>
        <w:tc>
          <w:tcPr>
            <w:tcW w:w="2551" w:type="dxa"/>
            <w:vAlign w:val="center"/>
          </w:tcPr>
          <w:p>
            <w:pPr>
              <w:pStyle w:val="11"/>
            </w:pPr>
            <w:r>
              <w:t>9.06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6.55</w:t>
            </w:r>
          </w:p>
        </w:tc>
        <w:tc>
          <w:tcPr>
            <w:tcW w:w="2551" w:type="dxa"/>
            <w:vAlign w:val="center"/>
          </w:tcPr>
          <w:p>
            <w:pPr>
              <w:pStyle w:val="11"/>
            </w:pPr>
          </w:p>
        </w:tc>
        <w:tc>
          <w:tcPr>
            <w:tcW w:w="2551" w:type="dxa"/>
            <w:vAlign w:val="center"/>
          </w:tcPr>
          <w:p>
            <w:pPr>
              <w:pStyle w:val="11"/>
            </w:pPr>
            <w:r>
              <w:t>6.55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16.86</w:t>
            </w:r>
          </w:p>
        </w:tc>
        <w:tc>
          <w:tcPr>
            <w:tcW w:w="2551" w:type="dxa"/>
            <w:vAlign w:val="center"/>
          </w:tcPr>
          <w:p>
            <w:pPr>
              <w:pStyle w:val="11"/>
            </w:pPr>
          </w:p>
        </w:tc>
        <w:tc>
          <w:tcPr>
            <w:tcW w:w="2551" w:type="dxa"/>
            <w:vAlign w:val="center"/>
          </w:tcPr>
          <w:p>
            <w:pPr>
              <w:pStyle w:val="11"/>
            </w:pPr>
            <w:r>
              <w:t>16.86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38.56</w:t>
            </w:r>
          </w:p>
        </w:tc>
        <w:tc>
          <w:tcPr>
            <w:tcW w:w="2551" w:type="dxa"/>
            <w:vAlign w:val="center"/>
          </w:tcPr>
          <w:p>
            <w:pPr>
              <w:pStyle w:val="11"/>
            </w:pPr>
          </w:p>
        </w:tc>
        <w:tc>
          <w:tcPr>
            <w:tcW w:w="2551" w:type="dxa"/>
            <w:vAlign w:val="center"/>
          </w:tcPr>
          <w:p>
            <w:pPr>
              <w:pStyle w:val="11"/>
            </w:pPr>
            <w:r>
              <w:t>38.56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253.22</w:t>
            </w:r>
          </w:p>
        </w:tc>
        <w:tc>
          <w:tcPr>
            <w:tcW w:w="2551" w:type="dxa"/>
            <w:vAlign w:val="center"/>
          </w:tcPr>
          <w:p>
            <w:pPr>
              <w:pStyle w:val="11"/>
            </w:pPr>
            <w:r>
              <w:t>253.22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249.05</w:t>
            </w:r>
          </w:p>
        </w:tc>
        <w:tc>
          <w:tcPr>
            <w:tcW w:w="2551" w:type="dxa"/>
            <w:vAlign w:val="center"/>
          </w:tcPr>
          <w:p>
            <w:pPr>
              <w:pStyle w:val="11"/>
            </w:pPr>
            <w:r>
              <w:t>249.05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2.07</w:t>
            </w:r>
          </w:p>
        </w:tc>
        <w:tc>
          <w:tcPr>
            <w:tcW w:w="2551" w:type="dxa"/>
            <w:vAlign w:val="center"/>
          </w:tcPr>
          <w:p>
            <w:pPr>
              <w:pStyle w:val="11"/>
            </w:pPr>
            <w:r>
              <w:t>2.07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2.10</w:t>
            </w:r>
          </w:p>
        </w:tc>
        <w:tc>
          <w:tcPr>
            <w:tcW w:w="2551" w:type="dxa"/>
            <w:vAlign w:val="center"/>
          </w:tcPr>
          <w:p>
            <w:pPr>
              <w:pStyle w:val="11"/>
            </w:pPr>
            <w:r>
              <w:t>2.10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521001石家庄市桥西区振头街道办事处本级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521001石家庄市桥西区振头街道办事处本级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521001石家庄市桥西区振头街道办事处本级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石家庄市桥西区振头街道办事处本级2025年单位预算信息公开情况说明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按照《中华人民共和国预算法》、《地方预决算公开操作规程》和《关于进一步推进预算公开工作的实施意见》规定，现将石家庄市桥西区振头街道办事处本级2025年单位预算公开如下：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1、宣传贯彻党的路线、方针、政策和国家的法律法规，执行上级党组织的决议、决定，协调辖区内社会单位团体、组织党员和群众，保证党和政府各项任务顺利完成。</w:t>
      </w:r>
    </w:p>
    <w:p>
      <w:pPr>
        <w:pStyle w:val="17"/>
      </w:pPr>
      <w:r>
        <w:t>2、以经济建设为中心，积极营造优良的经济社会发展环境，发展和培育区域经济，为辖区各类型企业搞好服务。</w:t>
      </w:r>
    </w:p>
    <w:p>
      <w:pPr>
        <w:pStyle w:val="17"/>
      </w:pPr>
      <w:r>
        <w:t>3、讨论决定本辖区（居）委会社区建设，精神文明建设、社会治安综合治理、人民武装等方面的重大问题，对区域性、公益性、社会性、群众性工作负全面责任。</w:t>
      </w:r>
    </w:p>
    <w:p>
      <w:pPr>
        <w:pStyle w:val="17"/>
      </w:pPr>
      <w:r>
        <w:t>4、领导人大工作室、街道办事处、武装部、工会、共青团、妇联等组织，支持和保证行政组织、经济组织和群众自治组织，依照法律和各自的章程充分行使职权，协调好各方面关系。</w:t>
      </w:r>
    </w:p>
    <w:p>
      <w:pPr>
        <w:pStyle w:val="17"/>
      </w:pPr>
      <w:r>
        <w:t>5、加强党组织的自身建设，充分发挥乡、社区党组织的领导核心作用、战斗堡垒作用和党员的先锋模范作用，加强对辖区内“两新”组织党组织的建设和领导，做好发展党员工作。</w:t>
      </w:r>
    </w:p>
    <w:p>
      <w:pPr>
        <w:pStyle w:val="17"/>
      </w:pPr>
      <w:r>
        <w:t>6、组织制</w:t>
      </w:r>
      <w:r>
        <w:rPr>
          <w:rFonts w:hint="eastAsia"/>
          <w:lang w:eastAsia="zh-CN"/>
        </w:rPr>
        <w:t>订</w:t>
      </w:r>
      <w:r>
        <w:t>街道（居）委会社区党的建设规划，协调、指导辖区单位党组织和党员积极参加街道、（居）委会政治生活。</w:t>
      </w:r>
    </w:p>
    <w:p>
      <w:pPr>
        <w:pStyle w:val="17"/>
      </w:pPr>
      <w:r>
        <w:t>7、按照干部管理权限，做好干部的教育、培养、选拔、推荐、考核、监督和奖惩工作。</w:t>
      </w:r>
    </w:p>
    <w:p>
      <w:pPr>
        <w:pStyle w:val="17"/>
      </w:pPr>
      <w:r>
        <w:t>8、领导辖区的思想政治工作和精神文明建设，对辖区单位参加市、区两级文明单位评选和在职党员在本单位以及市、区级评优签署意见。</w:t>
      </w:r>
    </w:p>
    <w:p>
      <w:pPr>
        <w:pStyle w:val="17"/>
      </w:pPr>
      <w:r>
        <w:t>9、密切联系群众，做好群众工作，搞好信访、矛盾纠纷排查治理工作，及时妥善处理人民内部矛盾，化解各种不稳定因素，确保辖区的政治稳定和社会安定。</w:t>
      </w:r>
    </w:p>
    <w:p>
      <w:pPr>
        <w:pStyle w:val="17"/>
      </w:pPr>
      <w:r>
        <w:t>10、负责（居）委会政权建设、组织换届和拥军优属、优抚救济、民族宗教、地名管理、助残及殡葬管理工作。</w:t>
      </w:r>
    </w:p>
    <w:p>
      <w:pPr>
        <w:pStyle w:val="17"/>
      </w:pPr>
      <w:r>
        <w:t>11、落实全区经济社会发展规划，认真完成所承担的经济社会各项指标和任务，营造优良的区域发展环境，培育壮大区域经济和税源经济。</w:t>
      </w:r>
    </w:p>
    <w:p>
      <w:pPr>
        <w:pStyle w:val="17"/>
      </w:pPr>
      <w:r>
        <w:t>12、负责在地统计，主要是分管单位统计资料的采集、审核、汇总上报及相关统计管理工作。</w:t>
      </w:r>
    </w:p>
    <w:p>
      <w:pPr>
        <w:pStyle w:val="17"/>
      </w:pPr>
      <w:r>
        <w:t>13、协调辖区单位共同建设社区，广泛深入持久地开展社区建设，使社区卫生、社区文化、社区环境和社区治安符合有关部门提出的要求。</w:t>
      </w:r>
    </w:p>
    <w:p>
      <w:pPr>
        <w:pStyle w:val="17"/>
      </w:pPr>
      <w:r>
        <w:t>14、依据有关法律、法规，负责辖区内的城管（市容、市貌和绿化）、环卫、环保、卫生防疫、技术监督、城区规划、土地、市场及社会治安经济行为的监督检查和管理工作。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石家庄市桥西区振头街道办事处本级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3118.63万元，其中：一般公共预算收入3007.02万元，基金预算收入0.00万元，国有资本经营预算收入0.00万元，财政专户核拨收入0.00万元，单位资金收入0.00万元，上年结转结余111.62万元。</w:t>
      </w:r>
    </w:p>
    <w:p>
      <w:pPr>
        <w:pStyle w:val="18"/>
      </w:pPr>
      <w:r>
        <w:t>2、支出说明</w:t>
      </w:r>
    </w:p>
    <w:p>
      <w:pPr>
        <w:pStyle w:val="18"/>
      </w:pPr>
      <w:r>
        <w:t>收支预算总表支出栏、基本支出表、项目支出表按经济分类和支出功能分类科目编制，反映石家庄市桥西区振头街道办事处本级年度单位预算中支出预算的总体情况。2025年支出预算3118.63万元，其中基本支出2723.56万元，包括人员经费2578.42万元和日常公用经费145.14万元；项目支出395.07万元，主要为综合事务专项经费，社区工作经费，武装工作经费，全科政务（劳务派遣），城管绩效（劳务派遣），石财教【2024】88号优秀科技特派员工作站补助经费。</w:t>
      </w:r>
    </w:p>
    <w:p>
      <w:pPr>
        <w:pStyle w:val="18"/>
      </w:pPr>
      <w:r>
        <w:t>3、比上年增减情况</w:t>
      </w:r>
    </w:p>
    <w:p>
      <w:pPr>
        <w:pStyle w:val="18"/>
      </w:pPr>
      <w:r>
        <w:t>2025年预算收支安排3118.63万元，较2024年预算减少220.69万元，其中：基本支出增加604.48万元，主要为主要是人员经费增加，新增社工70人。项目支出减少825.16万元，主要为天佑大厦购房尾款，石铜南警务站重建项目等项目减少。</w:t>
      </w:r>
    </w:p>
    <w:p>
      <w:pPr>
        <w:spacing w:before="10" w:after="10"/>
        <w:ind w:firstLine="640"/>
        <w:outlineLvl w:val="5"/>
      </w:pPr>
      <w:r>
        <w:rPr>
          <w:rFonts w:ascii="黑体" w:hAnsi="黑体" w:eastAsia="黑体" w:cs="黑体"/>
          <w:color w:val="000000"/>
          <w:sz w:val="32"/>
        </w:rPr>
        <w:t>三、机关运行经费安排情况</w:t>
      </w:r>
    </w:p>
    <w:p>
      <w:pPr>
        <w:pStyle w:val="22"/>
      </w:pPr>
      <w:r>
        <w:rPr>
          <w:rFonts w:hint="eastAsia" w:ascii="Times New Roman" w:hAnsi="Times New Roman" w:eastAsia="方正仿宋_GBK" w:cs="Times New Roman"/>
          <w:sz w:val="28"/>
          <w:szCs w:val="24"/>
          <w:lang w:val="en-US" w:eastAsia="zh-CN" w:bidi="ar-SA"/>
        </w:rPr>
        <w:t>2025年，我</w:t>
      </w:r>
      <w:r>
        <w:rPr>
          <w:rFonts w:hint="eastAsia"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机关运行经费共计安排145.14万元，</w:t>
      </w:r>
      <w:r>
        <w:rPr>
          <w:rFonts w:hint="eastAsia" w:asciiTheme="minorEastAsia" w:hAnsiTheme="minorEastAsia" w:eastAsiaTheme="minorEastAsia"/>
          <w:sz w:val="28"/>
          <w:lang w:eastAsia="zh-CN"/>
        </w:rPr>
        <w:t>主要是商品和服务支出，包括办公费、差旅费、维修（护）费、会议费、培训费、工会经费、福利费、车辆运行维护费、办公设备购置费及其他费用</w:t>
      </w:r>
      <w:r>
        <w:rPr>
          <w:rFonts w:hint="eastAsia" w:ascii="宋体" w:hAnsi="宋体" w:eastAsia="宋体" w:cs="宋体"/>
        </w:rP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rPr>
          <w:rFonts w:hint="eastAsia"/>
          <w:lang w:val="en-US" w:eastAsia="zh-CN"/>
        </w:rPr>
        <w:t>2</w:t>
      </w:r>
      <w:r>
        <w:t>02</w:t>
      </w:r>
      <w:r>
        <w:rPr>
          <w:rFonts w:hint="eastAsia"/>
          <w:lang w:val="en-US" w:eastAsia="zh-CN"/>
        </w:rPr>
        <w:t>5</w:t>
      </w:r>
      <w:r>
        <w:t>年，我</w:t>
      </w:r>
      <w:r>
        <w:rPr>
          <w:rFonts w:hint="eastAsia"/>
          <w:lang w:eastAsia="zh-CN"/>
        </w:rPr>
        <w:t>单位</w:t>
      </w:r>
      <w:r>
        <w:t>财政拨款“三公”经费预算安排3万元，其中因公出国（境）费0万元；公务用车购置及运维费3万元（其中：公务用车购置费为0万元，公务用车运维费3万元)；公务接待费0万元。其中因公出国（境）费0万元</w:t>
      </w:r>
      <w:r>
        <w:rPr>
          <w:rFonts w:hint="eastAsia" w:asciiTheme="minorEastAsia" w:hAnsiTheme="minorEastAsia" w:eastAsiaTheme="minorEastAsia"/>
          <w:lang w:eastAsia="zh-CN"/>
        </w:rPr>
        <w:t>，</w:t>
      </w:r>
      <w:r>
        <w:rPr>
          <w:rFonts w:hint="eastAsia" w:eastAsiaTheme="minorEastAsia"/>
          <w:lang w:eastAsia="zh-CN"/>
        </w:rPr>
        <w:t>与</w:t>
      </w:r>
      <w:r>
        <w:rPr>
          <w:rFonts w:eastAsiaTheme="minorEastAsia"/>
          <w:lang w:eastAsia="zh-CN"/>
        </w:rPr>
        <w:t>上年持平，无增减变化，原因</w:t>
      </w:r>
      <w:r>
        <w:rPr>
          <w:rFonts w:hint="eastAsia" w:eastAsiaTheme="minorEastAsia"/>
          <w:lang w:eastAsia="zh-CN"/>
        </w:rPr>
        <w:t>为无</w:t>
      </w:r>
      <w:r>
        <w:rPr>
          <w:rFonts w:eastAsiaTheme="minorEastAsia"/>
          <w:lang w:eastAsia="zh-CN"/>
        </w:rPr>
        <w:t>新增</w:t>
      </w:r>
      <w:r>
        <w:t>因公出国（境）</w:t>
      </w:r>
      <w:r>
        <w:rPr>
          <w:rFonts w:hint="eastAsia" w:eastAsiaTheme="minorEastAsia"/>
          <w:lang w:eastAsia="zh-CN"/>
        </w:rPr>
        <w:t>计划</w:t>
      </w:r>
      <w:r>
        <w:rPr>
          <w:rFonts w:eastAsiaTheme="minorEastAsia"/>
          <w:lang w:eastAsia="zh-CN"/>
        </w:rPr>
        <w:t>；</w:t>
      </w:r>
      <w:r>
        <w:t>公务用车购置公务用车购置</w:t>
      </w:r>
      <w:r>
        <w:rPr>
          <w:rFonts w:hint="eastAsia" w:eastAsiaTheme="minorEastAsia"/>
          <w:lang w:eastAsia="zh-CN"/>
        </w:rPr>
        <w:t>费0</w:t>
      </w:r>
      <w:r>
        <w:rPr>
          <w:rFonts w:eastAsiaTheme="minorEastAsia"/>
          <w:lang w:eastAsia="zh-CN"/>
        </w:rPr>
        <w:t>万元，</w:t>
      </w:r>
      <w:r>
        <w:rPr>
          <w:rFonts w:hint="eastAsia" w:eastAsiaTheme="minorEastAsia"/>
          <w:lang w:eastAsia="zh-CN"/>
        </w:rPr>
        <w:t>与</w:t>
      </w:r>
      <w:r>
        <w:rPr>
          <w:rFonts w:eastAsiaTheme="minorEastAsia"/>
          <w:lang w:eastAsia="zh-CN"/>
        </w:rPr>
        <w:t>上年持平，无增减变化，原因</w:t>
      </w:r>
      <w:r>
        <w:rPr>
          <w:rFonts w:hint="eastAsia" w:eastAsiaTheme="minorEastAsia"/>
          <w:lang w:eastAsia="zh-CN"/>
        </w:rPr>
        <w:t>为无新增公务</w:t>
      </w:r>
      <w:r>
        <w:rPr>
          <w:rFonts w:eastAsiaTheme="minorEastAsia"/>
          <w:lang w:eastAsia="zh-CN"/>
        </w:rPr>
        <w:t>用车购置计划；公务用车运维费</w:t>
      </w:r>
      <w:r>
        <w:rPr>
          <w:rFonts w:hint="eastAsia" w:eastAsiaTheme="minorEastAsia"/>
          <w:lang w:eastAsia="zh-CN"/>
        </w:rPr>
        <w:t>与</w:t>
      </w:r>
      <w:r>
        <w:rPr>
          <w:rFonts w:eastAsiaTheme="minorEastAsia"/>
          <w:lang w:eastAsia="zh-CN"/>
        </w:rPr>
        <w:t>上年持平，无增减变化，</w:t>
      </w:r>
      <w:r>
        <w:rPr>
          <w:rFonts w:hint="eastAsia" w:eastAsiaTheme="minorEastAsia"/>
          <w:lang w:eastAsia="zh-CN"/>
        </w:rPr>
        <w:t>原因为</w:t>
      </w:r>
      <w:r>
        <w:rPr>
          <w:rFonts w:eastAsiaTheme="minorEastAsia"/>
          <w:lang w:eastAsia="zh-CN"/>
        </w:rPr>
        <w:t>为进一步加强“三公”经费管理，树牢过紧日子思想；公务接待费与上年持平，无增减变化，原因为无新增公务接待计划</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1、城管绩效（劳务派遣）绩效目标表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13010425P004129111074</w:t>
            </w:r>
          </w:p>
        </w:tc>
        <w:tc>
          <w:tcPr>
            <w:tcW w:w="2835" w:type="dxa"/>
            <w:vAlign w:val="center"/>
          </w:tcPr>
          <w:p>
            <w:pPr>
              <w:pStyle w:val="10"/>
            </w:pPr>
            <w:r>
              <w:t>项目名称</w:t>
            </w:r>
          </w:p>
        </w:tc>
        <w:tc>
          <w:tcPr>
            <w:tcW w:w="6095" w:type="dxa"/>
            <w:gridSpan w:val="3"/>
            <w:vAlign w:val="center"/>
          </w:tcPr>
          <w:p>
            <w:pPr>
              <w:pStyle w:val="12"/>
            </w:pPr>
            <w:r>
              <w:t>城管绩效（劳务派遣）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20.40</w:t>
            </w:r>
          </w:p>
        </w:tc>
        <w:tc>
          <w:tcPr>
            <w:tcW w:w="2835" w:type="dxa"/>
            <w:vAlign w:val="center"/>
          </w:tcPr>
          <w:p>
            <w:pPr>
              <w:pStyle w:val="10"/>
            </w:pPr>
            <w:r>
              <w:t>其中：财政    资金</w:t>
            </w:r>
          </w:p>
        </w:tc>
        <w:tc>
          <w:tcPr>
            <w:tcW w:w="2551" w:type="dxa"/>
            <w:vAlign w:val="center"/>
          </w:tcPr>
          <w:p>
            <w:pPr>
              <w:pStyle w:val="12"/>
            </w:pPr>
            <w:r>
              <w:t>20.40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城管协管员绩效工资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1.调动全体城管协管员的工作积极性，确保收入公平、公正、合理。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协管人员数量</w:t>
            </w:r>
          </w:p>
        </w:tc>
        <w:tc>
          <w:tcPr>
            <w:tcW w:w="5386" w:type="dxa"/>
            <w:vAlign w:val="center"/>
          </w:tcPr>
          <w:p>
            <w:pPr>
              <w:pStyle w:val="12"/>
            </w:pPr>
            <w:r>
              <w:t>协管人员数量</w:t>
            </w:r>
          </w:p>
        </w:tc>
        <w:tc>
          <w:tcPr>
            <w:tcW w:w="2268" w:type="dxa"/>
            <w:vAlign w:val="center"/>
          </w:tcPr>
          <w:p>
            <w:pPr>
              <w:pStyle w:val="12"/>
            </w:pPr>
            <w:r>
              <w:t>≤34人</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人员考勤正常率</w:t>
            </w:r>
          </w:p>
        </w:tc>
        <w:tc>
          <w:tcPr>
            <w:tcW w:w="5386" w:type="dxa"/>
            <w:vAlign w:val="center"/>
          </w:tcPr>
          <w:p>
            <w:pPr>
              <w:pStyle w:val="12"/>
            </w:pPr>
            <w:r>
              <w:t>人员考勤正常率</w:t>
            </w:r>
          </w:p>
        </w:tc>
        <w:tc>
          <w:tcPr>
            <w:tcW w:w="2268" w:type="dxa"/>
            <w:vAlign w:val="center"/>
          </w:tcPr>
          <w:p>
            <w:pPr>
              <w:pStyle w:val="12"/>
            </w:pPr>
            <w:r>
              <w:t>≥95%</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经费开支是否及时</w:t>
            </w:r>
          </w:p>
        </w:tc>
        <w:tc>
          <w:tcPr>
            <w:tcW w:w="5386" w:type="dxa"/>
            <w:vAlign w:val="center"/>
          </w:tcPr>
          <w:p>
            <w:pPr>
              <w:pStyle w:val="12"/>
            </w:pPr>
            <w:r>
              <w:t>每月25号前支出</w:t>
            </w:r>
          </w:p>
        </w:tc>
        <w:tc>
          <w:tcPr>
            <w:tcW w:w="2268" w:type="dxa"/>
            <w:vAlign w:val="center"/>
          </w:tcPr>
          <w:p>
            <w:pPr>
              <w:pStyle w:val="12"/>
            </w:pPr>
            <w:r>
              <w:t>≤25号</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年度资金总额</w:t>
            </w:r>
          </w:p>
        </w:tc>
        <w:tc>
          <w:tcPr>
            <w:tcW w:w="5386" w:type="dxa"/>
            <w:vAlign w:val="center"/>
          </w:tcPr>
          <w:p>
            <w:pPr>
              <w:pStyle w:val="12"/>
            </w:pPr>
            <w:r>
              <w:t>年度资金总额</w:t>
            </w:r>
          </w:p>
        </w:tc>
        <w:tc>
          <w:tcPr>
            <w:tcW w:w="2268" w:type="dxa"/>
            <w:vAlign w:val="center"/>
          </w:tcPr>
          <w:p>
            <w:pPr>
              <w:pStyle w:val="12"/>
            </w:pPr>
            <w:r>
              <w:t>≤20.4万元</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提高从业人员素质</w:t>
            </w:r>
          </w:p>
        </w:tc>
        <w:tc>
          <w:tcPr>
            <w:tcW w:w="5386" w:type="dxa"/>
            <w:vAlign w:val="center"/>
          </w:tcPr>
          <w:p>
            <w:pPr>
              <w:pStyle w:val="12"/>
            </w:pPr>
            <w:r>
              <w:t>提高从业人员素质</w:t>
            </w:r>
          </w:p>
        </w:tc>
        <w:tc>
          <w:tcPr>
            <w:tcW w:w="2268" w:type="dxa"/>
            <w:vAlign w:val="center"/>
          </w:tcPr>
          <w:p>
            <w:pPr>
              <w:pStyle w:val="12"/>
            </w:pPr>
            <w:r>
              <w:t>≥50%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≥80%</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2、党建惠民项目资金绩效目标表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13010424P00BWE1100300</w:t>
            </w:r>
          </w:p>
        </w:tc>
        <w:tc>
          <w:tcPr>
            <w:tcW w:w="2835" w:type="dxa"/>
            <w:vAlign w:val="center"/>
          </w:tcPr>
          <w:p>
            <w:pPr>
              <w:pStyle w:val="10"/>
            </w:pPr>
            <w:r>
              <w:t>项目名称</w:t>
            </w:r>
          </w:p>
        </w:tc>
        <w:tc>
          <w:tcPr>
            <w:tcW w:w="6095" w:type="dxa"/>
            <w:gridSpan w:val="3"/>
            <w:vAlign w:val="center"/>
          </w:tcPr>
          <w:p>
            <w:pPr>
              <w:pStyle w:val="12"/>
            </w:pPr>
            <w:r>
              <w:t>党建惠民项目资金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111.62</w:t>
            </w:r>
          </w:p>
        </w:tc>
        <w:tc>
          <w:tcPr>
            <w:tcW w:w="2835" w:type="dxa"/>
            <w:vAlign w:val="center"/>
          </w:tcPr>
          <w:p>
            <w:pPr>
              <w:pStyle w:val="10"/>
            </w:pPr>
            <w:r>
              <w:t>其中：财政    资金</w:t>
            </w:r>
          </w:p>
        </w:tc>
        <w:tc>
          <w:tcPr>
            <w:tcW w:w="2551" w:type="dxa"/>
            <w:vAlign w:val="center"/>
          </w:tcPr>
          <w:p>
            <w:pPr>
              <w:pStyle w:val="12"/>
            </w:pPr>
            <w:r>
              <w:t>111.62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加强基层党的建设，提升城市党组织建设。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1.加强城市基层党的建设，提升城市基层党组织的组织力，全面推进党建引领基层治理。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社区文化促进活动数量</w:t>
            </w:r>
          </w:p>
        </w:tc>
        <w:tc>
          <w:tcPr>
            <w:tcW w:w="5386" w:type="dxa"/>
            <w:vAlign w:val="center"/>
          </w:tcPr>
          <w:p>
            <w:pPr>
              <w:pStyle w:val="12"/>
            </w:pPr>
            <w:r>
              <w:t>社区文化促进活动数量</w:t>
            </w:r>
            <w:r>
              <w:tab/>
            </w:r>
            <w:r>
              <w:tab/>
            </w:r>
            <w:r>
              <w:tab/>
            </w:r>
            <w:r>
              <w:tab/>
            </w:r>
            <w:r>
              <w:tab/>
            </w:r>
          </w:p>
        </w:tc>
        <w:tc>
          <w:tcPr>
            <w:tcW w:w="2268" w:type="dxa"/>
            <w:vAlign w:val="center"/>
          </w:tcPr>
          <w:p>
            <w:pPr>
              <w:pStyle w:val="12"/>
            </w:pPr>
            <w:r>
              <w:t>≥30次</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3"/>
            </w:pPr>
          </w:p>
        </w:tc>
        <w:tc>
          <w:tcPr>
            <w:tcW w:w="2268" w:type="dxa"/>
            <w:vAlign w:val="center"/>
          </w:tcPr>
          <w:p>
            <w:pPr>
              <w:pStyle w:val="12"/>
            </w:pPr>
            <w:r>
              <w:t>质量指标</w:t>
            </w:r>
          </w:p>
        </w:tc>
        <w:tc>
          <w:tcPr>
            <w:tcW w:w="2835" w:type="dxa"/>
            <w:vAlign w:val="center"/>
          </w:tcPr>
          <w:p>
            <w:pPr>
              <w:pStyle w:val="12"/>
            </w:pPr>
            <w:r>
              <w:t>免费公共文化宣传活动率</w:t>
            </w:r>
          </w:p>
        </w:tc>
        <w:tc>
          <w:tcPr>
            <w:tcW w:w="5386" w:type="dxa"/>
            <w:vAlign w:val="center"/>
          </w:tcPr>
          <w:p>
            <w:pPr>
              <w:pStyle w:val="12"/>
            </w:pPr>
            <w:r>
              <w:t>免费公共文化宣传活动率</w:t>
            </w:r>
          </w:p>
        </w:tc>
        <w:tc>
          <w:tcPr>
            <w:tcW w:w="2268" w:type="dxa"/>
            <w:vAlign w:val="center"/>
          </w:tcPr>
          <w:p>
            <w:pPr>
              <w:pStyle w:val="12"/>
            </w:pPr>
            <w:r>
              <w:t>≥80%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3"/>
            </w:p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≥90%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Style w:val="13"/>
            </w:pPr>
          </w:p>
        </w:tc>
        <w:tc>
          <w:tcPr>
            <w:tcW w:w="2268" w:type="dxa"/>
            <w:vAlign w:val="center"/>
          </w:tcPr>
          <w:p>
            <w:pPr>
              <w:pStyle w:val="12"/>
            </w:pPr>
            <w:r>
              <w:t>成本指标</w:t>
            </w:r>
          </w:p>
        </w:tc>
        <w:tc>
          <w:tcPr>
            <w:tcW w:w="2835" w:type="dxa"/>
            <w:vAlign w:val="center"/>
          </w:tcPr>
          <w:p>
            <w:pPr>
              <w:pStyle w:val="12"/>
            </w:pPr>
            <w:r>
              <w:t>完成工作需要的资金</w:t>
            </w:r>
          </w:p>
        </w:tc>
        <w:tc>
          <w:tcPr>
            <w:tcW w:w="5386" w:type="dxa"/>
            <w:vAlign w:val="center"/>
          </w:tcPr>
          <w:p>
            <w:pPr>
              <w:pStyle w:val="12"/>
            </w:pPr>
            <w:r>
              <w:t>完成工作需要的资金</w:t>
            </w:r>
          </w:p>
        </w:tc>
        <w:tc>
          <w:tcPr>
            <w:tcW w:w="2268" w:type="dxa"/>
            <w:vAlign w:val="center"/>
          </w:tcPr>
          <w:p>
            <w:pPr>
              <w:pStyle w:val="12"/>
            </w:pPr>
            <w:r>
              <w:t>≤100%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社会组织管理能力提升</w:t>
            </w:r>
          </w:p>
        </w:tc>
        <w:tc>
          <w:tcPr>
            <w:tcW w:w="5386" w:type="dxa"/>
            <w:vAlign w:val="center"/>
          </w:tcPr>
          <w:p>
            <w:pPr>
              <w:pStyle w:val="12"/>
            </w:pPr>
            <w:r>
              <w:t>社会组织管理能力提升</w:t>
            </w:r>
          </w:p>
          <w:p>
            <w:pPr>
              <w:pStyle w:val="12"/>
            </w:pPr>
          </w:p>
        </w:tc>
        <w:tc>
          <w:tcPr>
            <w:tcW w:w="2268" w:type="dxa"/>
            <w:vAlign w:val="center"/>
          </w:tcPr>
          <w:p>
            <w:pPr>
              <w:pStyle w:val="12"/>
            </w:pPr>
            <w:r>
              <w:t>≥50%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3、全科政务（劳务派遣）绩效目标表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13010425P00412911108P</w:t>
            </w:r>
          </w:p>
        </w:tc>
        <w:tc>
          <w:tcPr>
            <w:tcW w:w="2835" w:type="dxa"/>
            <w:vAlign w:val="center"/>
          </w:tcPr>
          <w:p>
            <w:pPr>
              <w:pStyle w:val="10"/>
            </w:pPr>
            <w:r>
              <w:t>项目名称</w:t>
            </w:r>
          </w:p>
        </w:tc>
        <w:tc>
          <w:tcPr>
            <w:tcW w:w="6095" w:type="dxa"/>
            <w:gridSpan w:val="3"/>
            <w:vAlign w:val="center"/>
          </w:tcPr>
          <w:p>
            <w:pPr>
              <w:pStyle w:val="12"/>
            </w:pPr>
            <w:r>
              <w:t>全科政务（劳务派遣）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45.55</w:t>
            </w:r>
          </w:p>
        </w:tc>
        <w:tc>
          <w:tcPr>
            <w:tcW w:w="2835" w:type="dxa"/>
            <w:vAlign w:val="center"/>
          </w:tcPr>
          <w:p>
            <w:pPr>
              <w:pStyle w:val="10"/>
            </w:pPr>
            <w:r>
              <w:t>其中：财政    资金</w:t>
            </w:r>
          </w:p>
        </w:tc>
        <w:tc>
          <w:tcPr>
            <w:tcW w:w="2551" w:type="dxa"/>
            <w:vAlign w:val="center"/>
          </w:tcPr>
          <w:p>
            <w:pPr>
              <w:pStyle w:val="12"/>
            </w:pPr>
            <w:r>
              <w:t>45.55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全科政务人员工资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1.能够在政务工作中承担多种职责的工作人员，以满足多样化的服务需求。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全科政务人员数量</w:t>
            </w:r>
          </w:p>
        </w:tc>
        <w:tc>
          <w:tcPr>
            <w:tcW w:w="5386" w:type="dxa"/>
            <w:vAlign w:val="center"/>
          </w:tcPr>
          <w:p>
            <w:pPr>
              <w:pStyle w:val="12"/>
            </w:pPr>
            <w:r>
              <w:t>全科政务人员数量</w:t>
            </w:r>
          </w:p>
        </w:tc>
        <w:tc>
          <w:tcPr>
            <w:tcW w:w="2268" w:type="dxa"/>
            <w:vAlign w:val="center"/>
          </w:tcPr>
          <w:p>
            <w:pPr>
              <w:pStyle w:val="12"/>
            </w:pPr>
            <w:r>
              <w:t>≤8人</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人员考勤正常率</w:t>
            </w:r>
          </w:p>
        </w:tc>
        <w:tc>
          <w:tcPr>
            <w:tcW w:w="5386" w:type="dxa"/>
            <w:vAlign w:val="center"/>
          </w:tcPr>
          <w:p>
            <w:pPr>
              <w:pStyle w:val="12"/>
            </w:pPr>
            <w:r>
              <w:t>人员考勤正常率</w:t>
            </w:r>
          </w:p>
        </w:tc>
        <w:tc>
          <w:tcPr>
            <w:tcW w:w="2268" w:type="dxa"/>
            <w:vAlign w:val="center"/>
          </w:tcPr>
          <w:p>
            <w:pPr>
              <w:pStyle w:val="12"/>
            </w:pPr>
            <w:r>
              <w:t>≥95%</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经费开支是否及时</w:t>
            </w:r>
          </w:p>
        </w:tc>
        <w:tc>
          <w:tcPr>
            <w:tcW w:w="5386" w:type="dxa"/>
            <w:vAlign w:val="center"/>
          </w:tcPr>
          <w:p>
            <w:pPr>
              <w:pStyle w:val="12"/>
            </w:pPr>
            <w:r>
              <w:t>每月25号前支出</w:t>
            </w:r>
          </w:p>
        </w:tc>
        <w:tc>
          <w:tcPr>
            <w:tcW w:w="2268" w:type="dxa"/>
            <w:vAlign w:val="center"/>
          </w:tcPr>
          <w:p>
            <w:pPr>
              <w:pStyle w:val="12"/>
            </w:pPr>
            <w:r>
              <w:t>≤25号</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年度资金总额</w:t>
            </w:r>
          </w:p>
        </w:tc>
        <w:tc>
          <w:tcPr>
            <w:tcW w:w="5386" w:type="dxa"/>
            <w:vAlign w:val="center"/>
          </w:tcPr>
          <w:p>
            <w:pPr>
              <w:pStyle w:val="12"/>
            </w:pPr>
            <w:r>
              <w:t>年度资金总额</w:t>
            </w:r>
          </w:p>
        </w:tc>
        <w:tc>
          <w:tcPr>
            <w:tcW w:w="2268" w:type="dxa"/>
            <w:vAlign w:val="center"/>
          </w:tcPr>
          <w:p>
            <w:pPr>
              <w:pStyle w:val="12"/>
            </w:pPr>
            <w:r>
              <w:t>≤45.55万元</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提升人员职业技能水平</w:t>
            </w:r>
          </w:p>
        </w:tc>
        <w:tc>
          <w:tcPr>
            <w:tcW w:w="5386" w:type="dxa"/>
            <w:vAlign w:val="center"/>
          </w:tcPr>
          <w:p>
            <w:pPr>
              <w:pStyle w:val="12"/>
            </w:pPr>
            <w:r>
              <w:t>提升人员职业技能水平</w:t>
            </w:r>
          </w:p>
        </w:tc>
        <w:tc>
          <w:tcPr>
            <w:tcW w:w="2268" w:type="dxa"/>
            <w:vAlign w:val="center"/>
          </w:tcPr>
          <w:p>
            <w:pPr>
              <w:pStyle w:val="12"/>
            </w:pPr>
            <w:r>
              <w:t>≥50%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≥80%</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4、社区工作经费绩效目标表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13010425P00412810056R</w:t>
            </w:r>
          </w:p>
        </w:tc>
        <w:tc>
          <w:tcPr>
            <w:tcW w:w="2835" w:type="dxa"/>
            <w:vAlign w:val="center"/>
          </w:tcPr>
          <w:p>
            <w:pPr>
              <w:pStyle w:val="10"/>
            </w:pPr>
            <w:r>
              <w:t>项目名称</w:t>
            </w:r>
          </w:p>
        </w:tc>
        <w:tc>
          <w:tcPr>
            <w:tcW w:w="6095" w:type="dxa"/>
            <w:gridSpan w:val="3"/>
            <w:vAlign w:val="center"/>
          </w:tcPr>
          <w:p>
            <w:pPr>
              <w:pStyle w:val="12"/>
            </w:pPr>
            <w:r>
              <w:t>社区工作经费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主要用于保障社区日常办公运行、党员教育培训、党员开展活动，社区老党员和困难党员走访慰问等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1.保障社区日常办公运转，保障群众党员教育培训，做好社区老党员和困难党员的慰问。</w:t>
            </w:r>
            <w:r>
              <w:tab/>
            </w:r>
            <w:r>
              <w:tab/>
            </w:r>
            <w:r>
              <w:tab/>
            </w:r>
            <w:r>
              <w:tab/>
            </w:r>
            <w:r>
              <w:tab/>
            </w:r>
            <w:r>
              <w:tab/>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开展外宣活动数量</w:t>
            </w:r>
          </w:p>
        </w:tc>
        <w:tc>
          <w:tcPr>
            <w:tcW w:w="5386" w:type="dxa"/>
            <w:vAlign w:val="center"/>
          </w:tcPr>
          <w:p>
            <w:pPr>
              <w:pStyle w:val="12"/>
            </w:pPr>
            <w:r>
              <w:t>开展外宣活动数量</w:t>
            </w:r>
          </w:p>
        </w:tc>
        <w:tc>
          <w:tcPr>
            <w:tcW w:w="2268" w:type="dxa"/>
            <w:vAlign w:val="center"/>
          </w:tcPr>
          <w:p>
            <w:pPr>
              <w:pStyle w:val="12"/>
            </w:pPr>
            <w:r>
              <w:t>≥20次</w:t>
            </w:r>
          </w:p>
        </w:tc>
        <w:tc>
          <w:tcPr>
            <w:tcW w:w="1276" w:type="dxa"/>
            <w:vAlign w:val="center"/>
          </w:tcPr>
          <w:p>
            <w:pPr>
              <w:pStyle w:val="12"/>
            </w:pPr>
            <w:r>
              <w:t>石办发[2013]3号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5386" w:type="dxa"/>
            <w:vAlign w:val="center"/>
          </w:tcPr>
          <w:p>
            <w:pPr>
              <w:pStyle w:val="12"/>
            </w:pPr>
            <w:r>
              <w:t>群众文化活动参与率</w:t>
            </w:r>
          </w:p>
        </w:tc>
        <w:tc>
          <w:tcPr>
            <w:tcW w:w="2268" w:type="dxa"/>
            <w:vAlign w:val="center"/>
          </w:tcPr>
          <w:p>
            <w:pPr>
              <w:pStyle w:val="12"/>
            </w:pPr>
            <w:r>
              <w:t>≥80%</w:t>
            </w:r>
          </w:p>
        </w:tc>
        <w:tc>
          <w:tcPr>
            <w:tcW w:w="1276" w:type="dxa"/>
            <w:vAlign w:val="center"/>
          </w:tcPr>
          <w:p>
            <w:pPr>
              <w:pStyle w:val="12"/>
            </w:pPr>
            <w:r>
              <w:t>石办发[2013]3号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工作按时完成率</w:t>
            </w:r>
          </w:p>
        </w:tc>
        <w:tc>
          <w:tcPr>
            <w:tcW w:w="2268" w:type="dxa"/>
            <w:vAlign w:val="center"/>
          </w:tcPr>
          <w:p>
            <w:pPr>
              <w:pStyle w:val="12"/>
            </w:pPr>
            <w:r>
              <w:t>≥80%</w:t>
            </w:r>
          </w:p>
        </w:tc>
        <w:tc>
          <w:tcPr>
            <w:tcW w:w="1276" w:type="dxa"/>
            <w:vAlign w:val="center"/>
          </w:tcPr>
          <w:p>
            <w:pPr>
              <w:pStyle w:val="12"/>
            </w:pPr>
            <w:r>
              <w:t>石办发[2013]3号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w:t>
            </w:r>
          </w:p>
        </w:tc>
        <w:tc>
          <w:tcPr>
            <w:tcW w:w="1276" w:type="dxa"/>
            <w:vAlign w:val="center"/>
          </w:tcPr>
          <w:p>
            <w:pPr>
              <w:pStyle w:val="12"/>
            </w:pPr>
            <w:r>
              <w:t>石办发[2013]3号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社会组织党建工作覆盖率</w:t>
            </w:r>
          </w:p>
        </w:tc>
        <w:tc>
          <w:tcPr>
            <w:tcW w:w="5386" w:type="dxa"/>
            <w:vAlign w:val="center"/>
          </w:tcPr>
          <w:p>
            <w:pPr>
              <w:pStyle w:val="12"/>
            </w:pPr>
            <w:r>
              <w:t>社会组织党建工作覆盖率</w:t>
            </w:r>
          </w:p>
        </w:tc>
        <w:tc>
          <w:tcPr>
            <w:tcW w:w="2268" w:type="dxa"/>
            <w:vAlign w:val="center"/>
          </w:tcPr>
          <w:p>
            <w:pPr>
              <w:pStyle w:val="12"/>
            </w:pPr>
            <w:r>
              <w:t>≥80%</w:t>
            </w:r>
          </w:p>
        </w:tc>
        <w:tc>
          <w:tcPr>
            <w:tcW w:w="1276" w:type="dxa"/>
            <w:vAlign w:val="center"/>
          </w:tcPr>
          <w:p>
            <w:pPr>
              <w:pStyle w:val="12"/>
            </w:pPr>
            <w:r>
              <w:t>石办发[2013]3号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≥80%</w:t>
            </w:r>
          </w:p>
        </w:tc>
        <w:tc>
          <w:tcPr>
            <w:tcW w:w="1276" w:type="dxa"/>
            <w:vAlign w:val="center"/>
          </w:tcPr>
          <w:p>
            <w:pPr>
              <w:pStyle w:val="12"/>
            </w:pPr>
            <w:r>
              <w:t>石办发[2013]3号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5、石财教【2024】88号优秀科技特派员工作站补助经费绩效目标表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13010425P00412911272E</w:t>
            </w:r>
          </w:p>
        </w:tc>
        <w:tc>
          <w:tcPr>
            <w:tcW w:w="2835" w:type="dxa"/>
            <w:vAlign w:val="center"/>
          </w:tcPr>
          <w:p>
            <w:pPr>
              <w:pStyle w:val="10"/>
            </w:pPr>
            <w:r>
              <w:t>项目名称</w:t>
            </w:r>
          </w:p>
        </w:tc>
        <w:tc>
          <w:tcPr>
            <w:tcW w:w="6095" w:type="dxa"/>
            <w:gridSpan w:val="3"/>
            <w:vAlign w:val="center"/>
          </w:tcPr>
          <w:p>
            <w:pPr>
              <w:pStyle w:val="12"/>
            </w:pPr>
            <w:r>
              <w:t>石财教【2024】88号优秀科技特派员工作站补助经费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促进科技成果转化和产业奖补。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1.促进科技成果转化和产业奖补。</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举办科普活动次数</w:t>
            </w:r>
          </w:p>
        </w:tc>
        <w:tc>
          <w:tcPr>
            <w:tcW w:w="5386" w:type="dxa"/>
            <w:vAlign w:val="center"/>
          </w:tcPr>
          <w:p>
            <w:pPr>
              <w:pStyle w:val="12"/>
            </w:pPr>
            <w:r>
              <w:t>举办科普活动次数</w:t>
            </w:r>
          </w:p>
        </w:tc>
        <w:tc>
          <w:tcPr>
            <w:tcW w:w="2268" w:type="dxa"/>
            <w:vAlign w:val="center"/>
          </w:tcPr>
          <w:p>
            <w:pPr>
              <w:pStyle w:val="12"/>
            </w:pPr>
            <w:r>
              <w:t>≥3次</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科研组织与管理创新、科研方法与</w:t>
            </w:r>
          </w:p>
        </w:tc>
        <w:tc>
          <w:tcPr>
            <w:tcW w:w="5386" w:type="dxa"/>
            <w:vAlign w:val="center"/>
          </w:tcPr>
          <w:p>
            <w:pPr>
              <w:pStyle w:val="12"/>
            </w:pPr>
            <w:r>
              <w:t>科研组织与管理创新、科研方法与手段创新方面的制度</w:t>
            </w:r>
          </w:p>
        </w:tc>
        <w:tc>
          <w:tcPr>
            <w:tcW w:w="2268" w:type="dxa"/>
            <w:vAlign w:val="center"/>
          </w:tcPr>
          <w:p>
            <w:pPr>
              <w:pStyle w:val="12"/>
            </w:pPr>
            <w:r>
              <w:t>≥80%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科技推广项目任务完成率</w:t>
            </w:r>
          </w:p>
        </w:tc>
        <w:tc>
          <w:tcPr>
            <w:tcW w:w="5386" w:type="dxa"/>
            <w:vAlign w:val="center"/>
          </w:tcPr>
          <w:p>
            <w:pPr>
              <w:pStyle w:val="12"/>
            </w:pPr>
            <w:r>
              <w:t>科技推广项目任务完成率</w:t>
            </w:r>
          </w:p>
        </w:tc>
        <w:tc>
          <w:tcPr>
            <w:tcW w:w="2268" w:type="dxa"/>
            <w:vAlign w:val="center"/>
          </w:tcPr>
          <w:p>
            <w:pPr>
              <w:pStyle w:val="12"/>
            </w:pPr>
            <w:r>
              <w:t>≥80%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完成工作需要的资金</w:t>
            </w:r>
          </w:p>
        </w:tc>
        <w:tc>
          <w:tcPr>
            <w:tcW w:w="5386" w:type="dxa"/>
            <w:vAlign w:val="center"/>
          </w:tcPr>
          <w:p>
            <w:pPr>
              <w:pStyle w:val="12"/>
            </w:pPr>
            <w:r>
              <w:t>完成工作需要的资金</w:t>
            </w:r>
          </w:p>
        </w:tc>
        <w:tc>
          <w:tcPr>
            <w:tcW w:w="2268" w:type="dxa"/>
            <w:vAlign w:val="center"/>
          </w:tcPr>
          <w:p>
            <w:pPr>
              <w:pStyle w:val="12"/>
            </w:pPr>
            <w:r>
              <w:t>≤100%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科技成果转化项目数（项）</w:t>
            </w:r>
          </w:p>
        </w:tc>
        <w:tc>
          <w:tcPr>
            <w:tcW w:w="5386" w:type="dxa"/>
            <w:vAlign w:val="center"/>
          </w:tcPr>
          <w:p>
            <w:pPr>
              <w:pStyle w:val="12"/>
            </w:pPr>
            <w:r>
              <w:t>科技成果转化项目数（项）</w:t>
            </w:r>
          </w:p>
        </w:tc>
        <w:tc>
          <w:tcPr>
            <w:tcW w:w="2268" w:type="dxa"/>
            <w:vAlign w:val="center"/>
          </w:tcPr>
          <w:p>
            <w:pPr>
              <w:pStyle w:val="12"/>
            </w:pPr>
            <w:r>
              <w:t>≥2项</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≥80%</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6、武装工作经费绩效目标表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13010425P004129110989</w:t>
            </w:r>
          </w:p>
        </w:tc>
        <w:tc>
          <w:tcPr>
            <w:tcW w:w="2835" w:type="dxa"/>
            <w:vAlign w:val="center"/>
          </w:tcPr>
          <w:p>
            <w:pPr>
              <w:pStyle w:val="10"/>
            </w:pPr>
            <w:r>
              <w:t>项目名称</w:t>
            </w:r>
          </w:p>
        </w:tc>
        <w:tc>
          <w:tcPr>
            <w:tcW w:w="6095" w:type="dxa"/>
            <w:gridSpan w:val="3"/>
            <w:vAlign w:val="center"/>
          </w:tcPr>
          <w:p>
            <w:pPr>
              <w:pStyle w:val="12"/>
            </w:pPr>
            <w:r>
              <w:t>武装工作经费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0.20</w:t>
            </w:r>
          </w:p>
        </w:tc>
        <w:tc>
          <w:tcPr>
            <w:tcW w:w="2835" w:type="dxa"/>
            <w:vAlign w:val="center"/>
          </w:tcPr>
          <w:p>
            <w:pPr>
              <w:pStyle w:val="10"/>
            </w:pPr>
            <w:r>
              <w:t>其中：财政    资金</w:t>
            </w:r>
          </w:p>
        </w:tc>
        <w:tc>
          <w:tcPr>
            <w:tcW w:w="2551" w:type="dxa"/>
            <w:vAlign w:val="center"/>
          </w:tcPr>
          <w:p>
            <w:pPr>
              <w:pStyle w:val="12"/>
            </w:pPr>
            <w:r>
              <w:t>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用于战备执勤、动员准备、民兵工作、兵员征集、国防教育、军事设施保护、双拥共建、武装工作软硬件建设等。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1.用于战备执勤、动员准备、民兵工作、兵员征集、国防教育、军事设施保护、双拥共建、武装工作软硬件建设等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民兵训练人员数量</w:t>
            </w:r>
          </w:p>
        </w:tc>
        <w:tc>
          <w:tcPr>
            <w:tcW w:w="5386" w:type="dxa"/>
            <w:vAlign w:val="center"/>
          </w:tcPr>
          <w:p>
            <w:pPr>
              <w:pStyle w:val="12"/>
            </w:pPr>
            <w:r>
              <w:t>民兵训练人员数量</w:t>
            </w:r>
          </w:p>
        </w:tc>
        <w:tc>
          <w:tcPr>
            <w:tcW w:w="2268" w:type="dxa"/>
            <w:vAlign w:val="center"/>
          </w:tcPr>
          <w:p>
            <w:pPr>
              <w:pStyle w:val="12"/>
            </w:pPr>
            <w:r>
              <w:t>≥60人/次</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民兵训练质量</w:t>
            </w:r>
          </w:p>
        </w:tc>
        <w:tc>
          <w:tcPr>
            <w:tcW w:w="5386" w:type="dxa"/>
            <w:vAlign w:val="center"/>
          </w:tcPr>
          <w:p>
            <w:pPr>
              <w:pStyle w:val="12"/>
            </w:pPr>
            <w:r>
              <w:t>民兵训练质量</w:t>
            </w:r>
          </w:p>
        </w:tc>
        <w:tc>
          <w:tcPr>
            <w:tcW w:w="2268" w:type="dxa"/>
            <w:vAlign w:val="center"/>
          </w:tcPr>
          <w:p>
            <w:pPr>
              <w:pStyle w:val="12"/>
            </w:pPr>
            <w:r>
              <w:t>≥90%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征兵时间</w:t>
            </w:r>
          </w:p>
        </w:tc>
        <w:tc>
          <w:tcPr>
            <w:tcW w:w="5386" w:type="dxa"/>
            <w:vAlign w:val="center"/>
          </w:tcPr>
          <w:p>
            <w:pPr>
              <w:pStyle w:val="12"/>
            </w:pPr>
            <w:r>
              <w:t>根据上级部门规定时限</w:t>
            </w:r>
          </w:p>
        </w:tc>
        <w:tc>
          <w:tcPr>
            <w:tcW w:w="2268" w:type="dxa"/>
            <w:vAlign w:val="center"/>
          </w:tcPr>
          <w:p>
            <w:pPr>
              <w:pStyle w:val="12"/>
            </w:pPr>
            <w:r>
              <w:t>≥90%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国防宣传、征兵工作知晓率</w:t>
            </w:r>
          </w:p>
        </w:tc>
        <w:tc>
          <w:tcPr>
            <w:tcW w:w="5386" w:type="dxa"/>
            <w:vAlign w:val="center"/>
          </w:tcPr>
          <w:p>
            <w:pPr>
              <w:pStyle w:val="12"/>
            </w:pPr>
            <w:r>
              <w:t>国防宣传、征兵工作知晓率</w:t>
            </w:r>
          </w:p>
        </w:tc>
        <w:tc>
          <w:tcPr>
            <w:tcW w:w="2268" w:type="dxa"/>
            <w:vAlign w:val="center"/>
          </w:tcPr>
          <w:p>
            <w:pPr>
              <w:pStyle w:val="12"/>
            </w:pPr>
            <w:r>
              <w:t>≥80%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≥80%</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7、综合事务专项经费绩效目标表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13010425P00412911097M</w:t>
            </w:r>
          </w:p>
        </w:tc>
        <w:tc>
          <w:tcPr>
            <w:tcW w:w="2835" w:type="dxa"/>
            <w:vAlign w:val="center"/>
          </w:tcPr>
          <w:p>
            <w:pPr>
              <w:pStyle w:val="10"/>
            </w:pPr>
            <w:r>
              <w:t>项目名称</w:t>
            </w:r>
          </w:p>
        </w:tc>
        <w:tc>
          <w:tcPr>
            <w:tcW w:w="6095" w:type="dxa"/>
            <w:gridSpan w:val="3"/>
            <w:vAlign w:val="center"/>
          </w:tcPr>
          <w:p>
            <w:pPr>
              <w:pStyle w:val="12"/>
            </w:pPr>
            <w:r>
              <w:t>综合事务专项经费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15.30</w:t>
            </w:r>
          </w:p>
        </w:tc>
        <w:tc>
          <w:tcPr>
            <w:tcW w:w="2835" w:type="dxa"/>
            <w:vAlign w:val="center"/>
          </w:tcPr>
          <w:p>
            <w:pPr>
              <w:pStyle w:val="10"/>
            </w:pPr>
            <w:r>
              <w:t>其中：财政    资金</w:t>
            </w:r>
          </w:p>
        </w:tc>
        <w:tc>
          <w:tcPr>
            <w:tcW w:w="2551" w:type="dxa"/>
            <w:vAlign w:val="center"/>
          </w:tcPr>
          <w:p>
            <w:pPr>
              <w:pStyle w:val="12"/>
            </w:pPr>
            <w:r>
              <w:t>15.30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主要用于食堂、团委、环保开展活动，环保所推进生态环境保护工作。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1.综合事务经费包括环保所经费及其他保障机关日常办公运转补充经费。主要用于食堂、团委、环保开展活动，环保所推进生态环境保护工作。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开展宣传方式的品种和数量</w:t>
            </w:r>
          </w:p>
        </w:tc>
        <w:tc>
          <w:tcPr>
            <w:tcW w:w="5386" w:type="dxa"/>
            <w:vAlign w:val="center"/>
          </w:tcPr>
          <w:p>
            <w:pPr>
              <w:pStyle w:val="12"/>
            </w:pPr>
            <w:r>
              <w:t>开展宣传方式的品种和数量</w:t>
            </w:r>
          </w:p>
        </w:tc>
        <w:tc>
          <w:tcPr>
            <w:tcW w:w="2268" w:type="dxa"/>
            <w:vAlign w:val="center"/>
          </w:tcPr>
          <w:p>
            <w:pPr>
              <w:pStyle w:val="12"/>
            </w:pPr>
            <w:r>
              <w:t>≥10次</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其他各项综合事务工作</w:t>
            </w:r>
          </w:p>
        </w:tc>
        <w:tc>
          <w:tcPr>
            <w:tcW w:w="5386" w:type="dxa"/>
            <w:vAlign w:val="center"/>
          </w:tcPr>
          <w:p>
            <w:pPr>
              <w:pStyle w:val="12"/>
            </w:pPr>
            <w:r>
              <w:t>其他各项综合事务工作完成率</w:t>
            </w:r>
          </w:p>
        </w:tc>
        <w:tc>
          <w:tcPr>
            <w:tcW w:w="2268" w:type="dxa"/>
            <w:vAlign w:val="center"/>
          </w:tcPr>
          <w:p>
            <w:pPr>
              <w:pStyle w:val="12"/>
            </w:pPr>
            <w:r>
              <w:t>≥80%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工作按时完成率</w:t>
            </w:r>
          </w:p>
        </w:tc>
        <w:tc>
          <w:tcPr>
            <w:tcW w:w="5386" w:type="dxa"/>
            <w:vAlign w:val="center"/>
          </w:tcPr>
          <w:p>
            <w:pPr>
              <w:pStyle w:val="12"/>
            </w:pPr>
            <w:r>
              <w:t>工作完成率</w:t>
            </w:r>
          </w:p>
        </w:tc>
        <w:tc>
          <w:tcPr>
            <w:tcW w:w="2268" w:type="dxa"/>
            <w:vAlign w:val="center"/>
          </w:tcPr>
          <w:p>
            <w:pPr>
              <w:pStyle w:val="12"/>
            </w:pPr>
            <w:r>
              <w:t>≥80%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完成工作目标所需资金</w:t>
            </w:r>
          </w:p>
        </w:tc>
        <w:tc>
          <w:tcPr>
            <w:tcW w:w="5386" w:type="dxa"/>
            <w:vAlign w:val="center"/>
          </w:tcPr>
          <w:p>
            <w:pPr>
              <w:pStyle w:val="12"/>
            </w:pPr>
            <w:r>
              <w:t>完成工作目标所需资金</w:t>
            </w:r>
          </w:p>
        </w:tc>
        <w:tc>
          <w:tcPr>
            <w:tcW w:w="2268" w:type="dxa"/>
            <w:vAlign w:val="center"/>
          </w:tcPr>
          <w:p>
            <w:pPr>
              <w:pStyle w:val="12"/>
            </w:pPr>
            <w:r>
              <w:t>≤100%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工作专业性不断提升</w:t>
            </w:r>
          </w:p>
        </w:tc>
        <w:tc>
          <w:tcPr>
            <w:tcW w:w="5386" w:type="dxa"/>
            <w:vAlign w:val="center"/>
          </w:tcPr>
          <w:p>
            <w:pPr>
              <w:pStyle w:val="12"/>
            </w:pPr>
            <w:r>
              <w:t>工作专业性不断提升</w:t>
            </w:r>
          </w:p>
        </w:tc>
        <w:tc>
          <w:tcPr>
            <w:tcW w:w="2268" w:type="dxa"/>
            <w:vAlign w:val="center"/>
          </w:tcPr>
          <w:p>
            <w:pPr>
              <w:pStyle w:val="12"/>
            </w:pPr>
            <w:r>
              <w:t>≥50%</w:t>
            </w:r>
          </w:p>
        </w:tc>
        <w:tc>
          <w:tcPr>
            <w:tcW w:w="1276" w:type="dxa"/>
            <w:vAlign w:val="center"/>
          </w:tcPr>
          <w:p>
            <w:pPr>
              <w:pStyle w:val="12"/>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≥80%</w:t>
            </w:r>
          </w:p>
        </w:tc>
        <w:tc>
          <w:tcPr>
            <w:tcW w:w="1276" w:type="dxa"/>
            <w:vAlign w:val="center"/>
          </w:tcPr>
          <w:p>
            <w:pPr>
              <w:pStyle w:val="12"/>
            </w:pPr>
            <w:r>
              <w:t>往年惯例</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521001石家庄市桥西区振头街道办事处本级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115.62</w:t>
            </w:r>
          </w:p>
        </w:tc>
        <w:tc>
          <w:tcPr>
            <w:tcW w:w="964" w:type="dxa"/>
            <w:vAlign w:val="center"/>
          </w:tcPr>
          <w:p>
            <w:pPr>
              <w:pStyle w:val="15"/>
            </w:pPr>
            <w:r>
              <w:t>4.01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111.62</w:t>
            </w:r>
          </w:p>
        </w:tc>
        <w:tc>
          <w:tcPr>
            <w:tcW w:w="964" w:type="dxa"/>
            <w:vAlign w:val="center"/>
          </w:tcPr>
          <w:p>
            <w:pPr>
              <w:pStyle w:val="15"/>
            </w:pPr>
            <w:r>
              <w:t>115.62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石家庄市桥西区振头街道办事处本级小计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115.62</w:t>
            </w:r>
          </w:p>
        </w:tc>
        <w:tc>
          <w:tcPr>
            <w:tcW w:w="964" w:type="dxa"/>
            <w:vAlign w:val="center"/>
          </w:tcPr>
          <w:p>
            <w:pPr>
              <w:pStyle w:val="15"/>
            </w:pPr>
            <w:r>
              <w:t>4.01</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111.62</w:t>
            </w:r>
          </w:p>
        </w:tc>
        <w:tc>
          <w:tcPr>
            <w:tcW w:w="964" w:type="dxa"/>
            <w:vAlign w:val="center"/>
          </w:tcPr>
          <w:p>
            <w:pPr>
              <w:pStyle w:val="15"/>
            </w:pPr>
            <w:r>
              <w:t>115.62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党建惠民项目资金</w:t>
            </w:r>
          </w:p>
        </w:tc>
        <w:tc>
          <w:tcPr>
            <w:tcW w:w="964" w:type="dxa"/>
            <w:vAlign w:val="center"/>
          </w:tcPr>
          <w:p>
            <w:pPr>
              <w:pStyle w:val="11"/>
            </w:pPr>
            <w:r>
              <w:t>111.62</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111.62</w:t>
            </w:r>
          </w:p>
        </w:tc>
        <w:tc>
          <w:tcPr>
            <w:tcW w:w="964" w:type="dxa"/>
            <w:vAlign w:val="center"/>
          </w:tcPr>
          <w:p>
            <w:pPr>
              <w:pStyle w:val="11"/>
            </w:pPr>
            <w:r>
              <w:t>111.62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111.62</w:t>
            </w:r>
          </w:p>
        </w:tc>
        <w:tc>
          <w:tcPr>
            <w:tcW w:w="964" w:type="dxa"/>
            <w:vAlign w:val="center"/>
          </w:tcPr>
          <w:p>
            <w:pPr>
              <w:pStyle w:val="11"/>
            </w:pPr>
            <w:r>
              <w:t>111.62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公用经费项目1</w:t>
            </w:r>
          </w:p>
        </w:tc>
        <w:tc>
          <w:tcPr>
            <w:tcW w:w="964" w:type="dxa"/>
            <w:vAlign w:val="center"/>
          </w:tcPr>
          <w:p>
            <w:pPr>
              <w:pStyle w:val="11"/>
            </w:pPr>
            <w:r>
              <w:t>64.68</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336</w:t>
            </w:r>
          </w:p>
        </w:tc>
        <w:tc>
          <w:tcPr>
            <w:tcW w:w="850" w:type="dxa"/>
            <w:vAlign w:val="center"/>
          </w:tcPr>
          <w:p>
            <w:pPr>
              <w:pStyle w:val="11"/>
            </w:pPr>
            <w:r>
              <w:t>0.00</w:t>
            </w:r>
          </w:p>
        </w:tc>
        <w:tc>
          <w:tcPr>
            <w:tcW w:w="964" w:type="dxa"/>
            <w:vAlign w:val="center"/>
          </w:tcPr>
          <w:p>
            <w:pPr>
              <w:pStyle w:val="11"/>
            </w:pPr>
            <w:r>
              <w:t>1.01</w:t>
            </w:r>
          </w:p>
        </w:tc>
        <w:tc>
          <w:tcPr>
            <w:tcW w:w="964" w:type="dxa"/>
            <w:vAlign w:val="center"/>
          </w:tcPr>
          <w:p>
            <w:pPr>
              <w:pStyle w:val="11"/>
            </w:pPr>
            <w:r>
              <w:t>1.01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公用经费项目1</w:t>
            </w:r>
          </w:p>
        </w:tc>
        <w:tc>
          <w:tcPr>
            <w:tcW w:w="964" w:type="dxa"/>
            <w:vAlign w:val="center"/>
          </w:tcPr>
          <w:p>
            <w:pPr>
              <w:pStyle w:val="11"/>
            </w:pPr>
            <w:r>
              <w:t>64.68</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公用经费项目1</w:t>
            </w:r>
          </w:p>
        </w:tc>
        <w:tc>
          <w:tcPr>
            <w:tcW w:w="964" w:type="dxa"/>
            <w:vAlign w:val="center"/>
          </w:tcPr>
          <w:p>
            <w:pPr>
              <w:pStyle w:val="11"/>
            </w:pPr>
            <w:r>
              <w:t>64.68</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公用经费项目1</w:t>
            </w:r>
          </w:p>
        </w:tc>
        <w:tc>
          <w:tcPr>
            <w:tcW w:w="964" w:type="dxa"/>
            <w:vAlign w:val="center"/>
          </w:tcPr>
          <w:p>
            <w:pPr>
              <w:pStyle w:val="11"/>
            </w:pPr>
            <w:r>
              <w:t>64.68</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0.80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石家庄市桥西区振头街道办事处本级上年末固定资产金额为1379.79万元（详见下表）。本年度拟购置固定资产总额为0.00万元，已按要求列入政府采购预算，详见政府采购预算表。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521001石家庄市桥西区振头街道办事处本级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1379.79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5070</w:t>
            </w:r>
          </w:p>
        </w:tc>
        <w:tc>
          <w:tcPr>
            <w:tcW w:w="2835" w:type="dxa"/>
            <w:vAlign w:val="center"/>
          </w:tcPr>
          <w:p>
            <w:pPr>
              <w:pStyle w:val="11"/>
            </w:pPr>
            <w:r>
              <w:t>402.81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1101.03</w:t>
            </w:r>
          </w:p>
        </w:tc>
        <w:tc>
          <w:tcPr>
            <w:tcW w:w="2835" w:type="dxa"/>
            <w:vAlign w:val="center"/>
          </w:tcPr>
          <w:p>
            <w:pPr>
              <w:pStyle w:val="11"/>
            </w:pPr>
            <w:r>
              <w:t>102.76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2750</w:t>
            </w:r>
          </w:p>
        </w:tc>
        <w:tc>
          <w:tcPr>
            <w:tcW w:w="2835" w:type="dxa"/>
            <w:vAlign w:val="center"/>
          </w:tcPr>
          <w:p>
            <w:pPr>
              <w:pStyle w:val="11"/>
            </w:pPr>
            <w:r>
              <w:t>955.18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等线 Light">
    <w:altName w:val="宋体"/>
    <w:panose1 w:val="02010600030101010101"/>
    <w:charset w:val="86"/>
    <w:family w:val="auto"/>
    <w:pitch w:val="default"/>
    <w:sig w:usb0="00000000" w:usb1="00000000" w:usb2="00000016" w:usb3="00000000" w:csb0="0004000F" w:csb1="00000000"/>
  </w:font>
  <w:font w:name="Arial">
    <w:panose1 w:val="020B0604020202020204"/>
    <w:charset w:val="00"/>
    <w:family w:val="swiss"/>
    <w:pitch w:val="default"/>
    <w:sig w:usb0="E0002AFF" w:usb1="C0007843" w:usb2="00000009" w:usb3="00000000" w:csb0="400001FF" w:csb1="FFFF0000"/>
  </w:font>
  <w:font w:name="等线">
    <w:altName w:val="宋体"/>
    <w:panose1 w:val="00000000000000000000"/>
    <w:charset w:val="86"/>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Courier New">
    <w:panose1 w:val="02070309020205020404"/>
    <w:charset w:val="00"/>
    <w:family w:val="modern"/>
    <w:pitch w:val="default"/>
    <w:sig w:usb0="E0002AFF" w:usb1="C0007843" w:usb2="00000009" w:usb3="00000000" w:csb0="400001FF" w:csb1="FFFF0000"/>
  </w:font>
  <w:font w:name="Calibri Light">
    <w:panose1 w:val="020F0302020204030204"/>
    <w:charset w:val="00"/>
    <w:family w:val="swiss"/>
    <w:pitch w:val="default"/>
    <w:sig w:usb0="A00002EF" w:usb1="4000207B" w:usb2="00000000"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等线">
    <w:altName w:val="SoukouMincho"/>
    <w:panose1 w:val="00000000000000000000"/>
    <w:charset w:val="00"/>
    <w:family w:val="auto"/>
    <w:pitch w:val="default"/>
    <w:sig w:usb0="00000000" w:usb1="00000000" w:usb2="00000000" w:usb3="00000000" w:csb0="00000000" w:csb1="00000000"/>
  </w:font>
  <w:font w:name="SoukouMincho">
    <w:panose1 w:val="02000600000000000000"/>
    <w:charset w:val="80"/>
    <w:family w:val="auto"/>
    <w:pitch w:val="default"/>
    <w:sig w:usb0="A00002FF" w:usb1="68C7FEFF" w:usb2="00000012" w:usb3="00000000" w:csb0="0002000D"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D26"/>
    <w:rsid w:val="0039314B"/>
    <w:rsid w:val="00C317E2"/>
    <w:rsid w:val="00E52D26"/>
    <w:rsid w:val="2CF17FDA"/>
    <w:rsid w:val="602068F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31</Pages>
  <Words>2055</Words>
  <Characters>11716</Characters>
  <Lines>97</Lines>
  <Paragraphs>27</Paragraphs>
  <ScaleCrop>false</ScaleCrop>
  <LinksUpToDate>false</LinksUpToDate>
  <CharactersWithSpaces>13744</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2025-01-22T07:31:00Z</dcterms:created>
  <dc:creator>lenovo</dc:creator>
  <cp:lastModifiedBy>lenovo</cp:lastModifiedBy>
  <dcterms:modified xsi:type="dcterms:W3CDTF">2025-10-24T07:17:35Z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