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3007.0</w:t>
            </w:r>
            <w:r>
              <w:rPr>
                <w:rFonts w:hint="eastAsia"/>
                <w:lang w:val="en-US" w:eastAsia="zh-CN"/>
              </w:rPr>
              <w:t>1</w:t>
            </w:r>
          </w:p>
        </w:tc>
        <w:tc>
          <w:tcPr>
            <w:tcW w:w="4535" w:type="dxa"/>
            <w:vAlign w:val="center"/>
          </w:tcPr>
          <w:p>
            <w:pPr>
              <w:pStyle w:val="13"/>
            </w:pPr>
            <w:r>
              <w:t>一、一般公共服务支出</w:t>
            </w:r>
          </w:p>
        </w:tc>
        <w:tc>
          <w:tcPr>
            <w:tcW w:w="2126" w:type="dxa"/>
            <w:vAlign w:val="center"/>
          </w:tcPr>
          <w:p>
            <w:pPr>
              <w:pStyle w:val="12"/>
            </w:pPr>
            <w:r>
              <w:t>2601.94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356.26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3007.0</w:t>
            </w:r>
            <w:r>
              <w:rPr>
                <w:rFonts w:hint="eastAsia"/>
                <w:lang w:val="en-US" w:eastAsia="zh-CN"/>
              </w:rPr>
              <w:t>1</w:t>
            </w:r>
          </w:p>
        </w:tc>
        <w:tc>
          <w:tcPr>
            <w:tcW w:w="4535" w:type="dxa"/>
            <w:vAlign w:val="center"/>
          </w:tcPr>
          <w:p>
            <w:pPr>
              <w:pStyle w:val="15"/>
            </w:pPr>
            <w:r>
              <w:t>本年支出合计</w:t>
            </w:r>
          </w:p>
        </w:tc>
        <w:tc>
          <w:tcPr>
            <w:tcW w:w="2126" w:type="dxa"/>
            <w:vAlign w:val="center"/>
          </w:tcPr>
          <w:p>
            <w:pPr>
              <w:pStyle w:val="16"/>
            </w:pPr>
            <w:r>
              <w:t>3118.6</w:t>
            </w:r>
            <w:r>
              <w:rPr>
                <w:rFonts w:hint="eastAsia"/>
                <w:lang w:val="en-US" w:eastAsia="zh-CN"/>
              </w:rPr>
              <w:t>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111.62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3118.6</w:t>
            </w:r>
            <w:r>
              <w:rPr>
                <w:rFonts w:hint="eastAsia"/>
                <w:lang w:val="en-US" w:eastAsia="zh-CN"/>
              </w:rPr>
              <w:t>3</w:t>
            </w:r>
          </w:p>
        </w:tc>
        <w:tc>
          <w:tcPr>
            <w:tcW w:w="4535" w:type="dxa"/>
            <w:vAlign w:val="center"/>
          </w:tcPr>
          <w:p>
            <w:pPr>
              <w:pStyle w:val="15"/>
            </w:pPr>
            <w:r>
              <w:t>支出总计</w:t>
            </w:r>
          </w:p>
        </w:tc>
        <w:tc>
          <w:tcPr>
            <w:tcW w:w="2126" w:type="dxa"/>
            <w:vAlign w:val="center"/>
          </w:tcPr>
          <w:p>
            <w:pPr>
              <w:pStyle w:val="16"/>
            </w:pPr>
            <w:r>
              <w:t>3118.6</w:t>
            </w:r>
            <w:r>
              <w:rPr>
                <w:rFonts w:hint="eastAsia"/>
                <w:lang w:val="en-US" w:eastAsia="zh-CN"/>
              </w:rPr>
              <w:t>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3118.63</w:t>
            </w:r>
          </w:p>
        </w:tc>
        <w:tc>
          <w:tcPr>
            <w:tcW w:w="1134" w:type="dxa"/>
            <w:vAlign w:val="center"/>
          </w:tcPr>
          <w:p>
            <w:pPr>
              <w:pStyle w:val="16"/>
            </w:pPr>
            <w:r>
              <w:t>3007.0</w:t>
            </w:r>
            <w:r>
              <w:rPr>
                <w:rFonts w:hint="eastAsia"/>
                <w:lang w:val="en-US" w:eastAsia="zh-CN"/>
              </w:rPr>
              <w:t>1</w:t>
            </w:r>
          </w:p>
        </w:tc>
        <w:tc>
          <w:tcPr>
            <w:tcW w:w="1134" w:type="dxa"/>
            <w:vAlign w:val="center"/>
          </w:tcPr>
          <w:p>
            <w:pPr>
              <w:pStyle w:val="16"/>
            </w:pPr>
            <w:r>
              <w:t>3007.0</w:t>
            </w:r>
            <w:r>
              <w:rPr>
                <w:rFonts w:hint="eastAsia"/>
                <w:lang w:val="en-US" w:eastAsia="zh-CN"/>
              </w:rPr>
              <w:t>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2601.9</w:t>
            </w:r>
            <w:r>
              <w:rPr>
                <w:rFonts w:hint="eastAsia"/>
                <w:lang w:val="en-US" w:eastAsia="zh-CN"/>
              </w:rPr>
              <w:t>5</w:t>
            </w:r>
          </w:p>
        </w:tc>
        <w:tc>
          <w:tcPr>
            <w:tcW w:w="1134" w:type="dxa"/>
            <w:vAlign w:val="center"/>
          </w:tcPr>
          <w:p>
            <w:pPr>
              <w:pStyle w:val="12"/>
            </w:pPr>
            <w:r>
              <w:t>2490.33</w:t>
            </w:r>
          </w:p>
        </w:tc>
        <w:tc>
          <w:tcPr>
            <w:tcW w:w="1134" w:type="dxa"/>
            <w:vAlign w:val="center"/>
          </w:tcPr>
          <w:p>
            <w:pPr>
              <w:pStyle w:val="12"/>
            </w:pPr>
            <w:r>
              <w:t>2490.33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20101</w:t>
            </w:r>
          </w:p>
        </w:tc>
        <w:tc>
          <w:tcPr>
            <w:tcW w:w="1559" w:type="dxa"/>
            <w:vAlign w:val="center"/>
          </w:tcPr>
          <w:p>
            <w:pPr>
              <w:pStyle w:val="13"/>
            </w:pPr>
            <w:r>
              <w:t>人大事务</w:t>
            </w:r>
          </w:p>
        </w:tc>
        <w:tc>
          <w:tcPr>
            <w:tcW w:w="1134" w:type="dxa"/>
            <w:vAlign w:val="center"/>
          </w:tcPr>
          <w:p>
            <w:pPr>
              <w:pStyle w:val="12"/>
            </w:pPr>
            <w:r>
              <w:t>1.19</w:t>
            </w:r>
          </w:p>
        </w:tc>
        <w:tc>
          <w:tcPr>
            <w:tcW w:w="1134" w:type="dxa"/>
            <w:vAlign w:val="center"/>
          </w:tcPr>
          <w:p>
            <w:pPr>
              <w:pStyle w:val="12"/>
            </w:pPr>
            <w:r>
              <w:t>1.19</w:t>
            </w:r>
          </w:p>
        </w:tc>
        <w:tc>
          <w:tcPr>
            <w:tcW w:w="1134" w:type="dxa"/>
            <w:vAlign w:val="center"/>
          </w:tcPr>
          <w:p>
            <w:pPr>
              <w:pStyle w:val="12"/>
            </w:pPr>
            <w:r>
              <w:t>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2010101</w:t>
            </w:r>
          </w:p>
        </w:tc>
        <w:tc>
          <w:tcPr>
            <w:tcW w:w="1559" w:type="dxa"/>
            <w:vAlign w:val="center"/>
          </w:tcPr>
          <w:p>
            <w:pPr>
              <w:pStyle w:val="13"/>
            </w:pPr>
            <w:r>
              <w:t>行政运行</w:t>
            </w:r>
          </w:p>
        </w:tc>
        <w:tc>
          <w:tcPr>
            <w:tcW w:w="1134" w:type="dxa"/>
            <w:vAlign w:val="center"/>
          </w:tcPr>
          <w:p>
            <w:pPr>
              <w:pStyle w:val="12"/>
            </w:pPr>
            <w:r>
              <w:t>1.19</w:t>
            </w:r>
          </w:p>
        </w:tc>
        <w:tc>
          <w:tcPr>
            <w:tcW w:w="1134" w:type="dxa"/>
            <w:vAlign w:val="center"/>
          </w:tcPr>
          <w:p>
            <w:pPr>
              <w:pStyle w:val="12"/>
            </w:pPr>
            <w:r>
              <w:t>1.19</w:t>
            </w:r>
          </w:p>
        </w:tc>
        <w:tc>
          <w:tcPr>
            <w:tcW w:w="1134" w:type="dxa"/>
            <w:vAlign w:val="center"/>
          </w:tcPr>
          <w:p>
            <w:pPr>
              <w:pStyle w:val="12"/>
            </w:pPr>
            <w:r>
              <w:t>1.19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2489.14</w:t>
            </w:r>
          </w:p>
        </w:tc>
        <w:tc>
          <w:tcPr>
            <w:tcW w:w="1134" w:type="dxa"/>
            <w:vAlign w:val="center"/>
          </w:tcPr>
          <w:p>
            <w:pPr>
              <w:pStyle w:val="12"/>
            </w:pPr>
            <w:r>
              <w:t>2489.14</w:t>
            </w:r>
          </w:p>
        </w:tc>
        <w:tc>
          <w:tcPr>
            <w:tcW w:w="1134" w:type="dxa"/>
            <w:vAlign w:val="center"/>
          </w:tcPr>
          <w:p>
            <w:pPr>
              <w:pStyle w:val="12"/>
            </w:pPr>
            <w:r>
              <w:t>2489.14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2207.68</w:t>
            </w:r>
          </w:p>
        </w:tc>
        <w:tc>
          <w:tcPr>
            <w:tcW w:w="1134" w:type="dxa"/>
            <w:vAlign w:val="center"/>
          </w:tcPr>
          <w:p>
            <w:pPr>
              <w:pStyle w:val="12"/>
            </w:pPr>
            <w:r>
              <w:t>2207.68</w:t>
            </w:r>
          </w:p>
        </w:tc>
        <w:tc>
          <w:tcPr>
            <w:tcW w:w="1134" w:type="dxa"/>
            <w:vAlign w:val="center"/>
          </w:tcPr>
          <w:p>
            <w:pPr>
              <w:pStyle w:val="12"/>
            </w:pPr>
            <w:r>
              <w:t>2207.68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281.45</w:t>
            </w:r>
          </w:p>
        </w:tc>
        <w:tc>
          <w:tcPr>
            <w:tcW w:w="1134" w:type="dxa"/>
            <w:vAlign w:val="center"/>
          </w:tcPr>
          <w:p>
            <w:pPr>
              <w:pStyle w:val="12"/>
            </w:pPr>
            <w:r>
              <w:t>281.45</w:t>
            </w:r>
          </w:p>
        </w:tc>
        <w:tc>
          <w:tcPr>
            <w:tcW w:w="1134" w:type="dxa"/>
            <w:vAlign w:val="center"/>
          </w:tcPr>
          <w:p>
            <w:pPr>
              <w:pStyle w:val="12"/>
            </w:pPr>
            <w:r>
              <w:t>281.45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111.62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111.62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356.26</w:t>
            </w:r>
          </w:p>
        </w:tc>
        <w:tc>
          <w:tcPr>
            <w:tcW w:w="1134" w:type="dxa"/>
            <w:vAlign w:val="center"/>
          </w:tcPr>
          <w:p>
            <w:pPr>
              <w:pStyle w:val="12"/>
            </w:pPr>
            <w:r>
              <w:t>356.26</w:t>
            </w:r>
          </w:p>
        </w:tc>
        <w:tc>
          <w:tcPr>
            <w:tcW w:w="1134" w:type="dxa"/>
            <w:vAlign w:val="center"/>
          </w:tcPr>
          <w:p>
            <w:pPr>
              <w:pStyle w:val="12"/>
            </w:pPr>
            <w:r>
              <w:t>356.26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356.26</w:t>
            </w:r>
          </w:p>
        </w:tc>
        <w:tc>
          <w:tcPr>
            <w:tcW w:w="1134" w:type="dxa"/>
            <w:vAlign w:val="center"/>
          </w:tcPr>
          <w:p>
            <w:pPr>
              <w:pStyle w:val="12"/>
            </w:pPr>
            <w:r>
              <w:t>356.26</w:t>
            </w:r>
          </w:p>
        </w:tc>
        <w:tc>
          <w:tcPr>
            <w:tcW w:w="1134" w:type="dxa"/>
            <w:vAlign w:val="center"/>
          </w:tcPr>
          <w:p>
            <w:pPr>
              <w:pStyle w:val="12"/>
            </w:pPr>
            <w:r>
              <w:t>356.26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256.14</w:t>
            </w:r>
          </w:p>
        </w:tc>
        <w:tc>
          <w:tcPr>
            <w:tcW w:w="1134" w:type="dxa"/>
            <w:vAlign w:val="center"/>
          </w:tcPr>
          <w:p>
            <w:pPr>
              <w:pStyle w:val="12"/>
            </w:pPr>
            <w:r>
              <w:t>256.14</w:t>
            </w:r>
          </w:p>
        </w:tc>
        <w:tc>
          <w:tcPr>
            <w:tcW w:w="1134" w:type="dxa"/>
            <w:vAlign w:val="center"/>
          </w:tcPr>
          <w:p>
            <w:pPr>
              <w:pStyle w:val="12"/>
            </w:pPr>
            <w:r>
              <w:t>256.14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94.12</w:t>
            </w:r>
          </w:p>
        </w:tc>
        <w:tc>
          <w:tcPr>
            <w:tcW w:w="1134" w:type="dxa"/>
            <w:vAlign w:val="center"/>
          </w:tcPr>
          <w:p>
            <w:pPr>
              <w:pStyle w:val="12"/>
            </w:pPr>
            <w:r>
              <w:t>94.12</w:t>
            </w:r>
          </w:p>
        </w:tc>
        <w:tc>
          <w:tcPr>
            <w:tcW w:w="1134" w:type="dxa"/>
            <w:vAlign w:val="center"/>
          </w:tcPr>
          <w:p>
            <w:pPr>
              <w:pStyle w:val="12"/>
            </w:pPr>
            <w:r>
              <w:t>94.12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r>
              <w:t>67.99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r>
              <w:t>90.44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3118.63</w:t>
            </w:r>
          </w:p>
        </w:tc>
        <w:tc>
          <w:tcPr>
            <w:tcW w:w="1361" w:type="dxa"/>
            <w:vAlign w:val="center"/>
          </w:tcPr>
          <w:p>
            <w:pPr>
              <w:pStyle w:val="16"/>
            </w:pPr>
            <w:r>
              <w:t>2723.56</w:t>
            </w:r>
          </w:p>
        </w:tc>
        <w:tc>
          <w:tcPr>
            <w:tcW w:w="1361" w:type="dxa"/>
            <w:vAlign w:val="center"/>
          </w:tcPr>
          <w:p>
            <w:pPr>
              <w:pStyle w:val="16"/>
            </w:pPr>
            <w:r>
              <w:t>395.07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2601.94</w:t>
            </w:r>
          </w:p>
        </w:tc>
        <w:tc>
          <w:tcPr>
            <w:tcW w:w="1361" w:type="dxa"/>
            <w:vAlign w:val="center"/>
          </w:tcPr>
          <w:p>
            <w:pPr>
              <w:pStyle w:val="12"/>
            </w:pPr>
            <w:r>
              <w:t>2208.87</w:t>
            </w:r>
          </w:p>
        </w:tc>
        <w:tc>
          <w:tcPr>
            <w:tcW w:w="1361" w:type="dxa"/>
            <w:vAlign w:val="center"/>
          </w:tcPr>
          <w:p>
            <w:pPr>
              <w:pStyle w:val="12"/>
            </w:pPr>
            <w:r>
              <w:t>393.07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20101</w:t>
            </w:r>
          </w:p>
        </w:tc>
        <w:tc>
          <w:tcPr>
            <w:tcW w:w="4535" w:type="dxa"/>
            <w:vAlign w:val="center"/>
          </w:tcPr>
          <w:p>
            <w:pPr>
              <w:pStyle w:val="13"/>
            </w:pPr>
            <w:r>
              <w:t>人大事务</w:t>
            </w:r>
          </w:p>
        </w:tc>
        <w:tc>
          <w:tcPr>
            <w:tcW w:w="1361" w:type="dxa"/>
            <w:vAlign w:val="center"/>
          </w:tcPr>
          <w:p>
            <w:pPr>
              <w:pStyle w:val="12"/>
            </w:pPr>
            <w:r>
              <w:t>1.19</w:t>
            </w:r>
          </w:p>
        </w:tc>
        <w:tc>
          <w:tcPr>
            <w:tcW w:w="1361" w:type="dxa"/>
            <w:vAlign w:val="center"/>
          </w:tcPr>
          <w:p>
            <w:pPr>
              <w:pStyle w:val="12"/>
            </w:pPr>
            <w:r>
              <w:t>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2010101</w:t>
            </w:r>
          </w:p>
        </w:tc>
        <w:tc>
          <w:tcPr>
            <w:tcW w:w="4535" w:type="dxa"/>
            <w:vAlign w:val="center"/>
          </w:tcPr>
          <w:p>
            <w:pPr>
              <w:pStyle w:val="13"/>
            </w:pPr>
            <w:r>
              <w:t>行政运行</w:t>
            </w:r>
          </w:p>
        </w:tc>
        <w:tc>
          <w:tcPr>
            <w:tcW w:w="1361" w:type="dxa"/>
            <w:vAlign w:val="center"/>
          </w:tcPr>
          <w:p>
            <w:pPr>
              <w:pStyle w:val="12"/>
            </w:pPr>
            <w:r>
              <w:t>1.19</w:t>
            </w:r>
          </w:p>
        </w:tc>
        <w:tc>
          <w:tcPr>
            <w:tcW w:w="1361" w:type="dxa"/>
            <w:vAlign w:val="center"/>
          </w:tcPr>
          <w:p>
            <w:pPr>
              <w:pStyle w:val="12"/>
            </w:pPr>
            <w:r>
              <w:t>1.19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2489.14</w:t>
            </w:r>
          </w:p>
        </w:tc>
        <w:tc>
          <w:tcPr>
            <w:tcW w:w="1361" w:type="dxa"/>
            <w:vAlign w:val="center"/>
          </w:tcPr>
          <w:p>
            <w:pPr>
              <w:pStyle w:val="12"/>
            </w:pPr>
            <w:r>
              <w:t>2207.68</w:t>
            </w:r>
          </w:p>
        </w:tc>
        <w:tc>
          <w:tcPr>
            <w:tcW w:w="1361" w:type="dxa"/>
            <w:vAlign w:val="center"/>
          </w:tcPr>
          <w:p>
            <w:pPr>
              <w:pStyle w:val="12"/>
            </w:pPr>
            <w:r>
              <w:t>281.45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2207.68</w:t>
            </w:r>
          </w:p>
        </w:tc>
        <w:tc>
          <w:tcPr>
            <w:tcW w:w="1361" w:type="dxa"/>
            <w:vAlign w:val="center"/>
          </w:tcPr>
          <w:p>
            <w:pPr>
              <w:pStyle w:val="12"/>
            </w:pPr>
            <w:r>
              <w:t>2207.68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281.45</w:t>
            </w:r>
          </w:p>
        </w:tc>
        <w:tc>
          <w:tcPr>
            <w:tcW w:w="1361" w:type="dxa"/>
            <w:vAlign w:val="center"/>
          </w:tcPr>
          <w:p>
            <w:pPr>
              <w:pStyle w:val="12"/>
            </w:pPr>
          </w:p>
        </w:tc>
        <w:tc>
          <w:tcPr>
            <w:tcW w:w="1361" w:type="dxa"/>
            <w:vAlign w:val="center"/>
          </w:tcPr>
          <w:p>
            <w:pPr>
              <w:pStyle w:val="12"/>
            </w:pPr>
            <w:r>
              <w:t>281.45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111.62</w:t>
            </w:r>
          </w:p>
        </w:tc>
        <w:tc>
          <w:tcPr>
            <w:tcW w:w="1361" w:type="dxa"/>
            <w:vAlign w:val="center"/>
          </w:tcPr>
          <w:p>
            <w:pPr>
              <w:pStyle w:val="12"/>
            </w:pPr>
          </w:p>
        </w:tc>
        <w:tc>
          <w:tcPr>
            <w:tcW w:w="1361" w:type="dxa"/>
            <w:vAlign w:val="center"/>
          </w:tcPr>
          <w:p>
            <w:pPr>
              <w:pStyle w:val="12"/>
            </w:pPr>
            <w:r>
              <w:t>111.62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111.62</w:t>
            </w:r>
          </w:p>
        </w:tc>
        <w:tc>
          <w:tcPr>
            <w:tcW w:w="1361" w:type="dxa"/>
            <w:vAlign w:val="center"/>
          </w:tcPr>
          <w:p>
            <w:pPr>
              <w:pStyle w:val="12"/>
            </w:pPr>
          </w:p>
        </w:tc>
        <w:tc>
          <w:tcPr>
            <w:tcW w:w="1361" w:type="dxa"/>
            <w:vAlign w:val="center"/>
          </w:tcPr>
          <w:p>
            <w:pPr>
              <w:pStyle w:val="12"/>
            </w:pPr>
            <w:r>
              <w:t>111.62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356.26</w:t>
            </w:r>
          </w:p>
        </w:tc>
        <w:tc>
          <w:tcPr>
            <w:tcW w:w="1361" w:type="dxa"/>
            <w:vAlign w:val="center"/>
          </w:tcPr>
          <w:p>
            <w:pPr>
              <w:pStyle w:val="12"/>
            </w:pPr>
            <w:r>
              <w:t>356.26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356.26</w:t>
            </w:r>
          </w:p>
        </w:tc>
        <w:tc>
          <w:tcPr>
            <w:tcW w:w="1361" w:type="dxa"/>
            <w:vAlign w:val="center"/>
          </w:tcPr>
          <w:p>
            <w:pPr>
              <w:pStyle w:val="12"/>
            </w:pPr>
            <w:r>
              <w:t>356.26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256.14</w:t>
            </w:r>
          </w:p>
        </w:tc>
        <w:tc>
          <w:tcPr>
            <w:tcW w:w="1361" w:type="dxa"/>
            <w:vAlign w:val="center"/>
          </w:tcPr>
          <w:p>
            <w:pPr>
              <w:pStyle w:val="12"/>
            </w:pPr>
            <w:r>
              <w:t>256.14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94.12</w:t>
            </w:r>
          </w:p>
        </w:tc>
        <w:tc>
          <w:tcPr>
            <w:tcW w:w="1361" w:type="dxa"/>
            <w:vAlign w:val="center"/>
          </w:tcPr>
          <w:p>
            <w:pPr>
              <w:pStyle w:val="12"/>
            </w:pPr>
            <w:r>
              <w:t>94.12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67.99</w:t>
            </w:r>
          </w:p>
        </w:tc>
        <w:tc>
          <w:tcPr>
            <w:tcW w:w="1361" w:type="dxa"/>
            <w:vAlign w:val="center"/>
          </w:tcPr>
          <w:p>
            <w:pPr>
              <w:pStyle w:val="12"/>
            </w:pPr>
            <w:r>
              <w:t>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67.99</w:t>
            </w:r>
          </w:p>
        </w:tc>
        <w:tc>
          <w:tcPr>
            <w:tcW w:w="1361" w:type="dxa"/>
            <w:vAlign w:val="center"/>
          </w:tcPr>
          <w:p>
            <w:pPr>
              <w:pStyle w:val="12"/>
            </w:pPr>
            <w:r>
              <w:t>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67.99</w:t>
            </w:r>
          </w:p>
        </w:tc>
        <w:tc>
          <w:tcPr>
            <w:tcW w:w="1361" w:type="dxa"/>
            <w:vAlign w:val="center"/>
          </w:tcPr>
          <w:p>
            <w:pPr>
              <w:pStyle w:val="12"/>
            </w:pPr>
            <w:r>
              <w:t>67.99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90.44</w:t>
            </w:r>
          </w:p>
        </w:tc>
        <w:tc>
          <w:tcPr>
            <w:tcW w:w="1361" w:type="dxa"/>
            <w:vAlign w:val="center"/>
          </w:tcPr>
          <w:p>
            <w:pPr>
              <w:pStyle w:val="12"/>
            </w:pPr>
            <w:r>
              <w:t>90.44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90.44</w:t>
            </w:r>
          </w:p>
        </w:tc>
        <w:tc>
          <w:tcPr>
            <w:tcW w:w="1361" w:type="dxa"/>
            <w:vAlign w:val="center"/>
          </w:tcPr>
          <w:p>
            <w:pPr>
              <w:pStyle w:val="12"/>
            </w:pPr>
            <w:r>
              <w:t>90.44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90.44</w:t>
            </w:r>
          </w:p>
        </w:tc>
        <w:tc>
          <w:tcPr>
            <w:tcW w:w="1361" w:type="dxa"/>
            <w:vAlign w:val="center"/>
          </w:tcPr>
          <w:p>
            <w:pPr>
              <w:pStyle w:val="12"/>
            </w:pPr>
            <w:r>
              <w:t>90.44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3007.0</w:t>
            </w:r>
            <w:r>
              <w:rPr>
                <w:rFonts w:hint="eastAsia"/>
                <w:lang w:val="en-US" w:eastAsia="zh-CN"/>
              </w:rPr>
              <w:t>1</w:t>
            </w:r>
          </w:p>
        </w:tc>
        <w:tc>
          <w:tcPr>
            <w:tcW w:w="3402" w:type="dxa"/>
            <w:vAlign w:val="center"/>
          </w:tcPr>
          <w:p>
            <w:pPr>
              <w:pStyle w:val="13"/>
            </w:pPr>
            <w:r>
              <w:t>一、一般公共服务支出</w:t>
            </w:r>
          </w:p>
        </w:tc>
        <w:tc>
          <w:tcPr>
            <w:tcW w:w="1474" w:type="dxa"/>
            <w:vAlign w:val="center"/>
          </w:tcPr>
          <w:p>
            <w:pPr>
              <w:pStyle w:val="12"/>
            </w:pPr>
            <w:r>
              <w:t>2601.94</w:t>
            </w:r>
          </w:p>
        </w:tc>
        <w:tc>
          <w:tcPr>
            <w:tcW w:w="1474" w:type="dxa"/>
            <w:vAlign w:val="center"/>
          </w:tcPr>
          <w:p>
            <w:pPr>
              <w:pStyle w:val="12"/>
            </w:pPr>
            <w:r>
              <w:t>2601.94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356.26</w:t>
            </w:r>
          </w:p>
        </w:tc>
        <w:tc>
          <w:tcPr>
            <w:tcW w:w="1474" w:type="dxa"/>
            <w:vAlign w:val="center"/>
          </w:tcPr>
          <w:p>
            <w:pPr>
              <w:pStyle w:val="12"/>
            </w:pPr>
            <w:r>
              <w:t>356.26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67.99</w:t>
            </w:r>
          </w:p>
        </w:tc>
        <w:tc>
          <w:tcPr>
            <w:tcW w:w="1474" w:type="dxa"/>
            <w:vAlign w:val="center"/>
          </w:tcPr>
          <w:p>
            <w:pPr>
              <w:pStyle w:val="12"/>
            </w:pPr>
            <w:r>
              <w:t>67.99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90.44</w:t>
            </w:r>
          </w:p>
        </w:tc>
        <w:tc>
          <w:tcPr>
            <w:tcW w:w="1474" w:type="dxa"/>
            <w:vAlign w:val="center"/>
          </w:tcPr>
          <w:p>
            <w:pPr>
              <w:pStyle w:val="12"/>
            </w:pPr>
            <w:r>
              <w:t>90.44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3007.0</w:t>
            </w:r>
            <w:r>
              <w:rPr>
                <w:rFonts w:hint="eastAsia"/>
                <w:lang w:val="en-US" w:eastAsia="zh-CN"/>
              </w:rPr>
              <w:t>1</w:t>
            </w:r>
          </w:p>
        </w:tc>
        <w:tc>
          <w:tcPr>
            <w:tcW w:w="3402" w:type="dxa"/>
            <w:vAlign w:val="center"/>
          </w:tcPr>
          <w:p>
            <w:pPr>
              <w:pStyle w:val="15"/>
            </w:pPr>
            <w:r>
              <w:t>本年支出合计</w:t>
            </w:r>
          </w:p>
        </w:tc>
        <w:tc>
          <w:tcPr>
            <w:tcW w:w="1474" w:type="dxa"/>
            <w:vAlign w:val="center"/>
          </w:tcPr>
          <w:p>
            <w:pPr>
              <w:pStyle w:val="16"/>
            </w:pPr>
            <w:r>
              <w:t>3118.63</w:t>
            </w:r>
          </w:p>
        </w:tc>
        <w:tc>
          <w:tcPr>
            <w:tcW w:w="1474" w:type="dxa"/>
            <w:vAlign w:val="center"/>
          </w:tcPr>
          <w:p>
            <w:pPr>
              <w:pStyle w:val="16"/>
            </w:pPr>
            <w:r>
              <w:t>3118.63</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111.62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111.62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3118.63</w:t>
            </w:r>
          </w:p>
        </w:tc>
        <w:tc>
          <w:tcPr>
            <w:tcW w:w="3402" w:type="dxa"/>
            <w:vAlign w:val="center"/>
          </w:tcPr>
          <w:p>
            <w:pPr>
              <w:pStyle w:val="15"/>
            </w:pPr>
            <w:r>
              <w:t>支出总计</w:t>
            </w:r>
          </w:p>
        </w:tc>
        <w:tc>
          <w:tcPr>
            <w:tcW w:w="1474" w:type="dxa"/>
            <w:vAlign w:val="center"/>
          </w:tcPr>
          <w:p>
            <w:pPr>
              <w:pStyle w:val="16"/>
            </w:pPr>
            <w:r>
              <w:t>3118.63</w:t>
            </w:r>
          </w:p>
        </w:tc>
        <w:tc>
          <w:tcPr>
            <w:tcW w:w="1474" w:type="dxa"/>
            <w:vAlign w:val="center"/>
          </w:tcPr>
          <w:p>
            <w:pPr>
              <w:pStyle w:val="16"/>
            </w:pPr>
            <w:r>
              <w:t>3118.63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bookmarkStart w:id="20" w:name="_GoBack"/>
      <w:bookmarkEnd w:id="20"/>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3118.63</w:t>
            </w:r>
          </w:p>
        </w:tc>
        <w:tc>
          <w:tcPr>
            <w:tcW w:w="2551" w:type="dxa"/>
            <w:vAlign w:val="center"/>
          </w:tcPr>
          <w:p>
            <w:pPr>
              <w:pStyle w:val="16"/>
            </w:pPr>
            <w:r>
              <w:t>2723.56</w:t>
            </w:r>
          </w:p>
        </w:tc>
        <w:tc>
          <w:tcPr>
            <w:tcW w:w="2551" w:type="dxa"/>
            <w:vAlign w:val="center"/>
          </w:tcPr>
          <w:p>
            <w:pPr>
              <w:pStyle w:val="16"/>
            </w:pPr>
            <w:r>
              <w:t>395.07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2601.94</w:t>
            </w:r>
          </w:p>
        </w:tc>
        <w:tc>
          <w:tcPr>
            <w:tcW w:w="2551" w:type="dxa"/>
            <w:vAlign w:val="center"/>
          </w:tcPr>
          <w:p>
            <w:pPr>
              <w:pStyle w:val="12"/>
            </w:pPr>
            <w:r>
              <w:t>2208.87</w:t>
            </w:r>
          </w:p>
        </w:tc>
        <w:tc>
          <w:tcPr>
            <w:tcW w:w="2551" w:type="dxa"/>
            <w:vAlign w:val="center"/>
          </w:tcPr>
          <w:p>
            <w:pPr>
              <w:pStyle w:val="12"/>
            </w:pPr>
            <w:r>
              <w:t>393.07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20101</w:t>
            </w:r>
          </w:p>
        </w:tc>
        <w:tc>
          <w:tcPr>
            <w:tcW w:w="4535" w:type="dxa"/>
            <w:vAlign w:val="center"/>
          </w:tcPr>
          <w:p>
            <w:pPr>
              <w:pStyle w:val="13"/>
            </w:pPr>
            <w:r>
              <w:t>人大事务</w:t>
            </w:r>
          </w:p>
        </w:tc>
        <w:tc>
          <w:tcPr>
            <w:tcW w:w="2551" w:type="dxa"/>
            <w:vAlign w:val="center"/>
          </w:tcPr>
          <w:p>
            <w:pPr>
              <w:pStyle w:val="12"/>
            </w:pPr>
            <w:r>
              <w:t>1.19</w:t>
            </w:r>
          </w:p>
        </w:tc>
        <w:tc>
          <w:tcPr>
            <w:tcW w:w="2551" w:type="dxa"/>
            <w:vAlign w:val="center"/>
          </w:tcPr>
          <w:p>
            <w:pPr>
              <w:pStyle w:val="12"/>
            </w:pPr>
            <w:r>
              <w:t>1.19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2010101</w:t>
            </w:r>
          </w:p>
        </w:tc>
        <w:tc>
          <w:tcPr>
            <w:tcW w:w="4535" w:type="dxa"/>
            <w:vAlign w:val="center"/>
          </w:tcPr>
          <w:p>
            <w:pPr>
              <w:pStyle w:val="13"/>
            </w:pPr>
            <w:r>
              <w:t>行政运行</w:t>
            </w:r>
          </w:p>
        </w:tc>
        <w:tc>
          <w:tcPr>
            <w:tcW w:w="2551" w:type="dxa"/>
            <w:vAlign w:val="center"/>
          </w:tcPr>
          <w:p>
            <w:pPr>
              <w:pStyle w:val="12"/>
            </w:pPr>
            <w:r>
              <w:t>1.19</w:t>
            </w:r>
          </w:p>
        </w:tc>
        <w:tc>
          <w:tcPr>
            <w:tcW w:w="2551" w:type="dxa"/>
            <w:vAlign w:val="center"/>
          </w:tcPr>
          <w:p>
            <w:pPr>
              <w:pStyle w:val="12"/>
            </w:pPr>
            <w:r>
              <w:t>1.19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2489.14</w:t>
            </w:r>
          </w:p>
        </w:tc>
        <w:tc>
          <w:tcPr>
            <w:tcW w:w="2551" w:type="dxa"/>
            <w:vAlign w:val="center"/>
          </w:tcPr>
          <w:p>
            <w:pPr>
              <w:pStyle w:val="12"/>
            </w:pPr>
            <w:r>
              <w:t>2207.68</w:t>
            </w:r>
          </w:p>
        </w:tc>
        <w:tc>
          <w:tcPr>
            <w:tcW w:w="2551" w:type="dxa"/>
            <w:vAlign w:val="center"/>
          </w:tcPr>
          <w:p>
            <w:pPr>
              <w:pStyle w:val="12"/>
            </w:pPr>
            <w:r>
              <w:t>281.45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2207.68</w:t>
            </w:r>
          </w:p>
        </w:tc>
        <w:tc>
          <w:tcPr>
            <w:tcW w:w="2551" w:type="dxa"/>
            <w:vAlign w:val="center"/>
          </w:tcPr>
          <w:p>
            <w:pPr>
              <w:pStyle w:val="12"/>
            </w:pPr>
            <w:r>
              <w:t>2207.68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281.45</w:t>
            </w:r>
          </w:p>
        </w:tc>
        <w:tc>
          <w:tcPr>
            <w:tcW w:w="2551" w:type="dxa"/>
            <w:vAlign w:val="center"/>
          </w:tcPr>
          <w:p>
            <w:pPr>
              <w:pStyle w:val="12"/>
            </w:pPr>
          </w:p>
        </w:tc>
        <w:tc>
          <w:tcPr>
            <w:tcW w:w="2551" w:type="dxa"/>
            <w:vAlign w:val="center"/>
          </w:tcPr>
          <w:p>
            <w:pPr>
              <w:pStyle w:val="12"/>
            </w:pPr>
            <w:r>
              <w:t>281.45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111.62</w:t>
            </w:r>
          </w:p>
        </w:tc>
        <w:tc>
          <w:tcPr>
            <w:tcW w:w="2551" w:type="dxa"/>
            <w:vAlign w:val="center"/>
          </w:tcPr>
          <w:p>
            <w:pPr>
              <w:pStyle w:val="12"/>
            </w:pPr>
          </w:p>
        </w:tc>
        <w:tc>
          <w:tcPr>
            <w:tcW w:w="2551"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111.62</w:t>
            </w:r>
          </w:p>
        </w:tc>
        <w:tc>
          <w:tcPr>
            <w:tcW w:w="2551" w:type="dxa"/>
            <w:vAlign w:val="center"/>
          </w:tcPr>
          <w:p>
            <w:pPr>
              <w:pStyle w:val="12"/>
            </w:pPr>
          </w:p>
        </w:tc>
        <w:tc>
          <w:tcPr>
            <w:tcW w:w="2551"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356.26</w:t>
            </w:r>
          </w:p>
        </w:tc>
        <w:tc>
          <w:tcPr>
            <w:tcW w:w="2551" w:type="dxa"/>
            <w:vAlign w:val="center"/>
          </w:tcPr>
          <w:p>
            <w:pPr>
              <w:pStyle w:val="12"/>
            </w:pPr>
            <w:r>
              <w:t>356.26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356.26</w:t>
            </w:r>
          </w:p>
        </w:tc>
        <w:tc>
          <w:tcPr>
            <w:tcW w:w="2551" w:type="dxa"/>
            <w:vAlign w:val="center"/>
          </w:tcPr>
          <w:p>
            <w:pPr>
              <w:pStyle w:val="12"/>
            </w:pPr>
            <w:r>
              <w:t>356.26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256.14</w:t>
            </w:r>
          </w:p>
        </w:tc>
        <w:tc>
          <w:tcPr>
            <w:tcW w:w="2551" w:type="dxa"/>
            <w:vAlign w:val="center"/>
          </w:tcPr>
          <w:p>
            <w:pPr>
              <w:pStyle w:val="12"/>
            </w:pPr>
            <w:r>
              <w:t>256.14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94.12</w:t>
            </w:r>
          </w:p>
        </w:tc>
        <w:tc>
          <w:tcPr>
            <w:tcW w:w="2551" w:type="dxa"/>
            <w:vAlign w:val="center"/>
          </w:tcPr>
          <w:p>
            <w:pPr>
              <w:pStyle w:val="12"/>
            </w:pPr>
            <w:r>
              <w:t>94.12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67.99</w:t>
            </w:r>
          </w:p>
        </w:tc>
        <w:tc>
          <w:tcPr>
            <w:tcW w:w="2551" w:type="dxa"/>
            <w:vAlign w:val="center"/>
          </w:tcPr>
          <w:p>
            <w:pPr>
              <w:pStyle w:val="12"/>
            </w:pPr>
            <w:r>
              <w:t>67.99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67.99</w:t>
            </w:r>
          </w:p>
        </w:tc>
        <w:tc>
          <w:tcPr>
            <w:tcW w:w="2551" w:type="dxa"/>
            <w:vAlign w:val="center"/>
          </w:tcPr>
          <w:p>
            <w:pPr>
              <w:pStyle w:val="12"/>
            </w:pPr>
            <w:r>
              <w:t>67.99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67.99</w:t>
            </w:r>
          </w:p>
        </w:tc>
        <w:tc>
          <w:tcPr>
            <w:tcW w:w="2551" w:type="dxa"/>
            <w:vAlign w:val="center"/>
          </w:tcPr>
          <w:p>
            <w:pPr>
              <w:pStyle w:val="12"/>
            </w:pPr>
            <w:r>
              <w:t>67.99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2723.56</w:t>
            </w:r>
          </w:p>
        </w:tc>
        <w:tc>
          <w:tcPr>
            <w:tcW w:w="2551" w:type="dxa"/>
            <w:vAlign w:val="center"/>
          </w:tcPr>
          <w:p>
            <w:pPr>
              <w:pStyle w:val="16"/>
            </w:pPr>
            <w:r>
              <w:t>2578.42</w:t>
            </w:r>
          </w:p>
        </w:tc>
        <w:tc>
          <w:tcPr>
            <w:tcW w:w="2551" w:type="dxa"/>
            <w:vAlign w:val="center"/>
          </w:tcPr>
          <w:p>
            <w:pPr>
              <w:pStyle w:val="16"/>
            </w:pPr>
            <w:r>
              <w:t>145.14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2325.20</w:t>
            </w:r>
          </w:p>
        </w:tc>
        <w:tc>
          <w:tcPr>
            <w:tcW w:w="2551" w:type="dxa"/>
            <w:vAlign w:val="center"/>
          </w:tcPr>
          <w:p>
            <w:pPr>
              <w:pStyle w:val="12"/>
            </w:pPr>
            <w:r>
              <w:t>2325.20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254.77</w:t>
            </w:r>
          </w:p>
        </w:tc>
        <w:tc>
          <w:tcPr>
            <w:tcW w:w="2551" w:type="dxa"/>
            <w:vAlign w:val="center"/>
          </w:tcPr>
          <w:p>
            <w:pPr>
              <w:pStyle w:val="12"/>
            </w:pPr>
            <w:r>
              <w:t>254.77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135.68</w:t>
            </w:r>
          </w:p>
        </w:tc>
        <w:tc>
          <w:tcPr>
            <w:tcW w:w="2551" w:type="dxa"/>
            <w:vAlign w:val="center"/>
          </w:tcPr>
          <w:p>
            <w:pPr>
              <w:pStyle w:val="12"/>
            </w:pPr>
            <w:r>
              <w:t>135.68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187.43</w:t>
            </w:r>
          </w:p>
        </w:tc>
        <w:tc>
          <w:tcPr>
            <w:tcW w:w="2551" w:type="dxa"/>
            <w:vAlign w:val="center"/>
          </w:tcPr>
          <w:p>
            <w:pPr>
              <w:pStyle w:val="12"/>
            </w:pPr>
            <w:r>
              <w:t>187.43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162.53</w:t>
            </w:r>
          </w:p>
        </w:tc>
        <w:tc>
          <w:tcPr>
            <w:tcW w:w="2551" w:type="dxa"/>
            <w:vAlign w:val="center"/>
          </w:tcPr>
          <w:p>
            <w:pPr>
              <w:pStyle w:val="12"/>
            </w:pPr>
            <w:r>
              <w:t>162.53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94.12</w:t>
            </w:r>
          </w:p>
        </w:tc>
        <w:tc>
          <w:tcPr>
            <w:tcW w:w="2551" w:type="dxa"/>
            <w:vAlign w:val="center"/>
          </w:tcPr>
          <w:p>
            <w:pPr>
              <w:pStyle w:val="12"/>
            </w:pPr>
            <w:r>
              <w:t>94.12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53.36</w:t>
            </w:r>
          </w:p>
        </w:tc>
        <w:tc>
          <w:tcPr>
            <w:tcW w:w="2551" w:type="dxa"/>
            <w:vAlign w:val="center"/>
          </w:tcPr>
          <w:p>
            <w:pPr>
              <w:pStyle w:val="12"/>
            </w:pPr>
            <w:r>
              <w:t>53.36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14.63</w:t>
            </w:r>
          </w:p>
        </w:tc>
        <w:tc>
          <w:tcPr>
            <w:tcW w:w="2551" w:type="dxa"/>
            <w:vAlign w:val="center"/>
          </w:tcPr>
          <w:p>
            <w:pPr>
              <w:pStyle w:val="12"/>
            </w:pPr>
            <w:r>
              <w:t>14.63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4.10</w:t>
            </w:r>
          </w:p>
        </w:tc>
        <w:tc>
          <w:tcPr>
            <w:tcW w:w="2551" w:type="dxa"/>
            <w:vAlign w:val="center"/>
          </w:tcPr>
          <w:p>
            <w:pPr>
              <w:pStyle w:val="12"/>
            </w:pPr>
            <w:r>
              <w:t>4.10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90.44</w:t>
            </w:r>
          </w:p>
        </w:tc>
        <w:tc>
          <w:tcPr>
            <w:tcW w:w="2551" w:type="dxa"/>
            <w:vAlign w:val="center"/>
          </w:tcPr>
          <w:p>
            <w:pPr>
              <w:pStyle w:val="12"/>
            </w:pPr>
            <w:r>
              <w:t>90.44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1322.14</w:t>
            </w:r>
          </w:p>
        </w:tc>
        <w:tc>
          <w:tcPr>
            <w:tcW w:w="2551" w:type="dxa"/>
            <w:vAlign w:val="center"/>
          </w:tcPr>
          <w:p>
            <w:pPr>
              <w:pStyle w:val="12"/>
            </w:pPr>
            <w:r>
              <w:t>1322.14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145.14</w:t>
            </w:r>
          </w:p>
        </w:tc>
        <w:tc>
          <w:tcPr>
            <w:tcW w:w="2551" w:type="dxa"/>
            <w:vAlign w:val="center"/>
          </w:tcPr>
          <w:p>
            <w:pPr>
              <w:pStyle w:val="12"/>
            </w:pPr>
          </w:p>
        </w:tc>
        <w:tc>
          <w:tcPr>
            <w:tcW w:w="2551" w:type="dxa"/>
            <w:vAlign w:val="center"/>
          </w:tcPr>
          <w:p>
            <w:pPr>
              <w:pStyle w:val="12"/>
            </w:pPr>
            <w:r>
              <w:t>145.14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18.81</w:t>
            </w:r>
          </w:p>
        </w:tc>
        <w:tc>
          <w:tcPr>
            <w:tcW w:w="2551" w:type="dxa"/>
            <w:vAlign w:val="center"/>
          </w:tcPr>
          <w:p>
            <w:pPr>
              <w:pStyle w:val="12"/>
            </w:pPr>
          </w:p>
        </w:tc>
        <w:tc>
          <w:tcPr>
            <w:tcW w:w="2551" w:type="dxa"/>
            <w:vAlign w:val="center"/>
          </w:tcPr>
          <w:p>
            <w:pPr>
              <w:pStyle w:val="12"/>
            </w:pPr>
            <w:r>
              <w:t>18.81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20.04</w:t>
            </w:r>
          </w:p>
        </w:tc>
        <w:tc>
          <w:tcPr>
            <w:tcW w:w="2551" w:type="dxa"/>
            <w:vAlign w:val="center"/>
          </w:tcPr>
          <w:p>
            <w:pPr>
              <w:pStyle w:val="12"/>
            </w:pPr>
          </w:p>
        </w:tc>
        <w:tc>
          <w:tcPr>
            <w:tcW w:w="2551" w:type="dxa"/>
            <w:vAlign w:val="center"/>
          </w:tcPr>
          <w:p>
            <w:pPr>
              <w:pStyle w:val="12"/>
            </w:pPr>
            <w:r>
              <w:t>20.04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15.72</w:t>
            </w:r>
          </w:p>
        </w:tc>
        <w:tc>
          <w:tcPr>
            <w:tcW w:w="2551" w:type="dxa"/>
            <w:vAlign w:val="center"/>
          </w:tcPr>
          <w:p>
            <w:pPr>
              <w:pStyle w:val="12"/>
            </w:pPr>
          </w:p>
        </w:tc>
        <w:tc>
          <w:tcPr>
            <w:tcW w:w="2551" w:type="dxa"/>
            <w:vAlign w:val="center"/>
          </w:tcPr>
          <w:p>
            <w:pPr>
              <w:pStyle w:val="12"/>
            </w:pPr>
            <w:r>
              <w:t>15.72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2.54</w:t>
            </w:r>
          </w:p>
        </w:tc>
        <w:tc>
          <w:tcPr>
            <w:tcW w:w="2551" w:type="dxa"/>
            <w:vAlign w:val="center"/>
          </w:tcPr>
          <w:p>
            <w:pPr>
              <w:pStyle w:val="12"/>
            </w:pPr>
          </w:p>
        </w:tc>
        <w:tc>
          <w:tcPr>
            <w:tcW w:w="2551" w:type="dxa"/>
            <w:vAlign w:val="center"/>
          </w:tcPr>
          <w:p>
            <w:pPr>
              <w:pStyle w:val="12"/>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9.06</w:t>
            </w:r>
          </w:p>
        </w:tc>
        <w:tc>
          <w:tcPr>
            <w:tcW w:w="2551" w:type="dxa"/>
            <w:vAlign w:val="center"/>
          </w:tcPr>
          <w:p>
            <w:pPr>
              <w:pStyle w:val="12"/>
            </w:pPr>
          </w:p>
        </w:tc>
        <w:tc>
          <w:tcPr>
            <w:tcW w:w="2551" w:type="dxa"/>
            <w:vAlign w:val="center"/>
          </w:tcPr>
          <w:p>
            <w:pPr>
              <w:pStyle w:val="12"/>
            </w:pPr>
            <w:r>
              <w:t>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6.55</w:t>
            </w:r>
          </w:p>
        </w:tc>
        <w:tc>
          <w:tcPr>
            <w:tcW w:w="2551" w:type="dxa"/>
            <w:vAlign w:val="center"/>
          </w:tcPr>
          <w:p>
            <w:pPr>
              <w:pStyle w:val="12"/>
            </w:pPr>
          </w:p>
        </w:tc>
        <w:tc>
          <w:tcPr>
            <w:tcW w:w="2551" w:type="dxa"/>
            <w:vAlign w:val="center"/>
          </w:tcPr>
          <w:p>
            <w:pPr>
              <w:pStyle w:val="12"/>
            </w:pPr>
            <w:r>
              <w:t>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16.86</w:t>
            </w:r>
          </w:p>
        </w:tc>
        <w:tc>
          <w:tcPr>
            <w:tcW w:w="2551" w:type="dxa"/>
            <w:vAlign w:val="center"/>
          </w:tcPr>
          <w:p>
            <w:pPr>
              <w:pStyle w:val="12"/>
            </w:pPr>
          </w:p>
        </w:tc>
        <w:tc>
          <w:tcPr>
            <w:tcW w:w="2551" w:type="dxa"/>
            <w:vAlign w:val="center"/>
          </w:tcPr>
          <w:p>
            <w:pPr>
              <w:pStyle w:val="12"/>
            </w:pPr>
            <w:r>
              <w:t>16.86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38.56</w:t>
            </w:r>
          </w:p>
        </w:tc>
        <w:tc>
          <w:tcPr>
            <w:tcW w:w="2551" w:type="dxa"/>
            <w:vAlign w:val="center"/>
          </w:tcPr>
          <w:p>
            <w:pPr>
              <w:pStyle w:val="12"/>
            </w:pPr>
          </w:p>
        </w:tc>
        <w:tc>
          <w:tcPr>
            <w:tcW w:w="2551" w:type="dxa"/>
            <w:vAlign w:val="center"/>
          </w:tcPr>
          <w:p>
            <w:pPr>
              <w:pStyle w:val="12"/>
            </w:pPr>
            <w:r>
              <w:t>38.56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253.22</w:t>
            </w:r>
          </w:p>
        </w:tc>
        <w:tc>
          <w:tcPr>
            <w:tcW w:w="2551" w:type="dxa"/>
            <w:vAlign w:val="center"/>
          </w:tcPr>
          <w:p>
            <w:pPr>
              <w:pStyle w:val="12"/>
            </w:pPr>
            <w:r>
              <w:t>253.22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249.05</w:t>
            </w:r>
          </w:p>
        </w:tc>
        <w:tc>
          <w:tcPr>
            <w:tcW w:w="2551" w:type="dxa"/>
            <w:vAlign w:val="center"/>
          </w:tcPr>
          <w:p>
            <w:pPr>
              <w:pStyle w:val="12"/>
            </w:pPr>
            <w:r>
              <w:t>249.05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2.07</w:t>
            </w:r>
          </w:p>
        </w:tc>
        <w:tc>
          <w:tcPr>
            <w:tcW w:w="2551" w:type="dxa"/>
            <w:vAlign w:val="center"/>
          </w:tcPr>
          <w:p>
            <w:pPr>
              <w:pStyle w:val="12"/>
            </w:pPr>
            <w:r>
              <w:t>2.07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石家庄市桥西区振头街道办事处2025年部门预算信息公开情况说明</w:t>
      </w:r>
    </w:p>
    <w:p>
      <w:pPr>
        <w:jc w:val="center"/>
      </w:pPr>
      <w:r>
        <w:rPr>
          <w:rFonts w:ascii="方正小标宋_GBK" w:hAnsi="方正小标宋_GBK" w:eastAsia="方正小标宋_GBK" w:cs="方正小标宋_GBK"/>
          <w:color w:val="000000"/>
          <w:sz w:val="44"/>
        </w:rPr>
        <w:t>石家庄市桥西区振头街道办事处2025年部门预算信息公开情况说明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按照《中华人民共和国预算法》、《地方预决算公开操作规程》和《关于进一步推进预算公开工作的实施意见》规定，现将石家庄市桥西区振头街道办事处2025年部门预算公开如下：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1、宣传贯彻党的路线、方针、政策和国家的法律法规，执行上级党组织的决议、决定，协调辖区内社会单位团体、组织党员和群众，保证党和政府各项任务顺利完成。</w:t>
      </w:r>
    </w:p>
    <w:p>
      <w:pPr>
        <w:pStyle w:val="18"/>
      </w:pPr>
      <w:r>
        <w:t>2、以经济建设为中心，积极营造优良的经济社会发展环境，发展和培育区域经济，为辖区各类型企业搞好服务。</w:t>
      </w:r>
    </w:p>
    <w:p>
      <w:pPr>
        <w:pStyle w:val="18"/>
      </w:pPr>
      <w:r>
        <w:t>3、讨论决定本辖区（居）委会社区建设，精神文明建设、社会治安综合治理、人民武装等方面的重大问题，对区域性、公益性、社会性、群众性工作负全面责任。</w:t>
      </w:r>
    </w:p>
    <w:p>
      <w:pPr>
        <w:pStyle w:val="18"/>
      </w:pPr>
      <w:r>
        <w:t>4、领导人大工作室、街道办事处、武装部、工会、共青团、妇联等组织，支持和保证行政组织、经济组织和群众自治组织，依照法律和各自的章程充分行使职权，协调好各方面关系。</w:t>
      </w:r>
    </w:p>
    <w:p>
      <w:pPr>
        <w:pStyle w:val="18"/>
      </w:pPr>
      <w:r>
        <w:t>5、加强党组织的自身建设，充分发挥乡、社区党组织的领导核心作用、战斗堡垒作用和党员的先锋模范作用，加强对辖区内“两新”组织党组织的建设和领导，做好发展党员工作。</w:t>
      </w:r>
    </w:p>
    <w:p>
      <w:pPr>
        <w:pStyle w:val="18"/>
      </w:pPr>
      <w:r>
        <w:t>6、组织制</w:t>
      </w:r>
      <w:r>
        <w:rPr>
          <w:rFonts w:hint="eastAsia"/>
          <w:lang w:eastAsia="zh-CN"/>
        </w:rPr>
        <w:t>订</w:t>
      </w:r>
      <w:r>
        <w:t>街道（居）委会社区党的建设规划，协调、指导辖区单位党组织和党员积极参加街道、（居）委会政治生活。</w:t>
      </w:r>
    </w:p>
    <w:p>
      <w:pPr>
        <w:pStyle w:val="18"/>
      </w:pPr>
      <w:r>
        <w:t>7、按照干部管理权限，做好干部的教育、培养、选拔、推荐、考核、监督和奖惩工作。</w:t>
      </w:r>
    </w:p>
    <w:p>
      <w:pPr>
        <w:pStyle w:val="18"/>
      </w:pPr>
      <w:r>
        <w:t>8、领导辖区的思想政治工作和精神文明建设，对辖区单位参加市、区两级文明单位评选和在职党员在本单位以及市、区级评优签署意见。</w:t>
      </w:r>
    </w:p>
    <w:p>
      <w:pPr>
        <w:pStyle w:val="18"/>
      </w:pPr>
      <w:r>
        <w:t>9、密切联系群众，做好群众工作，搞好信访、矛盾纠纷排查治理工作，及时妥善处理人民内部矛盾，化解各种不稳定因素，确保辖区的政治稳定和社会安定。</w:t>
      </w:r>
    </w:p>
    <w:p>
      <w:pPr>
        <w:pStyle w:val="18"/>
      </w:pPr>
      <w:r>
        <w:t>10、负责（居）委会政权建设、组织换届和拥军优属、优抚救济、民族宗教、地名管理、助残及殡葬管理工作。</w:t>
      </w:r>
    </w:p>
    <w:p>
      <w:pPr>
        <w:pStyle w:val="18"/>
      </w:pPr>
      <w:r>
        <w:t>11、落实全区经济社会发展规划，认真完成所承担的经济社会各项指标和任务，营造优良的区域发展环境，培育壮大区域经济和税源经济。</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石家庄市桥西区振头街道办事处本级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按照预算管理有关规定，目前部门预算的编制实行综合预算管理，即全部收入和支出都反映在预算中。石家庄市桥西区振头街道办事处机关及所属事业单位的收支包含在部门预算中。</w:t>
      </w:r>
    </w:p>
    <w:p>
      <w:pPr>
        <w:pStyle w:val="19"/>
      </w:pPr>
      <w:r>
        <w:t>1、收入说明</w:t>
      </w:r>
    </w:p>
    <w:p>
      <w:pPr>
        <w:pStyle w:val="19"/>
      </w:pPr>
      <w:r>
        <w:t>反映本部门当年全部收入。2025年预算收入3118.63万元，其中：一般公共预算收入3007.02万元，基金预算收入0.00万元，国有资本经营预算收入0.00万元，财政专户核拨收入0.00万元，单位资金收入0.00万元，上年结转结余111.62万元。</w:t>
      </w:r>
    </w:p>
    <w:p>
      <w:pPr>
        <w:pStyle w:val="19"/>
      </w:pPr>
      <w:r>
        <w:t>2、支出说明</w:t>
      </w:r>
    </w:p>
    <w:p>
      <w:pPr>
        <w:pStyle w:val="19"/>
      </w:pPr>
      <w:r>
        <w:t>收支预算总表支出栏、基本支出表、项目支出表按经济分类和支出功能分类科目编制，反映石家庄市桥西区振头街道办事处年度部门预算中支出预算的总体情况。2025年支出预算3118.63万元，其中基本支出2723.56万元，包括人员经费2578.42万元和日常公用经费145.14万元；项目支出395.07万元，主要为综合事务专项经费，社区工作经费，武装工作经费，全科政务（劳务派遣），城管绩效（劳务派遣），石财教【2024】88号优秀科技特派员工作站补助经费。</w:t>
      </w:r>
    </w:p>
    <w:p>
      <w:pPr>
        <w:pStyle w:val="19"/>
      </w:pPr>
      <w:r>
        <w:t>3、比上年增减情况</w:t>
      </w:r>
    </w:p>
    <w:p>
      <w:pPr>
        <w:pStyle w:val="19"/>
      </w:pPr>
      <w:r>
        <w:t>2025年预算收支安排3118.63万元，较2024年预算减少220.69万元，其中：基本支出增加604.48万元，主要为主要是人员经费增加，新增社工70人。项目支出减少825.16万元，主要为天佑大厦购房尾款，石铜南警务站重建项目等项目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2025年，我部门机关运行经费共计安排145.14万元，</w:t>
      </w:r>
      <w:r>
        <w:rPr>
          <w:rFonts w:hint="eastAsia" w:asciiTheme="minorEastAsia" w:hAnsiTheme="minorEastAsia" w:eastAsiaTheme="minorEastAsia"/>
          <w:sz w:val="28"/>
          <w:lang w:eastAsia="zh-CN"/>
        </w:rPr>
        <w:t>主要是商品和服务支出，包括办公费、差旅费、维修（护）费、会议费、培训费、工会经费、福利费、车辆运行维护费、办公设备购置费及其他费用</w:t>
      </w:r>
      <w:r>
        <w:rPr>
          <w:rFonts w:hint="eastAsia" w:ascii="宋体" w:hAnsi="宋体" w:eastAsia="宋体" w:cs="宋体"/>
        </w:rPr>
        <w:t>。</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5</w:t>
      </w:r>
      <w:r>
        <w:t>年，我部门财政拨款“三公”经费预算安排3万元，其中因公出国（境）费0万元；公务用车购置及运维费3万元（其中：公务用车购置费为0万元，公务用车运维费3万元)；公务接待费0万元。其中因公出国（境）费0万元</w:t>
      </w:r>
      <w:r>
        <w:rPr>
          <w:rFonts w:hint="eastAsia" w:asciiTheme="minorEastAsia" w:hAnsiTheme="minorEastAsia" w:eastAsiaTheme="minorEastAsia"/>
          <w:lang w:eastAsia="zh-CN"/>
        </w:rPr>
        <w:t>，</w:t>
      </w:r>
      <w:r>
        <w:rPr>
          <w:rFonts w:hint="eastAsia" w:eastAsiaTheme="minorEastAsia"/>
          <w:lang w:eastAsia="zh-CN"/>
        </w:rPr>
        <w:t>与</w:t>
      </w:r>
      <w:r>
        <w:rPr>
          <w:rFonts w:eastAsiaTheme="minorEastAsia"/>
          <w:lang w:eastAsia="zh-CN"/>
        </w:rPr>
        <w:t>上年持平，无增减变化，原因</w:t>
      </w:r>
      <w:r>
        <w:rPr>
          <w:rFonts w:hint="eastAsia" w:eastAsiaTheme="minorEastAsia"/>
          <w:lang w:eastAsia="zh-CN"/>
        </w:rPr>
        <w:t>为无</w:t>
      </w:r>
      <w:r>
        <w:rPr>
          <w:rFonts w:eastAsiaTheme="minorEastAsia"/>
          <w:lang w:eastAsia="zh-CN"/>
        </w:rPr>
        <w:t>新增</w:t>
      </w:r>
      <w:r>
        <w:t>因公出国（境）</w:t>
      </w:r>
      <w:r>
        <w:rPr>
          <w:rFonts w:hint="eastAsia" w:eastAsiaTheme="minorEastAsia"/>
          <w:lang w:eastAsia="zh-CN"/>
        </w:rPr>
        <w:t>计划</w:t>
      </w:r>
      <w:r>
        <w:rPr>
          <w:rFonts w:eastAsiaTheme="minorEastAsia"/>
          <w:lang w:eastAsia="zh-CN"/>
        </w:rPr>
        <w:t>；</w:t>
      </w:r>
      <w:r>
        <w:t>公务用车购置公务用车购置</w:t>
      </w:r>
      <w:r>
        <w:rPr>
          <w:rFonts w:hint="eastAsia" w:eastAsiaTheme="minorEastAsia"/>
          <w:lang w:eastAsia="zh-CN"/>
        </w:rPr>
        <w:t>费0</w:t>
      </w:r>
      <w:r>
        <w:rPr>
          <w:rFonts w:eastAsiaTheme="minorEastAsia"/>
          <w:lang w:eastAsia="zh-CN"/>
        </w:rPr>
        <w:t>万元，</w:t>
      </w:r>
      <w:r>
        <w:rPr>
          <w:rFonts w:hint="eastAsia" w:eastAsiaTheme="minorEastAsia"/>
          <w:lang w:eastAsia="zh-CN"/>
        </w:rPr>
        <w:t>与</w:t>
      </w:r>
      <w:r>
        <w:rPr>
          <w:rFonts w:eastAsiaTheme="minorEastAsia"/>
          <w:lang w:eastAsia="zh-CN"/>
        </w:rPr>
        <w:t>上年持平，无增减变化，原因</w:t>
      </w:r>
      <w:r>
        <w:rPr>
          <w:rFonts w:hint="eastAsia" w:eastAsiaTheme="minorEastAsia"/>
          <w:lang w:eastAsia="zh-CN"/>
        </w:rPr>
        <w:t>为无新增公务</w:t>
      </w:r>
      <w:r>
        <w:rPr>
          <w:rFonts w:eastAsiaTheme="minorEastAsia"/>
          <w:lang w:eastAsia="zh-CN"/>
        </w:rPr>
        <w:t>用车购置计划；公务用车运维费</w:t>
      </w:r>
      <w:r>
        <w:rPr>
          <w:rFonts w:hint="eastAsia" w:eastAsiaTheme="minorEastAsia"/>
          <w:lang w:eastAsia="zh-CN"/>
        </w:rPr>
        <w:t>与</w:t>
      </w:r>
      <w:r>
        <w:rPr>
          <w:rFonts w:eastAsiaTheme="minorEastAsia"/>
          <w:lang w:eastAsia="zh-CN"/>
        </w:rPr>
        <w:t>上年持平，无增减变化，</w:t>
      </w:r>
      <w:r>
        <w:rPr>
          <w:rFonts w:hint="eastAsia" w:eastAsiaTheme="minorEastAsia"/>
          <w:lang w:eastAsia="zh-CN"/>
        </w:rPr>
        <w:t>原因为</w:t>
      </w:r>
      <w:r>
        <w:rPr>
          <w:rFonts w:eastAsiaTheme="minorEastAsia"/>
          <w:lang w:eastAsia="zh-CN"/>
        </w:rPr>
        <w:t>为进一步加强“三公”经费管理，树牢过紧日子思想；公务接待费与上年持平，无增减变化，原因为无新增公务接待计划</w:t>
      </w:r>
      <w:r>
        <w:t>。</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紧紧围绕区委、区政府发展思路，坚持以“抓党建、防风险、优环境、促发展、惠民生”为主线，着力解决实践创新能力不足问题进一步提升综合管理能力和业务水平，为加快现代化国际化美丽省会城市而努力奋斗。一是抓好社区党建工作，提升社区组织建设水平；二是加大招商引资力度，推动辖区经济稳定发展；三是扎实推进帮扶救助，持续保障和改善民生；四是加强生态文明建设，推动辖区面貌和人居环境再；五是提高社会管理水平，维护社会安全稳定；</w:t>
      </w:r>
    </w:p>
    <w:p>
      <w:pPr>
        <w:spacing w:line="500" w:lineRule="exact"/>
        <w:ind w:firstLine="560"/>
      </w:pPr>
      <w:r>
        <w:rPr>
          <w:rFonts w:eastAsia="方正仿宋_GBK"/>
          <w:color w:val="000000"/>
          <w:sz w:val="28"/>
        </w:rPr>
        <w:t>（二）分项绩效目标</w:t>
      </w:r>
    </w:p>
    <w:p>
      <w:pPr>
        <w:pStyle w:val="23"/>
      </w:pPr>
      <w:r>
        <w:t>（1）.以推进项目为重点，以保障和改善民生为基础，提升辖区居民生活水平。</w:t>
      </w:r>
    </w:p>
    <w:p>
      <w:pPr>
        <w:pStyle w:val="23"/>
      </w:pPr>
      <w:r>
        <w:t>（2）.抓好社区党建工作，提升社区组织建设水平，使用资金</w:t>
      </w:r>
      <w:r>
        <w:rPr>
          <w:rFonts w:hint="eastAsia"/>
          <w:lang w:val="en-US" w:eastAsia="zh-CN"/>
        </w:rPr>
        <w:t>200</w:t>
      </w:r>
      <w:r>
        <w:t>万元。</w:t>
      </w:r>
    </w:p>
    <w:p>
      <w:pPr>
        <w:pStyle w:val="23"/>
      </w:pPr>
      <w:r>
        <w:t>（3）.进一步提高综合治理水平，提升人民群众的安全感。</w:t>
      </w:r>
    </w:p>
    <w:p>
      <w:pPr>
        <w:pStyle w:val="23"/>
      </w:pPr>
      <w:r>
        <w:t>（4）.关爱退役军人，进一步提升服务水平。</w:t>
      </w:r>
    </w:p>
    <w:p>
      <w:pPr>
        <w:spacing w:line="500" w:lineRule="exact"/>
        <w:ind w:firstLine="560"/>
      </w:pPr>
      <w:r>
        <w:rPr>
          <w:rFonts w:eastAsia="方正仿宋_GBK"/>
          <w:color w:val="000000"/>
          <w:sz w:val="28"/>
        </w:rPr>
        <w:t>（三）工作保障措施</w:t>
      </w:r>
    </w:p>
    <w:p>
      <w:pPr>
        <w:pStyle w:val="24"/>
      </w:pPr>
      <w:r>
        <w:t>（1）.是落实主体责任，发挥领导带头作用。以习近平新时代中国特色社会主义思想和党的</w:t>
      </w:r>
      <w:r>
        <w:rPr>
          <w:rFonts w:hint="eastAsia"/>
          <w:lang w:eastAsia="zh-CN"/>
        </w:rPr>
        <w:t>二十</w:t>
      </w:r>
      <w:r>
        <w:t>大精神为引领，抓班子带队伍，凡是区委、区政府作出的决策和部署，党委书记带头执行，所有班子成员要不折不扣的执行。紧紧围绕基层党建、城市精细化管理、文明城市巩固提升、疫情常态化防控等各项工作，细化分解，责任到岗，狠抓工作及责任落实，做到件件有交代，事事有回音。</w:t>
      </w:r>
    </w:p>
    <w:p>
      <w:pPr>
        <w:pStyle w:val="24"/>
      </w:pPr>
      <w:r>
        <w:t>（2）加强党建引领，推进社区治理。提高认识，齐心合力，严格落实疫情防控各项工作措施，全力做好疫苗接种工作。街道将以党建“红色联盟”为核心，全力打造秀桥党建及社会治理示范单位。运用“彩虹”工作法，增强新社区环境、人文、理念的融合性，形成“改革创新、联盟优化、组织广泛、服务特色”的共建、共治、共享、共进的综合社区治理共同体。</w:t>
      </w:r>
    </w:p>
    <w:p>
      <w:pPr>
        <w:pStyle w:val="24"/>
      </w:pPr>
      <w:r>
        <w:t>（3）.攻坚克难抓治理、强整改,搞好大气污染防治工作。积极推行网格化管理，实行科级领导包片、具体责任人包点源的二级分包责任制，实行辖区所有大气重点污染源监管全覆盖。实时关注辖区内环境空气质量监测点位数据情况和网格化精准监测平台预警信息，发现异常第一时间排查第一时间消灭异常污染。</w:t>
      </w:r>
    </w:p>
    <w:p>
      <w:pPr>
        <w:pStyle w:val="24"/>
      </w:pPr>
      <w:r>
        <w:t>（4）.坚持学法守法用法，提高依法行政能力。认真学法、严格守法、规范用法，特别是街道面临小区环境提升、旧村拆迁等重点工作，要加强学习《村民合同法》《土地法》等相关法律，切实提高科学决策和依法办事能力，把法治建设的各项要求体现到日常工作中，以实际行动践行党的依法治国方略。</w:t>
      </w:r>
    </w:p>
    <w:p>
      <w:pPr>
        <w:pStyle w:val="24"/>
      </w:pPr>
      <w:r>
        <w:t>（5）.加强绩效运行监控，做好绩效自评。按要求开展绩效运行监控，发现问题及时采取措施，确保绩效目标按质按量按期完成。按要求开展上年度部门预算绩效自评和重点评价工作，对评价中发现的问题及时整改，提高财政资金使用效益。</w:t>
      </w:r>
    </w:p>
    <w:p>
      <w:pPr>
        <w:pStyle w:val="24"/>
        <w:sectPr>
          <w:pgSz w:w="16840" w:h="11900" w:orient="landscape"/>
          <w:pgMar w:top="1361" w:right="1020" w:bottom="1361" w:left="1020" w:header="720" w:footer="720" w:gutter="0"/>
          <w:cols w:space="720" w:num="1"/>
        </w:sectPr>
      </w:pPr>
      <w:r>
        <w:t>（6）加强内部监督。加强和完善内部监督制度建设，对绩效运行、重大支出事项、资产处置及其他重要经济业务事项决策和执行进行监督，定期开展财务内部审计、确保财政资金使用安全规范。</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1、城管绩效（劳务派遣）绩效目标表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13010425P004129111074</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20.40</w:t>
            </w:r>
          </w:p>
        </w:tc>
        <w:tc>
          <w:tcPr>
            <w:tcW w:w="2835" w:type="dxa"/>
            <w:vAlign w:val="center"/>
          </w:tcPr>
          <w:p>
            <w:pPr>
              <w:pStyle w:val="11"/>
            </w:pPr>
            <w:r>
              <w:t>其中：财政    资金</w:t>
            </w:r>
          </w:p>
        </w:tc>
        <w:tc>
          <w:tcPr>
            <w:tcW w:w="2551" w:type="dxa"/>
            <w:vAlign w:val="center"/>
          </w:tcPr>
          <w:p>
            <w:pPr>
              <w:pStyle w:val="13"/>
            </w:pPr>
            <w:r>
              <w:t>20.40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城管协管员绩效工资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1.调动全体城管协管员的工作积极性，确保收入公平、公正、合理。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协管人员数量</w:t>
            </w:r>
          </w:p>
        </w:tc>
        <w:tc>
          <w:tcPr>
            <w:tcW w:w="5386" w:type="dxa"/>
            <w:vAlign w:val="center"/>
          </w:tcPr>
          <w:p>
            <w:pPr>
              <w:pStyle w:val="13"/>
            </w:pPr>
            <w:r>
              <w:t>协管人员数量</w:t>
            </w:r>
          </w:p>
        </w:tc>
        <w:tc>
          <w:tcPr>
            <w:tcW w:w="2268" w:type="dxa"/>
            <w:vAlign w:val="center"/>
          </w:tcPr>
          <w:p>
            <w:pPr>
              <w:pStyle w:val="13"/>
            </w:pPr>
            <w:r>
              <w:t>≤34人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人员考勤正常率</w:t>
            </w:r>
          </w:p>
        </w:tc>
        <w:tc>
          <w:tcPr>
            <w:tcW w:w="5386" w:type="dxa"/>
            <w:vAlign w:val="center"/>
          </w:tcPr>
          <w:p>
            <w:pPr>
              <w:pStyle w:val="13"/>
            </w:pPr>
            <w:r>
              <w:t>人员考勤正常率</w:t>
            </w:r>
          </w:p>
        </w:tc>
        <w:tc>
          <w:tcPr>
            <w:tcW w:w="2268" w:type="dxa"/>
            <w:vAlign w:val="center"/>
          </w:tcPr>
          <w:p>
            <w:pPr>
              <w:pStyle w:val="13"/>
            </w:pPr>
            <w:r>
              <w:t>≥95%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经费开支是否及时</w:t>
            </w:r>
          </w:p>
        </w:tc>
        <w:tc>
          <w:tcPr>
            <w:tcW w:w="5386" w:type="dxa"/>
            <w:vAlign w:val="center"/>
          </w:tcPr>
          <w:p>
            <w:pPr>
              <w:pStyle w:val="13"/>
            </w:pPr>
            <w:r>
              <w:t>每月25号前支出</w:t>
            </w:r>
          </w:p>
        </w:tc>
        <w:tc>
          <w:tcPr>
            <w:tcW w:w="2268" w:type="dxa"/>
            <w:vAlign w:val="center"/>
          </w:tcPr>
          <w:p>
            <w:pPr>
              <w:pStyle w:val="13"/>
            </w:pPr>
            <w:r>
              <w:t>≤25号</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年度资金总额</w:t>
            </w:r>
          </w:p>
        </w:tc>
        <w:tc>
          <w:tcPr>
            <w:tcW w:w="5386" w:type="dxa"/>
            <w:vAlign w:val="center"/>
          </w:tcPr>
          <w:p>
            <w:pPr>
              <w:pStyle w:val="13"/>
            </w:pPr>
            <w:r>
              <w:t>年度资金总额</w:t>
            </w:r>
          </w:p>
        </w:tc>
        <w:tc>
          <w:tcPr>
            <w:tcW w:w="2268" w:type="dxa"/>
            <w:vAlign w:val="center"/>
          </w:tcPr>
          <w:p>
            <w:pPr>
              <w:pStyle w:val="13"/>
            </w:pPr>
            <w:r>
              <w:t>≤20.4万元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提高从业人员素质</w:t>
            </w:r>
          </w:p>
        </w:tc>
        <w:tc>
          <w:tcPr>
            <w:tcW w:w="5386" w:type="dxa"/>
            <w:vAlign w:val="center"/>
          </w:tcPr>
          <w:p>
            <w:pPr>
              <w:pStyle w:val="13"/>
            </w:pPr>
            <w:r>
              <w:t>提高从业人员素质</w:t>
            </w:r>
          </w:p>
        </w:tc>
        <w:tc>
          <w:tcPr>
            <w:tcW w:w="2268" w:type="dxa"/>
            <w:vAlign w:val="center"/>
          </w:tcPr>
          <w:p>
            <w:pPr>
              <w:pStyle w:val="13"/>
            </w:pPr>
            <w:r>
              <w:t>≥50%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2、党建惠民项目资金绩效目标表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13010424P00BWE1100300</w:t>
            </w:r>
          </w:p>
        </w:tc>
        <w:tc>
          <w:tcPr>
            <w:tcW w:w="2835" w:type="dxa"/>
            <w:vAlign w:val="center"/>
          </w:tcPr>
          <w:p>
            <w:pPr>
              <w:pStyle w:val="11"/>
            </w:pPr>
            <w:r>
              <w:t>项目名称</w:t>
            </w:r>
          </w:p>
        </w:tc>
        <w:tc>
          <w:tcPr>
            <w:tcW w:w="6095" w:type="dxa"/>
            <w:gridSpan w:val="3"/>
            <w:vAlign w:val="center"/>
          </w:tcPr>
          <w:p>
            <w:pPr>
              <w:pStyle w:val="13"/>
            </w:pPr>
            <w:r>
              <w:t>党建惠民项目资金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111.62</w:t>
            </w:r>
          </w:p>
        </w:tc>
        <w:tc>
          <w:tcPr>
            <w:tcW w:w="2835" w:type="dxa"/>
            <w:vAlign w:val="center"/>
          </w:tcPr>
          <w:p>
            <w:pPr>
              <w:pStyle w:val="11"/>
            </w:pPr>
            <w:r>
              <w:t>其中：财政    资金</w:t>
            </w:r>
          </w:p>
        </w:tc>
        <w:tc>
          <w:tcPr>
            <w:tcW w:w="2551" w:type="dxa"/>
            <w:vAlign w:val="center"/>
          </w:tcPr>
          <w:p>
            <w:pPr>
              <w:pStyle w:val="13"/>
            </w:pPr>
            <w:r>
              <w:t>111.62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加强基层党的建设，提升城市党组织建设。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1.加强城市基层党的建设，提升城市基层党组织的组织力，全面推进党建引领基层治理。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社区文化促进活动数量</w:t>
            </w:r>
          </w:p>
        </w:tc>
        <w:tc>
          <w:tcPr>
            <w:tcW w:w="5386" w:type="dxa"/>
            <w:vAlign w:val="center"/>
          </w:tcPr>
          <w:p>
            <w:pPr>
              <w:pStyle w:val="13"/>
            </w:pPr>
            <w:r>
              <w:t>社区文化促进活动数量</w:t>
            </w:r>
            <w:r>
              <w:tab/>
            </w:r>
            <w:r>
              <w:tab/>
            </w:r>
            <w:r>
              <w:tab/>
            </w:r>
            <w:r>
              <w:tab/>
            </w:r>
            <w:r>
              <w:tab/>
            </w:r>
          </w:p>
        </w:tc>
        <w:tc>
          <w:tcPr>
            <w:tcW w:w="2268" w:type="dxa"/>
            <w:vAlign w:val="center"/>
          </w:tcPr>
          <w:p>
            <w:pPr>
              <w:pStyle w:val="13"/>
            </w:pPr>
            <w:r>
              <w:t>≥30次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pPr>
            <w:r>
              <w:t>质量指标</w:t>
            </w:r>
          </w:p>
        </w:tc>
        <w:tc>
          <w:tcPr>
            <w:tcW w:w="2835" w:type="dxa"/>
            <w:vAlign w:val="center"/>
          </w:tcPr>
          <w:p>
            <w:pPr>
              <w:pStyle w:val="13"/>
            </w:pPr>
            <w:r>
              <w:t>免费公共文化宣传活动率</w:t>
            </w:r>
          </w:p>
        </w:tc>
        <w:tc>
          <w:tcPr>
            <w:tcW w:w="5386" w:type="dxa"/>
            <w:vAlign w:val="center"/>
          </w:tcPr>
          <w:p>
            <w:pPr>
              <w:pStyle w:val="13"/>
            </w:pPr>
            <w:r>
              <w:t>免费公共文化宣传活动率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4"/>
            </w:p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社会组织管理能力提升</w:t>
            </w:r>
          </w:p>
        </w:tc>
        <w:tc>
          <w:tcPr>
            <w:tcW w:w="5386" w:type="dxa"/>
            <w:vAlign w:val="center"/>
          </w:tcPr>
          <w:p>
            <w:pPr>
              <w:pStyle w:val="13"/>
            </w:pPr>
            <w:r>
              <w:t>社会组织管理能力提升</w:t>
            </w:r>
          </w:p>
          <w:p>
            <w:pPr>
              <w:pStyle w:val="13"/>
            </w:pPr>
          </w:p>
        </w:tc>
        <w:tc>
          <w:tcPr>
            <w:tcW w:w="2268" w:type="dxa"/>
            <w:vAlign w:val="center"/>
          </w:tcPr>
          <w:p>
            <w:pPr>
              <w:pStyle w:val="13"/>
            </w:pPr>
            <w:r>
              <w:t>≥50%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3、全科政务（劳务派遣）绩效目标表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13010425P00412911108P</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45.55</w:t>
            </w:r>
          </w:p>
        </w:tc>
        <w:tc>
          <w:tcPr>
            <w:tcW w:w="2835" w:type="dxa"/>
            <w:vAlign w:val="center"/>
          </w:tcPr>
          <w:p>
            <w:pPr>
              <w:pStyle w:val="11"/>
            </w:pPr>
            <w:r>
              <w:t>其中：财政    资金</w:t>
            </w:r>
          </w:p>
        </w:tc>
        <w:tc>
          <w:tcPr>
            <w:tcW w:w="2551" w:type="dxa"/>
            <w:vAlign w:val="center"/>
          </w:tcPr>
          <w:p>
            <w:pPr>
              <w:pStyle w:val="13"/>
            </w:pPr>
            <w:r>
              <w:t>45.55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全科政务人员工资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1.能够在政务工作中承担多种职责的工作人员，以满足多样化的服务需求。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全科政务人员数量</w:t>
            </w:r>
          </w:p>
        </w:tc>
        <w:tc>
          <w:tcPr>
            <w:tcW w:w="5386" w:type="dxa"/>
            <w:vAlign w:val="center"/>
          </w:tcPr>
          <w:p>
            <w:pPr>
              <w:pStyle w:val="13"/>
            </w:pPr>
            <w:r>
              <w:t>全科政务人员数量</w:t>
            </w:r>
          </w:p>
        </w:tc>
        <w:tc>
          <w:tcPr>
            <w:tcW w:w="2268" w:type="dxa"/>
            <w:vAlign w:val="center"/>
          </w:tcPr>
          <w:p>
            <w:pPr>
              <w:pStyle w:val="13"/>
            </w:pPr>
            <w:r>
              <w:t>≤8人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人员考勤正常率</w:t>
            </w:r>
          </w:p>
        </w:tc>
        <w:tc>
          <w:tcPr>
            <w:tcW w:w="5386" w:type="dxa"/>
            <w:vAlign w:val="center"/>
          </w:tcPr>
          <w:p>
            <w:pPr>
              <w:pStyle w:val="13"/>
            </w:pPr>
            <w:r>
              <w:t>人员考勤正常率</w:t>
            </w:r>
          </w:p>
        </w:tc>
        <w:tc>
          <w:tcPr>
            <w:tcW w:w="2268" w:type="dxa"/>
            <w:vAlign w:val="center"/>
          </w:tcPr>
          <w:p>
            <w:pPr>
              <w:pStyle w:val="13"/>
            </w:pPr>
            <w:r>
              <w:t>≥95%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经费开支是否及时</w:t>
            </w:r>
          </w:p>
        </w:tc>
        <w:tc>
          <w:tcPr>
            <w:tcW w:w="5386" w:type="dxa"/>
            <w:vAlign w:val="center"/>
          </w:tcPr>
          <w:p>
            <w:pPr>
              <w:pStyle w:val="13"/>
            </w:pPr>
            <w:r>
              <w:t>每月25号前支出</w:t>
            </w:r>
          </w:p>
        </w:tc>
        <w:tc>
          <w:tcPr>
            <w:tcW w:w="2268" w:type="dxa"/>
            <w:vAlign w:val="center"/>
          </w:tcPr>
          <w:p>
            <w:pPr>
              <w:pStyle w:val="13"/>
            </w:pPr>
            <w:r>
              <w:t>≤25号</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年度资金总额</w:t>
            </w:r>
          </w:p>
        </w:tc>
        <w:tc>
          <w:tcPr>
            <w:tcW w:w="5386" w:type="dxa"/>
            <w:vAlign w:val="center"/>
          </w:tcPr>
          <w:p>
            <w:pPr>
              <w:pStyle w:val="13"/>
            </w:pPr>
            <w:r>
              <w:t>年度资金总额</w:t>
            </w:r>
          </w:p>
        </w:tc>
        <w:tc>
          <w:tcPr>
            <w:tcW w:w="2268" w:type="dxa"/>
            <w:vAlign w:val="center"/>
          </w:tcPr>
          <w:p>
            <w:pPr>
              <w:pStyle w:val="13"/>
            </w:pPr>
            <w:r>
              <w:t>≤45.55万元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提升人员职业技能水平</w:t>
            </w:r>
          </w:p>
        </w:tc>
        <w:tc>
          <w:tcPr>
            <w:tcW w:w="5386" w:type="dxa"/>
            <w:vAlign w:val="center"/>
          </w:tcPr>
          <w:p>
            <w:pPr>
              <w:pStyle w:val="13"/>
            </w:pPr>
            <w:r>
              <w:t>提升人员职业技能水平</w:t>
            </w:r>
          </w:p>
        </w:tc>
        <w:tc>
          <w:tcPr>
            <w:tcW w:w="2268" w:type="dxa"/>
            <w:vAlign w:val="center"/>
          </w:tcPr>
          <w:p>
            <w:pPr>
              <w:pStyle w:val="13"/>
            </w:pPr>
            <w:r>
              <w:t>≥50%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4、社区工作经费绩效目标表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13010425P00412810056R</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主要用于保障社区日常办公运行、党员教育培训、党员开展活动，社区老党员和困难党员走访慰问等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1.保障社区日常办公运转，保障群众党员教育培训，做好社区老党员和困难党员的慰问。</w:t>
            </w:r>
            <w:r>
              <w:tab/>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开展外宣活动数量</w:t>
            </w:r>
          </w:p>
        </w:tc>
        <w:tc>
          <w:tcPr>
            <w:tcW w:w="5386" w:type="dxa"/>
            <w:vAlign w:val="center"/>
          </w:tcPr>
          <w:p>
            <w:pPr>
              <w:pStyle w:val="13"/>
            </w:pPr>
            <w:r>
              <w:t>开展外宣活动数量</w:t>
            </w:r>
          </w:p>
        </w:tc>
        <w:tc>
          <w:tcPr>
            <w:tcW w:w="2268" w:type="dxa"/>
            <w:vAlign w:val="center"/>
          </w:tcPr>
          <w:p>
            <w:pPr>
              <w:pStyle w:val="13"/>
            </w:pPr>
            <w:r>
              <w:t>≥20次</w:t>
            </w:r>
          </w:p>
        </w:tc>
        <w:tc>
          <w:tcPr>
            <w:tcW w:w="1276" w:type="dxa"/>
            <w:vAlign w:val="center"/>
          </w:tcPr>
          <w:p>
            <w:pPr>
              <w:pStyle w:val="13"/>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群众文化活动参与率</w:t>
            </w:r>
          </w:p>
        </w:tc>
        <w:tc>
          <w:tcPr>
            <w:tcW w:w="5386" w:type="dxa"/>
            <w:vAlign w:val="center"/>
          </w:tcPr>
          <w:p>
            <w:pPr>
              <w:pStyle w:val="13"/>
            </w:pPr>
            <w:r>
              <w:t>群众文化活动参与率</w:t>
            </w:r>
          </w:p>
        </w:tc>
        <w:tc>
          <w:tcPr>
            <w:tcW w:w="2268" w:type="dxa"/>
            <w:vAlign w:val="center"/>
          </w:tcPr>
          <w:p>
            <w:pPr>
              <w:pStyle w:val="13"/>
            </w:pPr>
            <w:r>
              <w:t>≥80%</w:t>
            </w:r>
          </w:p>
        </w:tc>
        <w:tc>
          <w:tcPr>
            <w:tcW w:w="1276" w:type="dxa"/>
            <w:vAlign w:val="center"/>
          </w:tcPr>
          <w:p>
            <w:pPr>
              <w:pStyle w:val="13"/>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≥80%</w:t>
            </w:r>
          </w:p>
        </w:tc>
        <w:tc>
          <w:tcPr>
            <w:tcW w:w="1276" w:type="dxa"/>
            <w:vAlign w:val="center"/>
          </w:tcPr>
          <w:p>
            <w:pPr>
              <w:pStyle w:val="13"/>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社会组织党建工作覆盖率</w:t>
            </w:r>
          </w:p>
        </w:tc>
        <w:tc>
          <w:tcPr>
            <w:tcW w:w="5386" w:type="dxa"/>
            <w:vAlign w:val="center"/>
          </w:tcPr>
          <w:p>
            <w:pPr>
              <w:pStyle w:val="13"/>
            </w:pPr>
            <w:r>
              <w:t>社会组织党建工作覆盖率</w:t>
            </w:r>
          </w:p>
        </w:tc>
        <w:tc>
          <w:tcPr>
            <w:tcW w:w="2268" w:type="dxa"/>
            <w:vAlign w:val="center"/>
          </w:tcPr>
          <w:p>
            <w:pPr>
              <w:pStyle w:val="13"/>
            </w:pPr>
            <w:r>
              <w:t>≥80%</w:t>
            </w:r>
          </w:p>
        </w:tc>
        <w:tc>
          <w:tcPr>
            <w:tcW w:w="1276" w:type="dxa"/>
            <w:vAlign w:val="center"/>
          </w:tcPr>
          <w:p>
            <w:pPr>
              <w:pStyle w:val="13"/>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石办发[2013]3号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5、石财教【2024】88号优秀科技特派员工作站补助经费绩效目标表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13010425P00412911272E</w:t>
            </w:r>
          </w:p>
        </w:tc>
        <w:tc>
          <w:tcPr>
            <w:tcW w:w="2835" w:type="dxa"/>
            <w:vAlign w:val="center"/>
          </w:tcPr>
          <w:p>
            <w:pPr>
              <w:pStyle w:val="11"/>
            </w:pPr>
            <w:r>
              <w:t>项目名称</w:t>
            </w:r>
          </w:p>
        </w:tc>
        <w:tc>
          <w:tcPr>
            <w:tcW w:w="6095" w:type="dxa"/>
            <w:gridSpan w:val="3"/>
            <w:vAlign w:val="center"/>
          </w:tcPr>
          <w:p>
            <w:pPr>
              <w:pStyle w:val="13"/>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促进科技成果转化和产业奖补。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1.促进科技成果转化和产业奖补。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举办科普活动次数</w:t>
            </w:r>
          </w:p>
        </w:tc>
        <w:tc>
          <w:tcPr>
            <w:tcW w:w="5386" w:type="dxa"/>
            <w:vAlign w:val="center"/>
          </w:tcPr>
          <w:p>
            <w:pPr>
              <w:pStyle w:val="13"/>
            </w:pPr>
            <w:r>
              <w:t>举办科普活动次数</w:t>
            </w:r>
          </w:p>
        </w:tc>
        <w:tc>
          <w:tcPr>
            <w:tcW w:w="2268" w:type="dxa"/>
            <w:vAlign w:val="center"/>
          </w:tcPr>
          <w:p>
            <w:pPr>
              <w:pStyle w:val="13"/>
            </w:pPr>
            <w:r>
              <w:t>≥3次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科研组织与管理创新、科研方法与</w:t>
            </w:r>
          </w:p>
        </w:tc>
        <w:tc>
          <w:tcPr>
            <w:tcW w:w="5386" w:type="dxa"/>
            <w:vAlign w:val="center"/>
          </w:tcPr>
          <w:p>
            <w:pPr>
              <w:pStyle w:val="13"/>
            </w:pPr>
            <w:r>
              <w:t>科研组织与管理创新、科研方法与手段创新方面的制度</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科技推广项目任务完成率</w:t>
            </w:r>
          </w:p>
        </w:tc>
        <w:tc>
          <w:tcPr>
            <w:tcW w:w="5386" w:type="dxa"/>
            <w:vAlign w:val="center"/>
          </w:tcPr>
          <w:p>
            <w:pPr>
              <w:pStyle w:val="13"/>
            </w:pPr>
            <w:r>
              <w:t>科技推广项目任务完成率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科技成果转化项目数（项）</w:t>
            </w:r>
          </w:p>
        </w:tc>
        <w:tc>
          <w:tcPr>
            <w:tcW w:w="5386" w:type="dxa"/>
            <w:vAlign w:val="center"/>
          </w:tcPr>
          <w:p>
            <w:pPr>
              <w:pStyle w:val="13"/>
            </w:pPr>
            <w:r>
              <w:t>科技成果转化项目数（项）</w:t>
            </w:r>
          </w:p>
        </w:tc>
        <w:tc>
          <w:tcPr>
            <w:tcW w:w="2268" w:type="dxa"/>
            <w:vAlign w:val="center"/>
          </w:tcPr>
          <w:p>
            <w:pPr>
              <w:pStyle w:val="13"/>
            </w:pPr>
            <w:r>
              <w:t>≥2项</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6、武装工作经费绩效目标表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13010425P004129110989</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用于战备执勤、动员准备、民兵工作、兵员征集、国防教育、军事设施保护、双拥共建、武装工作软硬件建设等。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1.用于战备执勤、动员准备、民兵工作、兵员征集、国防教育、军事设施保护、双拥共建、武装工作软硬件建设等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民兵训练人员数量</w:t>
            </w:r>
          </w:p>
        </w:tc>
        <w:tc>
          <w:tcPr>
            <w:tcW w:w="5386" w:type="dxa"/>
            <w:vAlign w:val="center"/>
          </w:tcPr>
          <w:p>
            <w:pPr>
              <w:pStyle w:val="13"/>
            </w:pPr>
            <w:r>
              <w:t>民兵训练人员数量</w:t>
            </w:r>
          </w:p>
        </w:tc>
        <w:tc>
          <w:tcPr>
            <w:tcW w:w="2268" w:type="dxa"/>
            <w:vAlign w:val="center"/>
          </w:tcPr>
          <w:p>
            <w:pPr>
              <w:pStyle w:val="13"/>
            </w:pPr>
            <w:r>
              <w:t>≥60人/次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民兵训练质量</w:t>
            </w:r>
          </w:p>
        </w:tc>
        <w:tc>
          <w:tcPr>
            <w:tcW w:w="5386" w:type="dxa"/>
            <w:vAlign w:val="center"/>
          </w:tcPr>
          <w:p>
            <w:pPr>
              <w:pStyle w:val="13"/>
            </w:pPr>
            <w:r>
              <w:t>民兵训练质量</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征兵时间</w:t>
            </w:r>
          </w:p>
        </w:tc>
        <w:tc>
          <w:tcPr>
            <w:tcW w:w="5386" w:type="dxa"/>
            <w:vAlign w:val="center"/>
          </w:tcPr>
          <w:p>
            <w:pPr>
              <w:pStyle w:val="13"/>
            </w:pPr>
            <w:r>
              <w:t>根据上级部门规定时限</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国防宣传、征兵工作知晓率</w:t>
            </w:r>
          </w:p>
        </w:tc>
        <w:tc>
          <w:tcPr>
            <w:tcW w:w="5386" w:type="dxa"/>
            <w:vAlign w:val="center"/>
          </w:tcPr>
          <w:p>
            <w:pPr>
              <w:pStyle w:val="13"/>
            </w:pPr>
            <w:r>
              <w:t>国防宣传、征兵工作知晓率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7、综合事务专项经费绩效目标表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13010425P00412911097M</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主要用于食堂、团委、环保开展活动，环保所推进生态环境保护工作。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1.综合事务经费包括环保所经费及其他保障机关日常办公运转补充经费。主要用于食堂、团委、环保开展活动，环保所推进生态环境保护工作。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开展宣传方式的品种和数量</w:t>
            </w:r>
          </w:p>
        </w:tc>
        <w:tc>
          <w:tcPr>
            <w:tcW w:w="5386" w:type="dxa"/>
            <w:vAlign w:val="center"/>
          </w:tcPr>
          <w:p>
            <w:pPr>
              <w:pStyle w:val="13"/>
            </w:pPr>
            <w:r>
              <w:t>开展宣传方式的品种和数量</w:t>
            </w:r>
          </w:p>
        </w:tc>
        <w:tc>
          <w:tcPr>
            <w:tcW w:w="2268" w:type="dxa"/>
            <w:vAlign w:val="center"/>
          </w:tcPr>
          <w:p>
            <w:pPr>
              <w:pStyle w:val="13"/>
            </w:pPr>
            <w:r>
              <w:t>≥10次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其他各项综合事务工作</w:t>
            </w:r>
          </w:p>
        </w:tc>
        <w:tc>
          <w:tcPr>
            <w:tcW w:w="5386" w:type="dxa"/>
            <w:vAlign w:val="center"/>
          </w:tcPr>
          <w:p>
            <w:pPr>
              <w:pStyle w:val="13"/>
            </w:pPr>
            <w:r>
              <w:t>其他各项综合事务工作完成率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工作完成率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完成工作目标所需资金</w:t>
            </w:r>
          </w:p>
        </w:tc>
        <w:tc>
          <w:tcPr>
            <w:tcW w:w="5386" w:type="dxa"/>
            <w:vAlign w:val="center"/>
          </w:tcPr>
          <w:p>
            <w:pPr>
              <w:pStyle w:val="13"/>
            </w:pPr>
            <w:r>
              <w:t>完成工作目标所需资金</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工作专业性不断提升</w:t>
            </w:r>
          </w:p>
        </w:tc>
        <w:tc>
          <w:tcPr>
            <w:tcW w:w="5386" w:type="dxa"/>
            <w:vAlign w:val="center"/>
          </w:tcPr>
          <w:p>
            <w:pPr>
              <w:pStyle w:val="13"/>
            </w:pPr>
            <w:r>
              <w:t>工作专业性不断提升</w:t>
            </w:r>
          </w:p>
        </w:tc>
        <w:tc>
          <w:tcPr>
            <w:tcW w:w="2268" w:type="dxa"/>
            <w:vAlign w:val="center"/>
          </w:tcPr>
          <w:p>
            <w:pPr>
              <w:pStyle w:val="13"/>
            </w:pPr>
            <w:r>
              <w:t>≥50%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115.62</w:t>
            </w:r>
          </w:p>
        </w:tc>
        <w:tc>
          <w:tcPr>
            <w:tcW w:w="964" w:type="dxa"/>
            <w:vAlign w:val="center"/>
          </w:tcPr>
          <w:p>
            <w:pPr>
              <w:pStyle w:val="16"/>
            </w:pPr>
            <w:r>
              <w:t>4.01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111.62</w:t>
            </w:r>
          </w:p>
        </w:tc>
        <w:tc>
          <w:tcPr>
            <w:tcW w:w="964" w:type="dxa"/>
            <w:vAlign w:val="center"/>
          </w:tcPr>
          <w:p>
            <w:pPr>
              <w:pStyle w:val="16"/>
            </w:pPr>
            <w:r>
              <w:t>115.62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石家庄市桥西区振头街道办事处本级小计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115.62</w:t>
            </w:r>
          </w:p>
        </w:tc>
        <w:tc>
          <w:tcPr>
            <w:tcW w:w="964" w:type="dxa"/>
            <w:vAlign w:val="center"/>
          </w:tcPr>
          <w:p>
            <w:pPr>
              <w:pStyle w:val="16"/>
            </w:pPr>
            <w:r>
              <w:t>4.01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111.62</w:t>
            </w:r>
          </w:p>
        </w:tc>
        <w:tc>
          <w:tcPr>
            <w:tcW w:w="964" w:type="dxa"/>
            <w:vAlign w:val="center"/>
          </w:tcPr>
          <w:p>
            <w:pPr>
              <w:pStyle w:val="16"/>
            </w:pPr>
            <w:r>
              <w:t>115.62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党建惠民项目资金</w:t>
            </w:r>
          </w:p>
        </w:tc>
        <w:tc>
          <w:tcPr>
            <w:tcW w:w="964" w:type="dxa"/>
            <w:vAlign w:val="center"/>
          </w:tcPr>
          <w:p>
            <w:pPr>
              <w:pStyle w:val="12"/>
            </w:pPr>
            <w:r>
              <w:t>111.62</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111.62</w:t>
            </w:r>
          </w:p>
        </w:tc>
        <w:tc>
          <w:tcPr>
            <w:tcW w:w="964" w:type="dxa"/>
            <w:vAlign w:val="center"/>
          </w:tcPr>
          <w:p>
            <w:pPr>
              <w:pStyle w:val="12"/>
            </w:pPr>
            <w:r>
              <w:t>111.62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111.62</w:t>
            </w:r>
          </w:p>
        </w:tc>
        <w:tc>
          <w:tcPr>
            <w:tcW w:w="964" w:type="dxa"/>
            <w:vAlign w:val="center"/>
          </w:tcPr>
          <w:p>
            <w:pPr>
              <w:pStyle w:val="12"/>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公用经费项目1</w:t>
            </w:r>
          </w:p>
        </w:tc>
        <w:tc>
          <w:tcPr>
            <w:tcW w:w="964" w:type="dxa"/>
            <w:vAlign w:val="center"/>
          </w:tcPr>
          <w:p>
            <w:pPr>
              <w:pStyle w:val="12"/>
            </w:pPr>
            <w:r>
              <w:t>64.68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336</w:t>
            </w:r>
          </w:p>
        </w:tc>
        <w:tc>
          <w:tcPr>
            <w:tcW w:w="850" w:type="dxa"/>
            <w:vAlign w:val="center"/>
          </w:tcPr>
          <w:p>
            <w:pPr>
              <w:pStyle w:val="12"/>
            </w:pPr>
            <w:r>
              <w:t>0.00</w:t>
            </w:r>
          </w:p>
        </w:tc>
        <w:tc>
          <w:tcPr>
            <w:tcW w:w="964" w:type="dxa"/>
            <w:vAlign w:val="center"/>
          </w:tcPr>
          <w:p>
            <w:pPr>
              <w:pStyle w:val="12"/>
            </w:pPr>
            <w:r>
              <w:t>1.01</w:t>
            </w:r>
          </w:p>
        </w:tc>
        <w:tc>
          <w:tcPr>
            <w:tcW w:w="964" w:type="dxa"/>
            <w:vAlign w:val="center"/>
          </w:tcPr>
          <w:p>
            <w:pPr>
              <w:pStyle w:val="12"/>
            </w:pPr>
            <w:r>
              <w:t>1.01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公用经费项目1</w:t>
            </w:r>
          </w:p>
        </w:tc>
        <w:tc>
          <w:tcPr>
            <w:tcW w:w="964" w:type="dxa"/>
            <w:vAlign w:val="center"/>
          </w:tcPr>
          <w:p>
            <w:pPr>
              <w:pStyle w:val="12"/>
            </w:pPr>
            <w:r>
              <w:t>64.68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公用经费项目1</w:t>
            </w:r>
          </w:p>
        </w:tc>
        <w:tc>
          <w:tcPr>
            <w:tcW w:w="964" w:type="dxa"/>
            <w:vAlign w:val="center"/>
          </w:tcPr>
          <w:p>
            <w:pPr>
              <w:pStyle w:val="12"/>
            </w:pPr>
            <w:r>
              <w:t>64.68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公用经费项目1</w:t>
            </w:r>
          </w:p>
        </w:tc>
        <w:tc>
          <w:tcPr>
            <w:tcW w:w="964" w:type="dxa"/>
            <w:vAlign w:val="center"/>
          </w:tcPr>
          <w:p>
            <w:pPr>
              <w:pStyle w:val="12"/>
            </w:pPr>
            <w:r>
              <w:t>64.68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石家庄市桥西区振头街道办事处（含所属单位）上年末固定资产金额为1379.79万元（详见下表）。本年度拟购置固定资产总额为0.00万元，已按要求列入政府采购预算，详见政府采购预算表。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521石家庄市桥西区振头街道办事处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1379.79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5070</w:t>
            </w:r>
          </w:p>
        </w:tc>
        <w:tc>
          <w:tcPr>
            <w:tcW w:w="2835" w:type="dxa"/>
            <w:vAlign w:val="center"/>
          </w:tcPr>
          <w:p>
            <w:pPr>
              <w:pStyle w:val="12"/>
            </w:pPr>
            <w:r>
              <w:t>402.81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1101.03</w:t>
            </w:r>
          </w:p>
        </w:tc>
        <w:tc>
          <w:tcPr>
            <w:tcW w:w="2835" w:type="dxa"/>
            <w:vAlign w:val="center"/>
          </w:tcPr>
          <w:p>
            <w:pPr>
              <w:pStyle w:val="12"/>
            </w:pPr>
            <w:r>
              <w:t>102.76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2750</w:t>
            </w:r>
          </w:p>
        </w:tc>
        <w:tc>
          <w:tcPr>
            <w:tcW w:w="2835" w:type="dxa"/>
            <w:vAlign w:val="center"/>
          </w:tcPr>
          <w:p>
            <w:pPr>
              <w:pStyle w:val="12"/>
            </w:pPr>
            <w:r>
              <w:t>955.18</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Arial">
    <w:panose1 w:val="020B0604020202020204"/>
    <w:charset w:val="00"/>
    <w:family w:val="swiss"/>
    <w:pitch w:val="default"/>
    <w:sig w:usb0="E0002AFF" w:usb1="C0007843" w:usb2="00000009" w:usb3="00000000" w:csb0="400001FF" w:csb1="FFFF0000"/>
  </w:font>
  <w:font w:name="等线">
    <w:altName w:val="宋体"/>
    <w:panose1 w:val="00000000000000000000"/>
    <w:charset w:val="86"/>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ourier New">
    <w:panose1 w:val="02070309020205020404"/>
    <w:charset w:val="00"/>
    <w:family w:val="modern"/>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等线">
    <w:altName w:val="SoukouMincho"/>
    <w:panose1 w:val="00000000000000000000"/>
    <w:charset w:val="00"/>
    <w:family w:val="auto"/>
    <w:pitch w:val="default"/>
    <w:sig w:usb0="00000000" w:usb1="00000000" w:usb2="00000000" w:usb3="00000000" w:csb0="00000000" w:csb1="00000000"/>
  </w:font>
  <w:font w:name="SoukouMincho">
    <w:panose1 w:val="02000600000000000000"/>
    <w:charset w:val="80"/>
    <w:family w:val="auto"/>
    <w:pitch w:val="default"/>
    <w:sig w:usb0="A00002FF" w:usb1="68C7FEFF" w:usb2="00000012" w:usb3="00000000" w:csb0="0002000D"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2E0"/>
    <w:rsid w:val="008D6745"/>
    <w:rsid w:val="00AA58D2"/>
    <w:rsid w:val="00F672E0"/>
    <w:rsid w:val="22301FB4"/>
    <w:rsid w:val="6E194290"/>
    <w:rsid w:val="73076ED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2471</Words>
  <Characters>14088</Characters>
  <Lines>117</Lines>
  <Paragraphs>33</Paragraphs>
  <ScaleCrop>false</ScaleCrop>
  <LinksUpToDate>false</LinksUpToDate>
  <CharactersWithSpaces>16526</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2025-01-22T07:29:00Z</dcterms:created>
  <dc:creator>lenovo</dc:creator>
  <cp:lastModifiedBy>lenovo</cp:lastModifiedBy>
  <dcterms:modified xsi:type="dcterms:W3CDTF">2025-10-24T07:06:37Z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