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一、中共石家庄市桥西区委统一战线工作部机关本级收支预算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一、中共石家庄市桥西区委统一战线工作部机关本级收支预算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292.75</w:t>
            </w:r>
          </w:p>
        </w:tc>
        <w:tc>
          <w:tcPr>
            <w:tcW w:w="4535" w:type="dxa"/>
            <w:vAlign w:val="center"/>
          </w:tcPr>
          <w:p>
            <w:pPr>
              <w:pStyle w:val="12"/>
            </w:pPr>
            <w:r>
              <w:t>一、一般公共服务支出</w:t>
            </w:r>
          </w:p>
        </w:tc>
        <w:tc>
          <w:tcPr>
            <w:tcW w:w="2126" w:type="dxa"/>
            <w:vAlign w:val="center"/>
          </w:tcPr>
          <w:p>
            <w:pPr>
              <w:pStyle w:val="11"/>
            </w:pPr>
            <w:r>
              <w:t>212.12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292.75</w:t>
            </w:r>
          </w:p>
        </w:tc>
        <w:tc>
          <w:tcPr>
            <w:tcW w:w="4535" w:type="dxa"/>
            <w:vAlign w:val="center"/>
          </w:tcPr>
          <w:p>
            <w:pPr>
              <w:pStyle w:val="14"/>
            </w:pPr>
            <w:r>
              <w:t>本年支出合计</w:t>
            </w:r>
          </w:p>
        </w:tc>
        <w:tc>
          <w:tcPr>
            <w:tcW w:w="2126" w:type="dxa"/>
            <w:vAlign w:val="center"/>
          </w:tcPr>
          <w:p>
            <w:pPr>
              <w:pStyle w:val="15"/>
            </w:pPr>
            <w:r>
              <w:t>292.76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rPr>
                <w:rFonts w:hint="default" w:eastAsia="方正书宋_GBK"/>
                <w:lang w:val="en-US" w:eastAsia="zh-CN"/>
              </w:rPr>
            </w:pPr>
            <w:r>
              <w:rPr>
                <w:rFonts w:hint="eastAsia"/>
                <w:lang w:val="en-US" w:eastAsia="zh-CN"/>
              </w:rPr>
              <w:t>0.0077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292.76</w:t>
            </w:r>
          </w:p>
        </w:tc>
        <w:tc>
          <w:tcPr>
            <w:tcW w:w="4535" w:type="dxa"/>
            <w:vAlign w:val="center"/>
          </w:tcPr>
          <w:p>
            <w:pPr>
              <w:pStyle w:val="14"/>
            </w:pPr>
            <w:r>
              <w:t>支出总计</w:t>
            </w:r>
          </w:p>
        </w:tc>
        <w:tc>
          <w:tcPr>
            <w:tcW w:w="2126" w:type="dxa"/>
            <w:vAlign w:val="center"/>
          </w:tcPr>
          <w:p>
            <w:pPr>
              <w:pStyle w:val="15"/>
            </w:pPr>
            <w:r>
              <w:t>292.76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292.76</w:t>
            </w:r>
          </w:p>
        </w:tc>
        <w:tc>
          <w:tcPr>
            <w:tcW w:w="1134" w:type="dxa"/>
            <w:vAlign w:val="center"/>
          </w:tcPr>
          <w:p>
            <w:pPr>
              <w:pStyle w:val="15"/>
            </w:pPr>
            <w:r>
              <w:t>292.75</w:t>
            </w:r>
          </w:p>
        </w:tc>
        <w:tc>
          <w:tcPr>
            <w:tcW w:w="1134" w:type="dxa"/>
            <w:vAlign w:val="center"/>
          </w:tcPr>
          <w:p>
            <w:pPr>
              <w:pStyle w:val="15"/>
            </w:pPr>
            <w:r>
              <w:t>292.75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rPr>
                <w:rFonts w:hint="default" w:eastAsia="方正书宋_GBK"/>
                <w:lang w:val="en-US" w:eastAsia="zh-CN"/>
              </w:rPr>
            </w:pPr>
            <w:r>
              <w:rPr>
                <w:rFonts w:hint="eastAsia"/>
                <w:lang w:val="en-US" w:eastAsia="zh-CN"/>
              </w:rPr>
              <w:t>0.0077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212.12</w:t>
            </w:r>
          </w:p>
        </w:tc>
        <w:tc>
          <w:tcPr>
            <w:tcW w:w="1134" w:type="dxa"/>
            <w:vAlign w:val="center"/>
          </w:tcPr>
          <w:p>
            <w:pPr>
              <w:pStyle w:val="11"/>
            </w:pPr>
            <w:r>
              <w:t>212.11</w:t>
            </w:r>
          </w:p>
        </w:tc>
        <w:tc>
          <w:tcPr>
            <w:tcW w:w="1134" w:type="dxa"/>
            <w:vAlign w:val="center"/>
          </w:tcPr>
          <w:p>
            <w:pPr>
              <w:pStyle w:val="11"/>
            </w:pPr>
            <w:r>
              <w:t>212.11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default" w:eastAsia="方正书宋_GBK"/>
                <w:lang w:val="en-US" w:eastAsia="zh-CN"/>
              </w:rPr>
            </w:pPr>
            <w:r>
              <w:rPr>
                <w:rFonts w:hint="eastAsia"/>
                <w:lang w:val="en-US" w:eastAsia="zh-CN"/>
              </w:rPr>
              <w:t>0.0077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212.12</w:t>
            </w:r>
          </w:p>
        </w:tc>
        <w:tc>
          <w:tcPr>
            <w:tcW w:w="1134" w:type="dxa"/>
            <w:vAlign w:val="center"/>
          </w:tcPr>
          <w:p>
            <w:pPr>
              <w:pStyle w:val="11"/>
            </w:pPr>
            <w:r>
              <w:t>212.11</w:t>
            </w:r>
          </w:p>
        </w:tc>
        <w:tc>
          <w:tcPr>
            <w:tcW w:w="1134" w:type="dxa"/>
            <w:vAlign w:val="center"/>
          </w:tcPr>
          <w:p>
            <w:pPr>
              <w:pStyle w:val="11"/>
            </w:pPr>
            <w:r>
              <w:t>212.11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default" w:eastAsia="方正书宋_GBK"/>
                <w:lang w:val="en-US" w:eastAsia="zh-CN"/>
              </w:rPr>
            </w:pPr>
            <w:r>
              <w:rPr>
                <w:rFonts w:hint="eastAsia"/>
                <w:lang w:val="en-US" w:eastAsia="zh-CN"/>
              </w:rPr>
              <w:t>0.0077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188.31</w:t>
            </w:r>
          </w:p>
        </w:tc>
        <w:tc>
          <w:tcPr>
            <w:tcW w:w="1134" w:type="dxa"/>
            <w:vAlign w:val="center"/>
          </w:tcPr>
          <w:p>
            <w:pPr>
              <w:pStyle w:val="11"/>
            </w:pPr>
            <w:r>
              <w:t>188.31</w:t>
            </w:r>
          </w:p>
        </w:tc>
        <w:tc>
          <w:tcPr>
            <w:tcW w:w="1134" w:type="dxa"/>
            <w:vAlign w:val="center"/>
          </w:tcPr>
          <w:p>
            <w:pPr>
              <w:pStyle w:val="11"/>
            </w:pPr>
            <w:r>
              <w:t>188.31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23.81</w:t>
            </w:r>
          </w:p>
        </w:tc>
        <w:tc>
          <w:tcPr>
            <w:tcW w:w="1134" w:type="dxa"/>
            <w:vAlign w:val="center"/>
          </w:tcPr>
          <w:p>
            <w:pPr>
              <w:pStyle w:val="11"/>
            </w:pPr>
            <w:r>
              <w:t>23.80</w:t>
            </w:r>
          </w:p>
        </w:tc>
        <w:tc>
          <w:tcPr>
            <w:tcW w:w="1134" w:type="dxa"/>
            <w:vAlign w:val="center"/>
          </w:tcPr>
          <w:p>
            <w:pPr>
              <w:pStyle w:val="11"/>
            </w:pPr>
            <w:r>
              <w:t>23.80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hint="default" w:eastAsia="方正书宋_GBK"/>
                <w:lang w:val="en-US" w:eastAsia="zh-CN"/>
              </w:rPr>
            </w:pPr>
            <w:r>
              <w:rPr>
                <w:rFonts w:hint="eastAsia"/>
                <w:lang w:val="en-US" w:eastAsia="zh-CN"/>
              </w:rPr>
              <w:t>0.0077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r>
              <w:t>49.52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16.08</w:t>
            </w:r>
          </w:p>
        </w:tc>
        <w:tc>
          <w:tcPr>
            <w:tcW w:w="1134" w:type="dxa"/>
            <w:vAlign w:val="center"/>
          </w:tcPr>
          <w:p>
            <w:pPr>
              <w:pStyle w:val="11"/>
            </w:pPr>
            <w:r>
              <w:t>16.08</w:t>
            </w:r>
          </w:p>
        </w:tc>
        <w:tc>
          <w:tcPr>
            <w:tcW w:w="1134" w:type="dxa"/>
            <w:vAlign w:val="center"/>
          </w:tcPr>
          <w:p>
            <w:pPr>
              <w:pStyle w:val="11"/>
            </w:pPr>
            <w:r>
              <w:t>16.08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18.44</w:t>
            </w:r>
          </w:p>
        </w:tc>
        <w:tc>
          <w:tcPr>
            <w:tcW w:w="1134" w:type="dxa"/>
            <w:vAlign w:val="center"/>
          </w:tcPr>
          <w:p>
            <w:pPr>
              <w:pStyle w:val="11"/>
            </w:pPr>
            <w:r>
              <w:t>18.44</w:t>
            </w:r>
          </w:p>
        </w:tc>
        <w:tc>
          <w:tcPr>
            <w:tcW w:w="1134" w:type="dxa"/>
            <w:vAlign w:val="center"/>
          </w:tcPr>
          <w:p>
            <w:pPr>
              <w:pStyle w:val="11"/>
            </w:pPr>
            <w:r>
              <w:t>18.44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r>
              <w:t>13.49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r>
              <w:t>17.63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rPr>
                <w:rFonts w:hint="eastAsia" w:eastAsia="方正书宋_GBK"/>
                <w:lang w:eastAsia="zh-CN"/>
              </w:rPr>
            </w:pPr>
            <w:r>
              <w:t>292.7</w:t>
            </w:r>
            <w:r>
              <w:rPr>
                <w:rFonts w:hint="eastAsia"/>
                <w:lang w:val="en-US" w:eastAsia="zh-CN"/>
              </w:rPr>
              <w:t>5</w:t>
            </w:r>
          </w:p>
        </w:tc>
        <w:tc>
          <w:tcPr>
            <w:tcW w:w="1361" w:type="dxa"/>
            <w:vAlign w:val="center"/>
          </w:tcPr>
          <w:p>
            <w:pPr>
              <w:pStyle w:val="15"/>
            </w:pPr>
            <w:r>
              <w:t>268.95</w:t>
            </w:r>
          </w:p>
        </w:tc>
        <w:tc>
          <w:tcPr>
            <w:tcW w:w="1361" w:type="dxa"/>
            <w:vAlign w:val="center"/>
          </w:tcPr>
          <w:p>
            <w:pPr>
              <w:pStyle w:val="15"/>
              <w:rPr>
                <w:rFonts w:hint="eastAsia" w:eastAsia="方正书宋_GBK"/>
                <w:lang w:eastAsia="zh-CN"/>
              </w:rPr>
            </w:pPr>
            <w:r>
              <w:t>23.8</w:t>
            </w:r>
            <w:r>
              <w:rPr>
                <w:rFonts w:hint="eastAsia"/>
                <w:lang w:val="en-US" w:eastAsia="zh-CN"/>
              </w:rPr>
              <w:t>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rPr>
                <w:rFonts w:hint="eastAsia" w:eastAsia="方正书宋_GBK"/>
                <w:lang w:eastAsia="zh-CN"/>
              </w:rPr>
            </w:pPr>
            <w:r>
              <w:t>212.1</w:t>
            </w:r>
            <w:r>
              <w:rPr>
                <w:rFonts w:hint="eastAsia"/>
                <w:lang w:val="en-US" w:eastAsia="zh-CN"/>
              </w:rPr>
              <w:t>2</w:t>
            </w:r>
          </w:p>
        </w:tc>
        <w:tc>
          <w:tcPr>
            <w:tcW w:w="1361" w:type="dxa"/>
            <w:vAlign w:val="center"/>
          </w:tcPr>
          <w:p>
            <w:pPr>
              <w:pStyle w:val="11"/>
            </w:pPr>
            <w:r>
              <w:t>188.31</w:t>
            </w:r>
          </w:p>
        </w:tc>
        <w:tc>
          <w:tcPr>
            <w:tcW w:w="1361" w:type="dxa"/>
            <w:vAlign w:val="center"/>
          </w:tcPr>
          <w:p>
            <w:pPr>
              <w:pStyle w:val="11"/>
              <w:rPr>
                <w:rFonts w:hint="eastAsia" w:eastAsia="方正书宋_GBK"/>
                <w:lang w:eastAsia="zh-CN"/>
              </w:rPr>
            </w:pPr>
            <w:r>
              <w:t>23.8</w:t>
            </w:r>
            <w:r>
              <w:rPr>
                <w:rFonts w:hint="eastAsia"/>
                <w:lang w:val="en-US" w:eastAsia="zh-CN"/>
              </w:rPr>
              <w:t>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rPr>
                <w:rFonts w:hint="eastAsia" w:eastAsia="方正书宋_GBK"/>
                <w:lang w:eastAsia="zh-CN"/>
              </w:rPr>
            </w:pPr>
            <w:r>
              <w:t>212.1</w:t>
            </w:r>
            <w:r>
              <w:rPr>
                <w:rFonts w:hint="eastAsia"/>
                <w:lang w:val="en-US" w:eastAsia="zh-CN"/>
              </w:rPr>
              <w:t>2</w:t>
            </w:r>
          </w:p>
        </w:tc>
        <w:tc>
          <w:tcPr>
            <w:tcW w:w="1361" w:type="dxa"/>
            <w:vAlign w:val="center"/>
          </w:tcPr>
          <w:p>
            <w:pPr>
              <w:pStyle w:val="11"/>
            </w:pPr>
            <w:r>
              <w:t>188.31</w:t>
            </w:r>
          </w:p>
        </w:tc>
        <w:tc>
          <w:tcPr>
            <w:tcW w:w="1361" w:type="dxa"/>
            <w:vAlign w:val="center"/>
          </w:tcPr>
          <w:p>
            <w:pPr>
              <w:pStyle w:val="11"/>
              <w:rPr>
                <w:rFonts w:hint="eastAsia" w:eastAsia="方正书宋_GBK"/>
                <w:lang w:eastAsia="zh-CN"/>
              </w:rPr>
            </w:pPr>
            <w:r>
              <w:t>23.8</w:t>
            </w:r>
            <w:r>
              <w:rPr>
                <w:rFonts w:hint="eastAsia"/>
                <w:lang w:val="en-US" w:eastAsia="zh-CN"/>
              </w:rPr>
              <w:t>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188.31</w:t>
            </w:r>
          </w:p>
        </w:tc>
        <w:tc>
          <w:tcPr>
            <w:tcW w:w="1361" w:type="dxa"/>
            <w:vAlign w:val="center"/>
          </w:tcPr>
          <w:p>
            <w:pPr>
              <w:pStyle w:val="11"/>
            </w:pPr>
            <w:r>
              <w:t>188.31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rPr>
                <w:rFonts w:hint="eastAsia" w:eastAsia="方正书宋_GBK"/>
                <w:lang w:eastAsia="zh-CN"/>
              </w:rPr>
            </w:pPr>
            <w:r>
              <w:t>23.8</w:t>
            </w:r>
            <w:r>
              <w:rPr>
                <w:rFonts w:hint="eastAsia"/>
                <w:lang w:val="en-US" w:eastAsia="zh-CN"/>
              </w:rPr>
              <w:t>1</w:t>
            </w:r>
          </w:p>
        </w:tc>
        <w:tc>
          <w:tcPr>
            <w:tcW w:w="1361" w:type="dxa"/>
            <w:vAlign w:val="center"/>
          </w:tcPr>
          <w:p>
            <w:pPr>
              <w:pStyle w:val="11"/>
            </w:pPr>
          </w:p>
        </w:tc>
        <w:tc>
          <w:tcPr>
            <w:tcW w:w="1361" w:type="dxa"/>
            <w:vAlign w:val="center"/>
          </w:tcPr>
          <w:p>
            <w:pPr>
              <w:pStyle w:val="11"/>
              <w:rPr>
                <w:rFonts w:hint="eastAsia" w:eastAsia="方正书宋_GBK"/>
                <w:lang w:eastAsia="zh-CN"/>
              </w:rPr>
            </w:pPr>
            <w:r>
              <w:t>23.8</w:t>
            </w:r>
            <w:r>
              <w:rPr>
                <w:rFonts w:hint="eastAsia"/>
                <w:lang w:val="en-US" w:eastAsia="zh-CN"/>
              </w:rPr>
              <w:t>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49.52</w:t>
            </w:r>
          </w:p>
        </w:tc>
        <w:tc>
          <w:tcPr>
            <w:tcW w:w="1361" w:type="dxa"/>
            <w:vAlign w:val="center"/>
          </w:tcPr>
          <w:p>
            <w:pPr>
              <w:pStyle w:val="11"/>
            </w:pPr>
            <w:r>
              <w:t>49.52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49.52</w:t>
            </w:r>
          </w:p>
        </w:tc>
        <w:tc>
          <w:tcPr>
            <w:tcW w:w="1361" w:type="dxa"/>
            <w:vAlign w:val="center"/>
          </w:tcPr>
          <w:p>
            <w:pPr>
              <w:pStyle w:val="11"/>
            </w:pPr>
            <w:r>
              <w:t>49.52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16.08</w:t>
            </w:r>
          </w:p>
        </w:tc>
        <w:tc>
          <w:tcPr>
            <w:tcW w:w="1361" w:type="dxa"/>
            <w:vAlign w:val="center"/>
          </w:tcPr>
          <w:p>
            <w:pPr>
              <w:pStyle w:val="11"/>
            </w:pPr>
            <w:r>
              <w:t>16.08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18.44</w:t>
            </w:r>
          </w:p>
        </w:tc>
        <w:tc>
          <w:tcPr>
            <w:tcW w:w="1361" w:type="dxa"/>
            <w:vAlign w:val="center"/>
          </w:tcPr>
          <w:p>
            <w:pPr>
              <w:pStyle w:val="11"/>
            </w:pPr>
            <w:r>
              <w:t>18.44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13.49</w:t>
            </w:r>
          </w:p>
        </w:tc>
        <w:tc>
          <w:tcPr>
            <w:tcW w:w="1361" w:type="dxa"/>
            <w:vAlign w:val="center"/>
          </w:tcPr>
          <w:p>
            <w:pPr>
              <w:pStyle w:val="11"/>
            </w:pPr>
            <w:r>
              <w:t>13.49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17.63</w:t>
            </w:r>
          </w:p>
        </w:tc>
        <w:tc>
          <w:tcPr>
            <w:tcW w:w="1361" w:type="dxa"/>
            <w:vAlign w:val="center"/>
          </w:tcPr>
          <w:p>
            <w:pPr>
              <w:pStyle w:val="11"/>
            </w:pPr>
            <w:r>
              <w:t>17.63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292.75</w:t>
            </w:r>
          </w:p>
        </w:tc>
        <w:tc>
          <w:tcPr>
            <w:tcW w:w="3402" w:type="dxa"/>
            <w:vAlign w:val="center"/>
          </w:tcPr>
          <w:p>
            <w:pPr>
              <w:pStyle w:val="12"/>
            </w:pPr>
            <w:r>
              <w:t>一、一般公共服务支出</w:t>
            </w:r>
          </w:p>
        </w:tc>
        <w:tc>
          <w:tcPr>
            <w:tcW w:w="1474" w:type="dxa"/>
            <w:vAlign w:val="center"/>
          </w:tcPr>
          <w:p>
            <w:pPr>
              <w:pStyle w:val="11"/>
            </w:pPr>
            <w:r>
              <w:t>212.12</w:t>
            </w:r>
          </w:p>
        </w:tc>
        <w:tc>
          <w:tcPr>
            <w:tcW w:w="1474" w:type="dxa"/>
            <w:vAlign w:val="center"/>
          </w:tcPr>
          <w:p>
            <w:pPr>
              <w:pStyle w:val="11"/>
            </w:pPr>
            <w:r>
              <w:t>212.12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49.52</w:t>
            </w:r>
          </w:p>
        </w:tc>
        <w:tc>
          <w:tcPr>
            <w:tcW w:w="1474" w:type="dxa"/>
            <w:vAlign w:val="center"/>
          </w:tcPr>
          <w:p>
            <w:pPr>
              <w:pStyle w:val="11"/>
            </w:pPr>
            <w:r>
              <w:t>49.52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13.49</w:t>
            </w:r>
          </w:p>
        </w:tc>
        <w:tc>
          <w:tcPr>
            <w:tcW w:w="1474" w:type="dxa"/>
            <w:vAlign w:val="center"/>
          </w:tcPr>
          <w:p>
            <w:pPr>
              <w:pStyle w:val="11"/>
            </w:pPr>
            <w:r>
              <w:t>13.49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17.63</w:t>
            </w:r>
          </w:p>
        </w:tc>
        <w:tc>
          <w:tcPr>
            <w:tcW w:w="1474" w:type="dxa"/>
            <w:vAlign w:val="center"/>
          </w:tcPr>
          <w:p>
            <w:pPr>
              <w:pStyle w:val="11"/>
            </w:pPr>
            <w:r>
              <w:t>17.63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292.75</w:t>
            </w:r>
          </w:p>
        </w:tc>
        <w:tc>
          <w:tcPr>
            <w:tcW w:w="3402" w:type="dxa"/>
            <w:vAlign w:val="center"/>
          </w:tcPr>
          <w:p>
            <w:pPr>
              <w:pStyle w:val="14"/>
            </w:pPr>
            <w:r>
              <w:t>本年支出合计</w:t>
            </w:r>
          </w:p>
        </w:tc>
        <w:tc>
          <w:tcPr>
            <w:tcW w:w="1474" w:type="dxa"/>
            <w:vAlign w:val="center"/>
          </w:tcPr>
          <w:p>
            <w:pPr>
              <w:pStyle w:val="15"/>
            </w:pPr>
            <w:r>
              <w:t>292.76</w:t>
            </w:r>
          </w:p>
        </w:tc>
        <w:tc>
          <w:tcPr>
            <w:tcW w:w="1474" w:type="dxa"/>
            <w:vAlign w:val="center"/>
          </w:tcPr>
          <w:p>
            <w:pPr>
              <w:pStyle w:val="15"/>
            </w:pPr>
            <w:r>
              <w:t>292.76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rPr>
                <w:rFonts w:hint="default" w:eastAsia="方正书宋_GBK"/>
                <w:lang w:val="en-US" w:eastAsia="zh-CN"/>
              </w:rPr>
            </w:pPr>
            <w:r>
              <w:rPr>
                <w:rFonts w:hint="eastAsia"/>
                <w:lang w:val="en-US" w:eastAsia="zh-CN"/>
              </w:rPr>
              <w:t>0.0077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0.0077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292.76</w:t>
            </w:r>
          </w:p>
        </w:tc>
        <w:tc>
          <w:tcPr>
            <w:tcW w:w="3402" w:type="dxa"/>
            <w:vAlign w:val="center"/>
          </w:tcPr>
          <w:p>
            <w:pPr>
              <w:pStyle w:val="14"/>
            </w:pPr>
            <w:r>
              <w:t>支出总计</w:t>
            </w:r>
          </w:p>
        </w:tc>
        <w:tc>
          <w:tcPr>
            <w:tcW w:w="1474" w:type="dxa"/>
            <w:vAlign w:val="center"/>
          </w:tcPr>
          <w:p>
            <w:pPr>
              <w:pStyle w:val="15"/>
            </w:pPr>
            <w:r>
              <w:t>292.76</w:t>
            </w:r>
          </w:p>
        </w:tc>
        <w:tc>
          <w:tcPr>
            <w:tcW w:w="1474" w:type="dxa"/>
            <w:vAlign w:val="center"/>
          </w:tcPr>
          <w:p>
            <w:pPr>
              <w:pStyle w:val="15"/>
            </w:pPr>
            <w:r>
              <w:t>292.76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292.76</w:t>
            </w:r>
          </w:p>
        </w:tc>
        <w:tc>
          <w:tcPr>
            <w:tcW w:w="2551" w:type="dxa"/>
            <w:vAlign w:val="center"/>
          </w:tcPr>
          <w:p>
            <w:pPr>
              <w:pStyle w:val="15"/>
            </w:pPr>
            <w:r>
              <w:t>268.95</w:t>
            </w:r>
          </w:p>
        </w:tc>
        <w:tc>
          <w:tcPr>
            <w:tcW w:w="2551" w:type="dxa"/>
            <w:vAlign w:val="center"/>
          </w:tcPr>
          <w:p>
            <w:pPr>
              <w:pStyle w:val="15"/>
              <w:rPr>
                <w:rFonts w:hint="eastAsia" w:eastAsia="方正书宋_GBK"/>
                <w:lang w:eastAsia="zh-CN"/>
              </w:rPr>
            </w:pPr>
            <w:r>
              <w:t>23.8</w:t>
            </w:r>
            <w:r>
              <w:rPr>
                <w:rFonts w:hint="eastAsia"/>
                <w:lang w:val="en-US" w:eastAsia="zh-CN"/>
              </w:rP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rPr>
                <w:rFonts w:hint="eastAsia" w:eastAsia="方正书宋_GBK"/>
                <w:lang w:eastAsia="zh-CN"/>
              </w:rPr>
            </w:pPr>
            <w:r>
              <w:t>212.1</w:t>
            </w:r>
            <w:r>
              <w:rPr>
                <w:rFonts w:hint="eastAsia"/>
                <w:lang w:val="en-US" w:eastAsia="zh-CN"/>
              </w:rPr>
              <w:t>2</w:t>
            </w:r>
          </w:p>
        </w:tc>
        <w:tc>
          <w:tcPr>
            <w:tcW w:w="2551" w:type="dxa"/>
            <w:vAlign w:val="center"/>
          </w:tcPr>
          <w:p>
            <w:pPr>
              <w:pStyle w:val="11"/>
            </w:pPr>
            <w:r>
              <w:t>188.31</w:t>
            </w:r>
          </w:p>
        </w:tc>
        <w:tc>
          <w:tcPr>
            <w:tcW w:w="2551" w:type="dxa"/>
            <w:vAlign w:val="center"/>
          </w:tcPr>
          <w:p>
            <w:pPr>
              <w:pStyle w:val="11"/>
              <w:rPr>
                <w:rFonts w:hint="eastAsia" w:eastAsia="方正书宋_GBK"/>
                <w:lang w:eastAsia="zh-CN"/>
              </w:rPr>
            </w:pPr>
            <w:r>
              <w:t>23.8</w:t>
            </w:r>
            <w:r>
              <w:rPr>
                <w:rFonts w:hint="eastAsia"/>
                <w:lang w:val="en-US" w:eastAsia="zh-CN"/>
              </w:rP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rPr>
                <w:rFonts w:hint="eastAsia" w:eastAsia="方正书宋_GBK"/>
                <w:lang w:eastAsia="zh-CN"/>
              </w:rPr>
            </w:pPr>
            <w:r>
              <w:t>212.1</w:t>
            </w:r>
            <w:r>
              <w:rPr>
                <w:rFonts w:hint="eastAsia"/>
                <w:lang w:val="en-US" w:eastAsia="zh-CN"/>
              </w:rPr>
              <w:t>2</w:t>
            </w:r>
          </w:p>
        </w:tc>
        <w:tc>
          <w:tcPr>
            <w:tcW w:w="2551" w:type="dxa"/>
            <w:vAlign w:val="center"/>
          </w:tcPr>
          <w:p>
            <w:pPr>
              <w:pStyle w:val="11"/>
            </w:pPr>
            <w:r>
              <w:t>188.31</w:t>
            </w:r>
          </w:p>
        </w:tc>
        <w:tc>
          <w:tcPr>
            <w:tcW w:w="2551" w:type="dxa"/>
            <w:vAlign w:val="center"/>
          </w:tcPr>
          <w:p>
            <w:pPr>
              <w:pStyle w:val="11"/>
              <w:rPr>
                <w:rFonts w:hint="eastAsia" w:eastAsia="方正书宋_GBK"/>
                <w:lang w:eastAsia="zh-CN"/>
              </w:rPr>
            </w:pPr>
            <w:r>
              <w:t>23.8</w:t>
            </w:r>
            <w:r>
              <w:rPr>
                <w:rFonts w:hint="eastAsia"/>
                <w:lang w:val="en-US" w:eastAsia="zh-CN"/>
              </w:rP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188.31</w:t>
            </w:r>
          </w:p>
        </w:tc>
        <w:tc>
          <w:tcPr>
            <w:tcW w:w="2551" w:type="dxa"/>
            <w:vAlign w:val="center"/>
          </w:tcPr>
          <w:p>
            <w:pPr>
              <w:pStyle w:val="11"/>
            </w:pPr>
            <w:r>
              <w:t>188.31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rPr>
                <w:rFonts w:hint="eastAsia" w:eastAsia="方正书宋_GBK"/>
                <w:lang w:eastAsia="zh-CN"/>
              </w:rPr>
            </w:pPr>
            <w:r>
              <w:t>23.8</w:t>
            </w:r>
            <w:r>
              <w:rPr>
                <w:rFonts w:hint="eastAsia"/>
                <w:lang w:val="en-US" w:eastAsia="zh-CN"/>
              </w:rPr>
              <w:t>1</w:t>
            </w:r>
          </w:p>
        </w:tc>
        <w:tc>
          <w:tcPr>
            <w:tcW w:w="2551" w:type="dxa"/>
            <w:vAlign w:val="center"/>
          </w:tcPr>
          <w:p>
            <w:pPr>
              <w:pStyle w:val="11"/>
            </w:pPr>
          </w:p>
        </w:tc>
        <w:tc>
          <w:tcPr>
            <w:tcW w:w="2551" w:type="dxa"/>
            <w:vAlign w:val="center"/>
          </w:tcPr>
          <w:p>
            <w:pPr>
              <w:pStyle w:val="11"/>
              <w:rPr>
                <w:rFonts w:hint="eastAsia" w:eastAsia="方正书宋_GBK"/>
                <w:lang w:eastAsia="zh-CN"/>
              </w:rPr>
            </w:pPr>
            <w:r>
              <w:t>23.8</w:t>
            </w:r>
            <w:r>
              <w:rPr>
                <w:rFonts w:hint="eastAsia"/>
                <w:lang w:val="en-US" w:eastAsia="zh-CN"/>
              </w:rP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49.52</w:t>
            </w:r>
          </w:p>
        </w:tc>
        <w:tc>
          <w:tcPr>
            <w:tcW w:w="2551" w:type="dxa"/>
            <w:vAlign w:val="center"/>
          </w:tcPr>
          <w:p>
            <w:pPr>
              <w:pStyle w:val="11"/>
            </w:pPr>
            <w:r>
              <w:t>49.52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49.52</w:t>
            </w:r>
          </w:p>
        </w:tc>
        <w:tc>
          <w:tcPr>
            <w:tcW w:w="2551" w:type="dxa"/>
            <w:vAlign w:val="center"/>
          </w:tcPr>
          <w:p>
            <w:pPr>
              <w:pStyle w:val="11"/>
            </w:pPr>
            <w:r>
              <w:t>49.52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16.08</w:t>
            </w:r>
          </w:p>
        </w:tc>
        <w:tc>
          <w:tcPr>
            <w:tcW w:w="2551" w:type="dxa"/>
            <w:vAlign w:val="center"/>
          </w:tcPr>
          <w:p>
            <w:pPr>
              <w:pStyle w:val="11"/>
            </w:pPr>
            <w:r>
              <w:t>16.08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18.44</w:t>
            </w:r>
          </w:p>
        </w:tc>
        <w:tc>
          <w:tcPr>
            <w:tcW w:w="2551" w:type="dxa"/>
            <w:vAlign w:val="center"/>
          </w:tcPr>
          <w:p>
            <w:pPr>
              <w:pStyle w:val="11"/>
            </w:pPr>
            <w:r>
              <w:t>18.44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13.49</w:t>
            </w:r>
          </w:p>
        </w:tc>
        <w:tc>
          <w:tcPr>
            <w:tcW w:w="2551" w:type="dxa"/>
            <w:vAlign w:val="center"/>
          </w:tcPr>
          <w:p>
            <w:pPr>
              <w:pStyle w:val="11"/>
            </w:pPr>
            <w:r>
              <w:t>13.49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268.95</w:t>
            </w:r>
          </w:p>
        </w:tc>
        <w:tc>
          <w:tcPr>
            <w:tcW w:w="2551" w:type="dxa"/>
            <w:vAlign w:val="center"/>
          </w:tcPr>
          <w:p>
            <w:pPr>
              <w:pStyle w:val="15"/>
            </w:pPr>
            <w:r>
              <w:t>245.95</w:t>
            </w:r>
          </w:p>
        </w:tc>
        <w:tc>
          <w:tcPr>
            <w:tcW w:w="2551" w:type="dxa"/>
            <w:vAlign w:val="center"/>
          </w:tcPr>
          <w:p>
            <w:pPr>
              <w:pStyle w:val="15"/>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229.38</w:t>
            </w:r>
          </w:p>
        </w:tc>
        <w:tc>
          <w:tcPr>
            <w:tcW w:w="2551" w:type="dxa"/>
            <w:vAlign w:val="center"/>
          </w:tcPr>
          <w:p>
            <w:pPr>
              <w:pStyle w:val="11"/>
            </w:pPr>
            <w:r>
              <w:t>229.38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50.26</w:t>
            </w:r>
          </w:p>
        </w:tc>
        <w:tc>
          <w:tcPr>
            <w:tcW w:w="2551" w:type="dxa"/>
            <w:vAlign w:val="center"/>
          </w:tcPr>
          <w:p>
            <w:pPr>
              <w:pStyle w:val="11"/>
            </w:pPr>
            <w:r>
              <w:t>50.26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34.73</w:t>
            </w:r>
          </w:p>
        </w:tc>
        <w:tc>
          <w:tcPr>
            <w:tcW w:w="2551" w:type="dxa"/>
            <w:vAlign w:val="center"/>
          </w:tcPr>
          <w:p>
            <w:pPr>
              <w:pStyle w:val="11"/>
            </w:pPr>
            <w:r>
              <w:t>34.73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41.69</w:t>
            </w:r>
          </w:p>
        </w:tc>
        <w:tc>
          <w:tcPr>
            <w:tcW w:w="2551" w:type="dxa"/>
            <w:vAlign w:val="center"/>
          </w:tcPr>
          <w:p>
            <w:pPr>
              <w:pStyle w:val="11"/>
            </w:pPr>
            <w:r>
              <w:t>41.69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15.33</w:t>
            </w:r>
          </w:p>
        </w:tc>
        <w:tc>
          <w:tcPr>
            <w:tcW w:w="2551" w:type="dxa"/>
            <w:vAlign w:val="center"/>
          </w:tcPr>
          <w:p>
            <w:pPr>
              <w:pStyle w:val="11"/>
            </w:pPr>
            <w:r>
              <w:t>15.33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18.44</w:t>
            </w:r>
          </w:p>
        </w:tc>
        <w:tc>
          <w:tcPr>
            <w:tcW w:w="2551" w:type="dxa"/>
            <w:vAlign w:val="center"/>
          </w:tcPr>
          <w:p>
            <w:pPr>
              <w:pStyle w:val="11"/>
            </w:pPr>
            <w:r>
              <w:t>18.44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9.03</w:t>
            </w:r>
          </w:p>
        </w:tc>
        <w:tc>
          <w:tcPr>
            <w:tcW w:w="2551" w:type="dxa"/>
            <w:vAlign w:val="center"/>
          </w:tcPr>
          <w:p>
            <w:pPr>
              <w:pStyle w:val="11"/>
            </w:pPr>
            <w:r>
              <w:t>9.03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4.46</w:t>
            </w:r>
          </w:p>
        </w:tc>
        <w:tc>
          <w:tcPr>
            <w:tcW w:w="2551" w:type="dxa"/>
            <w:vAlign w:val="center"/>
          </w:tcPr>
          <w:p>
            <w:pPr>
              <w:pStyle w:val="11"/>
            </w:pPr>
            <w:r>
              <w:t>4.46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17.63</w:t>
            </w:r>
          </w:p>
        </w:tc>
        <w:tc>
          <w:tcPr>
            <w:tcW w:w="2551" w:type="dxa"/>
            <w:vAlign w:val="center"/>
          </w:tcPr>
          <w:p>
            <w:pPr>
              <w:pStyle w:val="11"/>
            </w:pPr>
            <w:r>
              <w:t>17.63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22.24</w:t>
            </w:r>
          </w:p>
        </w:tc>
        <w:tc>
          <w:tcPr>
            <w:tcW w:w="2551" w:type="dxa"/>
            <w:vAlign w:val="center"/>
          </w:tcPr>
          <w:p>
            <w:pPr>
              <w:pStyle w:val="11"/>
            </w:pPr>
            <w:r>
              <w:t>22.24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2.95</w:t>
            </w:r>
          </w:p>
        </w:tc>
        <w:tc>
          <w:tcPr>
            <w:tcW w:w="2551" w:type="dxa"/>
            <w:vAlign w:val="center"/>
          </w:tcPr>
          <w:p>
            <w:pPr>
              <w:pStyle w:val="11"/>
            </w:pPr>
          </w:p>
        </w:tc>
        <w:tc>
          <w:tcPr>
            <w:tcW w:w="2551" w:type="dxa"/>
            <w:vAlign w:val="center"/>
          </w:tcPr>
          <w:p>
            <w:pPr>
              <w:pStyle w:val="11"/>
            </w:pPr>
            <w:r>
              <w:t>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5.87</w:t>
            </w:r>
          </w:p>
        </w:tc>
        <w:tc>
          <w:tcPr>
            <w:tcW w:w="2551" w:type="dxa"/>
            <w:vAlign w:val="center"/>
          </w:tcPr>
          <w:p>
            <w:pPr>
              <w:pStyle w:val="11"/>
            </w:pPr>
          </w:p>
        </w:tc>
        <w:tc>
          <w:tcPr>
            <w:tcW w:w="2551" w:type="dxa"/>
            <w:vAlign w:val="center"/>
          </w:tcPr>
          <w:p>
            <w:pPr>
              <w:pStyle w:val="11"/>
            </w:pPr>
            <w:r>
              <w:t>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2.82</w:t>
            </w:r>
          </w:p>
        </w:tc>
        <w:tc>
          <w:tcPr>
            <w:tcW w:w="2551" w:type="dxa"/>
            <w:vAlign w:val="center"/>
          </w:tcPr>
          <w:p>
            <w:pPr>
              <w:pStyle w:val="11"/>
            </w:pPr>
          </w:p>
        </w:tc>
        <w:tc>
          <w:tcPr>
            <w:tcW w:w="2551" w:type="dxa"/>
            <w:vAlign w:val="center"/>
          </w:tcPr>
          <w:p>
            <w:pPr>
              <w:pStyle w:val="11"/>
            </w:pPr>
            <w:r>
              <w:t>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16.57</w:t>
            </w:r>
          </w:p>
        </w:tc>
        <w:tc>
          <w:tcPr>
            <w:tcW w:w="2551" w:type="dxa"/>
            <w:vAlign w:val="center"/>
          </w:tcPr>
          <w:p>
            <w:pPr>
              <w:pStyle w:val="11"/>
            </w:pPr>
            <w:r>
              <w:t>16.57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15.64</w:t>
            </w:r>
          </w:p>
        </w:tc>
        <w:tc>
          <w:tcPr>
            <w:tcW w:w="2551" w:type="dxa"/>
            <w:vAlign w:val="center"/>
          </w:tcPr>
          <w:p>
            <w:pPr>
              <w:pStyle w:val="11"/>
            </w:pPr>
            <w:r>
              <w:t>15.64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w:t>
            </w:r>
          </w:p>
        </w:tc>
        <w:tc>
          <w:tcPr>
            <w:tcW w:w="2381" w:type="dxa"/>
            <w:vAlign w:val="center"/>
          </w:tcPr>
          <w:p>
            <w:pPr>
              <w:pStyle w:val="15"/>
            </w:pPr>
            <w:r>
              <w:t>2.80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2.80</w:t>
            </w:r>
          </w:p>
        </w:tc>
        <w:tc>
          <w:tcPr>
            <w:tcW w:w="2381" w:type="dxa"/>
            <w:vAlign w:val="center"/>
          </w:tcPr>
          <w:p>
            <w:pPr>
              <w:pStyle w:val="11"/>
            </w:pPr>
            <w:r>
              <w:t>2.80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中共石家庄市桥西区委统一战线工作部机关本级2025年单位预算信息公开情况说明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按照《中华人民共和国预算法》、《地方预决算公开操作规程》和《关于进一步推进预算公开工作的实施意见》规定，现将中共石家庄市桥西区委统一战线工作部机关本级2025年单位预算公开如下：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中共石家庄市桥西区委统一战线工作部机关本级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反映本单位当年全部收入。2025年预算收入292.76万元，其中：一般公共预算收入292.75万元，基金预算收入0.00万元，国有资本经营预算收入0.00万元，财政专户核拨收入0.00万元，单位资金收入0.00万元，上年结转结余</w:t>
      </w:r>
      <w:r>
        <w:rPr>
          <w:rFonts w:hint="eastAsia"/>
          <w:lang w:val="en-US" w:eastAsia="zh-CN"/>
        </w:rPr>
        <w:t>0.0077</w:t>
      </w:r>
      <w:r>
        <w:t>万元。</w:t>
      </w:r>
    </w:p>
    <w:p>
      <w:pPr>
        <w:pStyle w:val="18"/>
      </w:pPr>
      <w:r>
        <w:t>2、支出说明</w:t>
      </w:r>
    </w:p>
    <w:p>
      <w:pPr>
        <w:pStyle w:val="18"/>
        <w:rPr>
          <w:rFonts w:hint="eastAsia" w:eastAsia="方正仿宋_GBK"/>
          <w:lang w:val="en-US" w:eastAsia="zh-CN"/>
        </w:rPr>
      </w:pPr>
      <w:r>
        <w:t>收支预算总表支出栏、基本支出表、项目支出表按经济分类和支出功能分类科目编制，反映中共石家庄市桥西区委统一战线工作部机关本级年度单位预算中支出预算的总体情况。2025年支出预算292.76万元，其中基本支出268.95万元，包括人员经费245.95万元和日常公用经费23.00万元；项目支出23.8</w:t>
      </w:r>
      <w:r>
        <w:rPr>
          <w:rFonts w:hint="eastAsia"/>
          <w:lang w:val="en-US" w:eastAsia="zh-CN"/>
        </w:rPr>
        <w:t>1</w:t>
      </w:r>
      <w:r>
        <w:t>万元，主要为下沉干部工作队和统战工作经费</w:t>
      </w:r>
      <w:r>
        <w:rPr>
          <w:rFonts w:hint="eastAsia"/>
          <w:lang w:eastAsia="zh-CN"/>
        </w:rPr>
        <w:t>。</w:t>
      </w:r>
    </w:p>
    <w:p>
      <w:pPr>
        <w:pStyle w:val="18"/>
      </w:pPr>
      <w:r>
        <w:t>3、比上年增减情况</w:t>
      </w:r>
    </w:p>
    <w:p>
      <w:pPr>
        <w:pStyle w:val="18"/>
        <w:rPr>
          <w:rFonts w:hint="eastAsia" w:eastAsia="方正仿宋_GBK"/>
          <w:lang w:eastAsia="zh-CN"/>
        </w:rPr>
      </w:pPr>
      <w:r>
        <w:t>2025年预算收支安排292.76万元，较2024年预算增加14.71万元，其中：基本支出增加22.65万元，主要为增加一名行政人员</w:t>
      </w:r>
      <w:r>
        <w:rPr>
          <w:rFonts w:hint="eastAsia"/>
          <w:lang w:eastAsia="zh-CN"/>
        </w:rPr>
        <w:t>；</w:t>
      </w:r>
      <w:r>
        <w:t>项目支出减少7.94万元，主要为项目经费减少</w:t>
      </w:r>
      <w:r>
        <w:rPr>
          <w:rFonts w:hint="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19"/>
      </w:pPr>
      <w:r>
        <w:t>2025年，我单位机关运行经费共计安排23.00万元，</w:t>
      </w:r>
      <w:r>
        <w:rPr>
          <w:rFonts w:hint="eastAsia" w:ascii="仿宋" w:hAnsi="仿宋" w:eastAsia="仿宋" w:cs="仿宋"/>
          <w:color w:val="000000"/>
          <w:szCs w:val="28"/>
        </w:rPr>
        <w:t>主要</w:t>
      </w:r>
      <w:r>
        <w:rPr>
          <w:rFonts w:hint="eastAsia" w:ascii="仿宋" w:hAnsi="仿宋" w:eastAsia="仿宋" w:cs="仿宋"/>
          <w:color w:val="000000"/>
          <w:szCs w:val="28"/>
          <w:lang w:eastAsia="zh-CN"/>
        </w:rPr>
        <w:t>用于办公费、计提项目的福利费和工会会费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lang w:eastAsia="zh-CN"/>
        </w:rPr>
      </w:pPr>
      <w:r>
        <w:rPr>
          <w:rFonts w:hint="eastAsia"/>
          <w:lang w:val="en-US" w:eastAsia="zh-CN"/>
        </w:rPr>
        <w:t>202</w:t>
      </w:r>
      <w:bookmarkStart w:id="1" w:name="_GoBack"/>
      <w:bookmarkEnd w:id="1"/>
      <w:r>
        <w:rPr>
          <w:rFonts w:hint="eastAsia"/>
          <w:lang w:val="en-US" w:eastAsia="zh-CN"/>
        </w:rPr>
        <w:t xml:space="preserve">5年，财政拨款“三公”经费预算安排 </w:t>
      </w:r>
      <w:r>
        <w:rPr>
          <w:rFonts w:hint="eastAsia"/>
          <w:lang w:val="en" w:eastAsia="zh-CN"/>
        </w:rPr>
        <w:t>2.</w:t>
      </w:r>
      <w:r>
        <w:rPr>
          <w:rFonts w:hint="eastAsia"/>
          <w:lang w:val="en-US" w:eastAsia="zh-CN"/>
        </w:rPr>
        <w:t>8 万元，与上年减少0.11万元。其中：因公出国（境）费0万元，与上年持平，无增减变化，原因是出国计划相同，本年无出国预算安排；公务用车购置及运维费2.80 万元（其中：公务用车购置费为 0.00 万元，与上年持平，无增减变化，原因是购车计划相同，本年无购车预算安排；公务用车运维费 2.80 万元，与上年持平，无增减变化。)； 公务接待费 0.00 万元，与上年减少0.11，原因是无接待安排</w:t>
      </w:r>
      <w:r>
        <w:rPr>
          <w:rFonts w:hint="eastAsia"/>
          <w:lang w:eastAsia="zh-CN"/>
        </w:rPr>
        <w:t>。</w:t>
      </w:r>
    </w:p>
    <w:p>
      <w:pPr>
        <w:pStyle w:val="20"/>
        <w:rPr>
          <w:rFonts w:hint="eastAsia"/>
          <w:lang w:eastAsia="zh-CN"/>
        </w:rPr>
      </w:pPr>
    </w:p>
    <w:p>
      <w:pPr>
        <w:pStyle w:val="20"/>
        <w:rPr>
          <w:rFonts w:hint="eastAsia"/>
          <w:lang w:eastAsia="zh-CN"/>
        </w:rPr>
      </w:pPr>
    </w:p>
    <w:p>
      <w:pPr>
        <w:pStyle w:val="20"/>
        <w:rPr>
          <w:rFonts w:hint="eastAsia"/>
          <w:lang w:eastAsia="zh-CN"/>
        </w:rPr>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1"/>
        </w:num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1、2024市级宗教工作补助经费绩效目标表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13010424P000089100034</w:t>
            </w:r>
          </w:p>
        </w:tc>
        <w:tc>
          <w:tcPr>
            <w:tcW w:w="2835" w:type="dxa"/>
            <w:vAlign w:val="center"/>
          </w:tcPr>
          <w:p>
            <w:pPr>
              <w:pStyle w:val="10"/>
            </w:pPr>
            <w:r>
              <w:t>项目名称</w:t>
            </w:r>
          </w:p>
        </w:tc>
        <w:tc>
          <w:tcPr>
            <w:tcW w:w="6095" w:type="dxa"/>
            <w:gridSpan w:val="3"/>
            <w:vAlign w:val="center"/>
          </w:tcPr>
          <w:p>
            <w:pPr>
              <w:pStyle w:val="12"/>
            </w:pPr>
            <w:r>
              <w:t>2024市级宗教工作补助经费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0.0077</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0.0077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p>
            <w:pPr>
              <w:pStyle w:val="12"/>
            </w:pPr>
            <w:r>
              <w:t>2.涉密</w:t>
            </w:r>
          </w:p>
          <w:p>
            <w:pPr>
              <w:pStyle w:val="12"/>
            </w:pPr>
            <w:r>
              <w:t>3.涉密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13010425P000012100038</w:t>
            </w:r>
          </w:p>
        </w:tc>
        <w:tc>
          <w:tcPr>
            <w:tcW w:w="2835" w:type="dxa"/>
            <w:vAlign w:val="center"/>
          </w:tcPr>
          <w:p>
            <w:pPr>
              <w:pStyle w:val="10"/>
            </w:pPr>
            <w:r>
              <w:t>项目名称</w:t>
            </w:r>
          </w:p>
        </w:tc>
        <w:tc>
          <w:tcPr>
            <w:tcW w:w="6095" w:type="dxa"/>
            <w:gridSpan w:val="3"/>
            <w:vAlign w:val="center"/>
          </w:tcPr>
          <w:p>
            <w:pPr>
              <w:pStyle w:val="12"/>
            </w:pPr>
            <w:r>
              <w:t>统战工作经费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广泛开展各民族团结活动、开展统战各类人员学习培训、考察调研、社会服务等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1.广泛开展各民族团结活动、开展统战各类人员学习培训、考察调研、社会服务等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开展民族活动、统战系统各类人员学习培训、考察调研、社会服务等活动</w:t>
            </w:r>
          </w:p>
        </w:tc>
        <w:tc>
          <w:tcPr>
            <w:tcW w:w="5386" w:type="dxa"/>
            <w:vAlign w:val="center"/>
          </w:tcPr>
          <w:p>
            <w:pPr>
              <w:pStyle w:val="12"/>
            </w:pPr>
            <w:r>
              <w:t>各类培训等活动次数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开展各项培训活动等人员参加数</w:t>
            </w:r>
          </w:p>
        </w:tc>
        <w:tc>
          <w:tcPr>
            <w:tcW w:w="5386" w:type="dxa"/>
            <w:vAlign w:val="center"/>
          </w:tcPr>
          <w:p>
            <w:pPr>
              <w:pStyle w:val="12"/>
            </w:pPr>
            <w:r>
              <w:t>开展各项培训等活动参加人数占应到人数占比率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本年度内完成</w:t>
            </w:r>
          </w:p>
        </w:tc>
        <w:tc>
          <w:tcPr>
            <w:tcW w:w="5386" w:type="dxa"/>
            <w:vAlign w:val="center"/>
          </w:tcPr>
          <w:p>
            <w:pPr>
              <w:pStyle w:val="12"/>
            </w:pPr>
            <w:r>
              <w:t>2024年12月之前完成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按财政预算完成</w:t>
            </w:r>
          </w:p>
        </w:tc>
        <w:tc>
          <w:tcPr>
            <w:tcW w:w="5386" w:type="dxa"/>
            <w:vAlign w:val="center"/>
          </w:tcPr>
          <w:p>
            <w:pPr>
              <w:pStyle w:val="12"/>
            </w:pPr>
            <w:r>
              <w:t>按项目预算完成</w:t>
            </w:r>
          </w:p>
        </w:tc>
        <w:tc>
          <w:tcPr>
            <w:tcW w:w="2268" w:type="dxa"/>
            <w:vAlign w:val="center"/>
          </w:tcPr>
          <w:p>
            <w:pPr>
              <w:pStyle w:val="12"/>
            </w:pPr>
            <w:r>
              <w:t>≤4万元</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参加活动的人员评价</w:t>
            </w:r>
          </w:p>
        </w:tc>
        <w:tc>
          <w:tcPr>
            <w:tcW w:w="5386" w:type="dxa"/>
            <w:vAlign w:val="center"/>
          </w:tcPr>
          <w:p>
            <w:pPr>
              <w:pStyle w:val="12"/>
            </w:pPr>
            <w:r>
              <w:t>活动好评率</w:t>
            </w:r>
          </w:p>
        </w:tc>
        <w:tc>
          <w:tcPr>
            <w:tcW w:w="2268" w:type="dxa"/>
            <w:vAlign w:val="center"/>
          </w:tcPr>
          <w:p>
            <w:pPr>
              <w:pStyle w:val="12"/>
            </w:pPr>
            <w:r>
              <w:t>≥95百分比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民族人士和统战相关人士对工做满意度</w:t>
            </w:r>
          </w:p>
        </w:tc>
        <w:tc>
          <w:tcPr>
            <w:tcW w:w="5386" w:type="dxa"/>
            <w:vAlign w:val="center"/>
          </w:tcPr>
          <w:p>
            <w:pPr>
              <w:pStyle w:val="12"/>
            </w:pPr>
            <w:r>
              <w:t>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3、统战视频会议系统网络租赁费绩效目标表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13010425P000010100029</w:t>
            </w:r>
          </w:p>
        </w:tc>
        <w:tc>
          <w:tcPr>
            <w:tcW w:w="2835" w:type="dxa"/>
            <w:vAlign w:val="center"/>
          </w:tcPr>
          <w:p>
            <w:pPr>
              <w:pStyle w:val="10"/>
            </w:pPr>
            <w:r>
              <w:t>项目名称</w:t>
            </w:r>
          </w:p>
        </w:tc>
        <w:tc>
          <w:tcPr>
            <w:tcW w:w="6095" w:type="dxa"/>
            <w:gridSpan w:val="3"/>
            <w:vAlign w:val="center"/>
          </w:tcPr>
          <w:p>
            <w:pPr>
              <w:pStyle w:val="12"/>
            </w:pPr>
            <w:r>
              <w:t>统战视频会议系统网络租赁费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统战视频会议系统网络租赁费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1.统战视频会议系统网络租赁费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使用系统次数</w:t>
            </w:r>
          </w:p>
        </w:tc>
        <w:tc>
          <w:tcPr>
            <w:tcW w:w="5386" w:type="dxa"/>
            <w:vAlign w:val="center"/>
          </w:tcPr>
          <w:p>
            <w:pPr>
              <w:pStyle w:val="12"/>
            </w:pPr>
            <w:r>
              <w:t>使用系统次数</w:t>
            </w:r>
          </w:p>
        </w:tc>
        <w:tc>
          <w:tcPr>
            <w:tcW w:w="2268" w:type="dxa"/>
            <w:vAlign w:val="center"/>
          </w:tcPr>
          <w:p>
            <w:pPr>
              <w:pStyle w:val="12"/>
            </w:pPr>
            <w:r>
              <w:t>≥5次数</w:t>
            </w:r>
          </w:p>
        </w:tc>
        <w:tc>
          <w:tcPr>
            <w:tcW w:w="1276" w:type="dxa"/>
            <w:vAlign w:val="center"/>
          </w:tcPr>
          <w:p>
            <w:pPr>
              <w:pStyle w:val="12"/>
            </w:pPr>
            <w:r>
              <w:t>上级会议要求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高清稳定的视频质量</w:t>
            </w:r>
          </w:p>
        </w:tc>
        <w:tc>
          <w:tcPr>
            <w:tcW w:w="5386" w:type="dxa"/>
            <w:vAlign w:val="center"/>
          </w:tcPr>
          <w:p>
            <w:pPr>
              <w:pStyle w:val="12"/>
            </w:pPr>
            <w:r>
              <w:t>参加视频会议人员对视频画面清晰度和视频音质的好评率</w:t>
            </w:r>
          </w:p>
        </w:tc>
        <w:tc>
          <w:tcPr>
            <w:tcW w:w="2268" w:type="dxa"/>
            <w:vAlign w:val="center"/>
          </w:tcPr>
          <w:p>
            <w:pPr>
              <w:pStyle w:val="12"/>
            </w:pPr>
            <w:r>
              <w:t>≥99百分比</w:t>
            </w:r>
          </w:p>
        </w:tc>
        <w:tc>
          <w:tcPr>
            <w:tcW w:w="1276" w:type="dxa"/>
            <w:vAlign w:val="center"/>
          </w:tcPr>
          <w:p>
            <w:pPr>
              <w:pStyle w:val="12"/>
            </w:pPr>
            <w:r>
              <w:t>参加视频会议人员反馈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使用期限</w:t>
            </w:r>
          </w:p>
        </w:tc>
        <w:tc>
          <w:tcPr>
            <w:tcW w:w="5386" w:type="dxa"/>
            <w:vAlign w:val="center"/>
          </w:tcPr>
          <w:p>
            <w:pPr>
              <w:pStyle w:val="12"/>
            </w:pPr>
            <w:r>
              <w:t>使用时间</w:t>
            </w:r>
          </w:p>
        </w:tc>
        <w:tc>
          <w:tcPr>
            <w:tcW w:w="2268" w:type="dxa"/>
            <w:vAlign w:val="center"/>
          </w:tcPr>
          <w:p>
            <w:pPr>
              <w:pStyle w:val="12"/>
            </w:pPr>
            <w:r>
              <w:t>1年</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w:t>
            </w:r>
          </w:p>
        </w:tc>
        <w:tc>
          <w:tcPr>
            <w:tcW w:w="5386" w:type="dxa"/>
            <w:vAlign w:val="center"/>
          </w:tcPr>
          <w:p>
            <w:pPr>
              <w:pStyle w:val="12"/>
            </w:pPr>
            <w:r>
              <w:t>按项目预算</w:t>
            </w:r>
          </w:p>
        </w:tc>
        <w:tc>
          <w:tcPr>
            <w:tcW w:w="2268" w:type="dxa"/>
            <w:vAlign w:val="center"/>
          </w:tcPr>
          <w:p>
            <w:pPr>
              <w:pStyle w:val="12"/>
            </w:pPr>
            <w:r>
              <w:t>≤1.8万元</w:t>
            </w:r>
          </w:p>
        </w:tc>
        <w:tc>
          <w:tcPr>
            <w:tcW w:w="1276" w:type="dxa"/>
            <w:vAlign w:val="center"/>
          </w:tcPr>
          <w:p>
            <w:pPr>
              <w:pStyle w:val="12"/>
            </w:pPr>
            <w:r>
              <w:t>网通收费标准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系统具备良好的稳定性</w:t>
            </w:r>
          </w:p>
        </w:tc>
        <w:tc>
          <w:tcPr>
            <w:tcW w:w="5386" w:type="dxa"/>
            <w:vAlign w:val="center"/>
          </w:tcPr>
          <w:p>
            <w:pPr>
              <w:pStyle w:val="12"/>
            </w:pPr>
            <w:r>
              <w:t>系统使用期间不出现崩溃或者网络错误等问题</w:t>
            </w:r>
          </w:p>
        </w:tc>
        <w:tc>
          <w:tcPr>
            <w:tcW w:w="2268" w:type="dxa"/>
            <w:vAlign w:val="center"/>
          </w:tcPr>
          <w:p>
            <w:pPr>
              <w:pStyle w:val="12"/>
            </w:pPr>
            <w:r>
              <w:t>≤1次数</w:t>
            </w:r>
          </w:p>
        </w:tc>
        <w:tc>
          <w:tcPr>
            <w:tcW w:w="1276" w:type="dxa"/>
            <w:vAlign w:val="center"/>
          </w:tcPr>
          <w:p>
            <w:pPr>
              <w:pStyle w:val="12"/>
            </w:pPr>
            <w:r>
              <w:t>每次会议使用情况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w:t>
            </w:r>
          </w:p>
        </w:tc>
        <w:tc>
          <w:tcPr>
            <w:tcW w:w="5386" w:type="dxa"/>
            <w:vAlign w:val="center"/>
          </w:tcPr>
          <w:p>
            <w:pPr>
              <w:pStyle w:val="12"/>
            </w:pPr>
            <w:r>
              <w:t>工作人员满意度</w:t>
            </w:r>
          </w:p>
        </w:tc>
        <w:tc>
          <w:tcPr>
            <w:tcW w:w="2268" w:type="dxa"/>
            <w:vAlign w:val="center"/>
          </w:tcPr>
          <w:p>
            <w:pPr>
              <w:pStyle w:val="12"/>
            </w:pPr>
            <w:r>
              <w:t>≥95百分比</w:t>
            </w:r>
          </w:p>
        </w:tc>
        <w:tc>
          <w:tcPr>
            <w:tcW w:w="1276" w:type="dxa"/>
            <w:vAlign w:val="center"/>
          </w:tcPr>
          <w:p>
            <w:pPr>
              <w:pStyle w:val="12"/>
            </w:pPr>
            <w:r>
              <w:t>工作人员满意度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4、下沉干部工作队经费绩效目标表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13010425P000016100056</w:t>
            </w:r>
          </w:p>
        </w:tc>
        <w:tc>
          <w:tcPr>
            <w:tcW w:w="2835" w:type="dxa"/>
            <w:vAlign w:val="center"/>
          </w:tcPr>
          <w:p>
            <w:pPr>
              <w:pStyle w:val="10"/>
            </w:pPr>
            <w:r>
              <w:t>项目名称</w:t>
            </w:r>
          </w:p>
        </w:tc>
        <w:tc>
          <w:tcPr>
            <w:tcW w:w="6095" w:type="dxa"/>
            <w:gridSpan w:val="3"/>
            <w:vAlign w:val="center"/>
          </w:tcPr>
          <w:p>
            <w:pPr>
              <w:pStyle w:val="12"/>
            </w:pPr>
            <w:r>
              <w:t>下沉干部工作队经费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下沉干部工作队经费涉密工作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1.下沉干部工作队经费涉密工作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5、新的社会阶层人士统战工作实践创新基地工作经费绩效目标表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13010425P00002810003H</w:t>
            </w:r>
          </w:p>
        </w:tc>
        <w:tc>
          <w:tcPr>
            <w:tcW w:w="2835" w:type="dxa"/>
            <w:vAlign w:val="center"/>
          </w:tcPr>
          <w:p>
            <w:pPr>
              <w:pStyle w:val="10"/>
            </w:pPr>
            <w:r>
              <w:t>项目名称</w:t>
            </w:r>
          </w:p>
        </w:tc>
        <w:tc>
          <w:tcPr>
            <w:tcW w:w="6095" w:type="dxa"/>
            <w:gridSpan w:val="3"/>
            <w:vAlign w:val="center"/>
          </w:tcPr>
          <w:p>
            <w:pPr>
              <w:pStyle w:val="12"/>
            </w:pPr>
            <w:r>
              <w:t>新的社会阶层人士统战工作实践创新基地工作经费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按照“六有标准”建设提档新的社会阶层人士统战工作实践创新阵地，在新的社会阶层人士中开展教育培训、考察调研、联谊活动等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1.按照“六有标准”建设提档新的社会阶层人士统战工作实践创新阵地，在新的社会阶层人士中开展教育培训、考察调研、联谊活动等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在新的社会阶层人士中开展教育培训、考察调研、联谊活动等</w:t>
            </w:r>
          </w:p>
        </w:tc>
        <w:tc>
          <w:tcPr>
            <w:tcW w:w="5386" w:type="dxa"/>
            <w:vAlign w:val="center"/>
          </w:tcPr>
          <w:p>
            <w:pPr>
              <w:pStyle w:val="12"/>
            </w:pPr>
            <w:r>
              <w:t>开展教育培训、考察调研、联谊活动等次数</w:t>
            </w:r>
          </w:p>
        </w:tc>
        <w:tc>
          <w:tcPr>
            <w:tcW w:w="2268" w:type="dxa"/>
            <w:vAlign w:val="center"/>
          </w:tcPr>
          <w:p>
            <w:pPr>
              <w:pStyle w:val="12"/>
            </w:pPr>
            <w:r>
              <w:t>≥4次数</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新阶层基地的使用和参加活动的新阶层人士</w:t>
            </w:r>
          </w:p>
        </w:tc>
        <w:tc>
          <w:tcPr>
            <w:tcW w:w="5386" w:type="dxa"/>
            <w:vAlign w:val="center"/>
          </w:tcPr>
          <w:p>
            <w:pPr>
              <w:pStyle w:val="12"/>
            </w:pPr>
            <w:r>
              <w:t>新阶层基地的使用率和参与活动的新阶层人士占比率</w:t>
            </w:r>
          </w:p>
        </w:tc>
        <w:tc>
          <w:tcPr>
            <w:tcW w:w="2268" w:type="dxa"/>
            <w:vAlign w:val="center"/>
          </w:tcPr>
          <w:p>
            <w:pPr>
              <w:pStyle w:val="12"/>
            </w:pPr>
            <w:r>
              <w:t>≥90百分比</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本年度工作计划</w:t>
            </w:r>
          </w:p>
        </w:tc>
        <w:tc>
          <w:tcPr>
            <w:tcW w:w="5386" w:type="dxa"/>
            <w:vAlign w:val="center"/>
          </w:tcPr>
          <w:p>
            <w:pPr>
              <w:pStyle w:val="12"/>
            </w:pPr>
            <w:r>
              <w:t>按本年度工作计划12月之前完成</w:t>
            </w:r>
          </w:p>
        </w:tc>
        <w:tc>
          <w:tcPr>
            <w:tcW w:w="2268" w:type="dxa"/>
            <w:vAlign w:val="center"/>
          </w:tcPr>
          <w:p>
            <w:pPr>
              <w:pStyle w:val="12"/>
            </w:pPr>
            <w:r>
              <w:t>≤12月份</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按财政预算执行</w:t>
            </w:r>
          </w:p>
        </w:tc>
        <w:tc>
          <w:tcPr>
            <w:tcW w:w="5386" w:type="dxa"/>
            <w:vAlign w:val="center"/>
          </w:tcPr>
          <w:p>
            <w:pPr>
              <w:pStyle w:val="12"/>
            </w:pPr>
            <w:r>
              <w:t>按项目预算完成</w:t>
            </w:r>
          </w:p>
        </w:tc>
        <w:tc>
          <w:tcPr>
            <w:tcW w:w="2268" w:type="dxa"/>
            <w:vAlign w:val="center"/>
          </w:tcPr>
          <w:p>
            <w:pPr>
              <w:pStyle w:val="12"/>
            </w:pPr>
            <w:r>
              <w:t>≤5万元</w:t>
            </w:r>
          </w:p>
        </w:tc>
        <w:tc>
          <w:tcPr>
            <w:tcW w:w="1276" w:type="dxa"/>
            <w:vAlign w:val="center"/>
          </w:tcPr>
          <w:p>
            <w:pPr>
              <w:pStyle w:val="12"/>
            </w:pPr>
            <w:r>
              <w:t>按财政预算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活动社会评价率</w:t>
            </w:r>
          </w:p>
        </w:tc>
        <w:tc>
          <w:tcPr>
            <w:tcW w:w="5386" w:type="dxa"/>
            <w:vAlign w:val="center"/>
          </w:tcPr>
          <w:p>
            <w:pPr>
              <w:pStyle w:val="12"/>
            </w:pPr>
            <w:r>
              <w:t>参与活动人员对活动开展效果的好评率</w:t>
            </w:r>
          </w:p>
        </w:tc>
        <w:tc>
          <w:tcPr>
            <w:tcW w:w="2268" w:type="dxa"/>
            <w:vAlign w:val="center"/>
          </w:tcPr>
          <w:p>
            <w:pPr>
              <w:pStyle w:val="12"/>
            </w:pPr>
            <w:r>
              <w:t>≥95百分比</w:t>
            </w:r>
          </w:p>
        </w:tc>
        <w:tc>
          <w:tcPr>
            <w:tcW w:w="1276" w:type="dxa"/>
            <w:vAlign w:val="center"/>
          </w:tcPr>
          <w:p>
            <w:pPr>
              <w:pStyle w:val="12"/>
            </w:pPr>
            <w:r>
              <w:t>意见反馈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新阶层人士满意度</w:t>
            </w:r>
          </w:p>
        </w:tc>
        <w:tc>
          <w:tcPr>
            <w:tcW w:w="5386" w:type="dxa"/>
            <w:vAlign w:val="center"/>
          </w:tcPr>
          <w:p>
            <w:pPr>
              <w:pStyle w:val="12"/>
            </w:pPr>
            <w:r>
              <w:t>新阶层人士对全年工作的满意度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6、宗教经费绩效目标表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13010425P000008100033</w:t>
            </w:r>
          </w:p>
        </w:tc>
        <w:tc>
          <w:tcPr>
            <w:tcW w:w="2835" w:type="dxa"/>
            <w:vAlign w:val="center"/>
          </w:tcPr>
          <w:p>
            <w:pPr>
              <w:pStyle w:val="10"/>
            </w:pPr>
            <w:r>
              <w:t>项目名称</w:t>
            </w:r>
          </w:p>
        </w:tc>
        <w:tc>
          <w:tcPr>
            <w:tcW w:w="6095" w:type="dxa"/>
            <w:gridSpan w:val="3"/>
            <w:vAlign w:val="center"/>
          </w:tcPr>
          <w:p>
            <w:pPr>
              <w:pStyle w:val="12"/>
            </w:pPr>
            <w:r>
              <w:t>宗教经费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打造坚持我国宗教中国化方向示范场所，开展宗教工作培训、走访慰问等活动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1.打造坚持我国宗教中国化方向示范场所，开展宗教工作培训、走访慰问等活动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宗教队伍培训</w:t>
            </w:r>
          </w:p>
        </w:tc>
        <w:tc>
          <w:tcPr>
            <w:tcW w:w="5386" w:type="dxa"/>
            <w:vAlign w:val="center"/>
          </w:tcPr>
          <w:p>
            <w:pPr>
              <w:pStyle w:val="12"/>
            </w:pPr>
            <w:r>
              <w:t>加强队宗教干部及宗教教职人员的教育培训</w:t>
            </w:r>
          </w:p>
        </w:tc>
        <w:tc>
          <w:tcPr>
            <w:tcW w:w="2268" w:type="dxa"/>
            <w:vAlign w:val="center"/>
          </w:tcPr>
          <w:p>
            <w:pPr>
              <w:pStyle w:val="12"/>
            </w:pPr>
            <w:r>
              <w:t>≥3次数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提升宗教治理水平</w:t>
            </w:r>
          </w:p>
        </w:tc>
        <w:tc>
          <w:tcPr>
            <w:tcW w:w="5386" w:type="dxa"/>
            <w:vAlign w:val="center"/>
          </w:tcPr>
          <w:p>
            <w:pPr>
              <w:pStyle w:val="12"/>
            </w:pPr>
            <w:r>
              <w:t>宗教各项工作的完成率</w:t>
            </w:r>
          </w:p>
        </w:tc>
        <w:tc>
          <w:tcPr>
            <w:tcW w:w="2268" w:type="dxa"/>
            <w:vAlign w:val="center"/>
          </w:tcPr>
          <w:p>
            <w:pPr>
              <w:pStyle w:val="12"/>
            </w:pPr>
            <w:r>
              <w:t>≥98百分比</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工作培训、走访慰问等活动完成时间</w:t>
            </w:r>
          </w:p>
        </w:tc>
        <w:tc>
          <w:tcPr>
            <w:tcW w:w="5386" w:type="dxa"/>
            <w:vAlign w:val="center"/>
          </w:tcPr>
          <w:p>
            <w:pPr>
              <w:pStyle w:val="12"/>
            </w:pPr>
            <w:r>
              <w:t>工作培训、走访慰问计划完成时间</w:t>
            </w:r>
          </w:p>
        </w:tc>
        <w:tc>
          <w:tcPr>
            <w:tcW w:w="2268" w:type="dxa"/>
            <w:vAlign w:val="center"/>
          </w:tcPr>
          <w:p>
            <w:pPr>
              <w:pStyle w:val="12"/>
            </w:pPr>
            <w:r>
              <w:t>≤12月</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按财政预算执行</w:t>
            </w:r>
          </w:p>
        </w:tc>
        <w:tc>
          <w:tcPr>
            <w:tcW w:w="5386" w:type="dxa"/>
            <w:vAlign w:val="center"/>
          </w:tcPr>
          <w:p>
            <w:pPr>
              <w:pStyle w:val="12"/>
            </w:pPr>
            <w:r>
              <w:t>按项目预算完成</w:t>
            </w:r>
          </w:p>
        </w:tc>
        <w:tc>
          <w:tcPr>
            <w:tcW w:w="2268" w:type="dxa"/>
            <w:vAlign w:val="center"/>
          </w:tcPr>
          <w:p>
            <w:pPr>
              <w:pStyle w:val="12"/>
            </w:pPr>
            <w:r>
              <w:t>≤3万元</w:t>
            </w:r>
          </w:p>
        </w:tc>
        <w:tc>
          <w:tcPr>
            <w:tcW w:w="1276" w:type="dxa"/>
            <w:vAlign w:val="center"/>
          </w:tcPr>
          <w:p>
            <w:pPr>
              <w:pStyle w:val="12"/>
            </w:pPr>
            <w:r>
              <w:t>年度预算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防范宗教不稳定因素，维护社会稳定</w:t>
            </w:r>
          </w:p>
        </w:tc>
        <w:tc>
          <w:tcPr>
            <w:tcW w:w="5386" w:type="dxa"/>
            <w:vAlign w:val="center"/>
          </w:tcPr>
          <w:p>
            <w:pPr>
              <w:pStyle w:val="12"/>
            </w:pPr>
            <w:r>
              <w:t>本年度宗教领域突发事件和宗教非法活动</w:t>
            </w:r>
          </w:p>
        </w:tc>
        <w:tc>
          <w:tcPr>
            <w:tcW w:w="2268" w:type="dxa"/>
            <w:vAlign w:val="center"/>
          </w:tcPr>
          <w:p>
            <w:pPr>
              <w:pStyle w:val="12"/>
            </w:pPr>
            <w:r>
              <w:t>≤1处</w:t>
            </w:r>
          </w:p>
        </w:tc>
        <w:tc>
          <w:tcPr>
            <w:tcW w:w="1276" w:type="dxa"/>
            <w:vAlign w:val="center"/>
          </w:tcPr>
          <w:p>
            <w:pPr>
              <w:pStyle w:val="12"/>
            </w:pPr>
            <w:r>
              <w:t>日常排查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宗教服务对象对宗教工作的满意</w:t>
            </w:r>
          </w:p>
        </w:tc>
        <w:tc>
          <w:tcPr>
            <w:tcW w:w="5386" w:type="dxa"/>
            <w:vAlign w:val="center"/>
          </w:tcPr>
          <w:p>
            <w:pPr>
              <w:pStyle w:val="12"/>
            </w:pPr>
            <w:r>
              <w:t>对宗教工作满意度</w:t>
            </w:r>
          </w:p>
        </w:tc>
        <w:tc>
          <w:tcPr>
            <w:tcW w:w="2268" w:type="dxa"/>
            <w:vAlign w:val="center"/>
          </w:tcPr>
          <w:p>
            <w:pPr>
              <w:pStyle w:val="12"/>
            </w:pPr>
            <w:r>
              <w:t>≥95百分比</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1.81</w:t>
            </w:r>
          </w:p>
        </w:tc>
        <w:tc>
          <w:tcPr>
            <w:tcW w:w="964" w:type="dxa"/>
            <w:vAlign w:val="center"/>
          </w:tcPr>
          <w:p>
            <w:pPr>
              <w:pStyle w:val="15"/>
            </w:pPr>
            <w:r>
              <w:t>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中共石家庄市桥西区委统一战线工作部机关本级小计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1.81</w:t>
            </w:r>
          </w:p>
        </w:tc>
        <w:tc>
          <w:tcPr>
            <w:tcW w:w="964" w:type="dxa"/>
            <w:vAlign w:val="center"/>
          </w:tcPr>
          <w:p>
            <w:pPr>
              <w:pStyle w:val="15"/>
            </w:pPr>
            <w:r>
              <w:t>1.81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12</w:t>
            </w:r>
          </w:p>
        </w:tc>
        <w:tc>
          <w:tcPr>
            <w:tcW w:w="850" w:type="dxa"/>
            <w:vAlign w:val="center"/>
          </w:tcPr>
          <w:p>
            <w:pPr>
              <w:pStyle w:val="11"/>
            </w:pPr>
            <w:r>
              <w:t>0.02</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7.06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中共石家庄市桥西区委统一战线工作部机关本级上年末固定资产金额为47.60万元（详见下表）。本年度拟购置固定资产总额为0.00万元，已按要求列入政府采购预算，详见政府采购预算表。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213001中共石家庄市桥西区委统一战线工作部机关本级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pPr>
              <w:pStyle w:val="12"/>
            </w:pPr>
            <w:r>
              <w:t>4、其他固定资产</w:t>
            </w:r>
          </w:p>
        </w:tc>
        <w:tc>
          <w:tcPr>
            <w:tcW w:w="2835" w:type="dxa"/>
            <w:vAlign w:val="center"/>
          </w:tcPr>
          <w:p>
            <w:pPr>
              <w:pStyle w:val="13"/>
            </w:pPr>
            <w:r>
              <w:t>219</w:t>
            </w:r>
          </w:p>
        </w:tc>
        <w:tc>
          <w:tcPr>
            <w:tcW w:w="2835" w:type="dxa"/>
            <w:vAlign w:val="center"/>
          </w:tcPr>
          <w:p>
            <w:pPr>
              <w:pStyle w:val="11"/>
            </w:pPr>
            <w:r>
              <w:t>35.50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F2F1E8"/>
    <w:multiLevelType w:val="singleLevel"/>
    <w:tmpl w:val="3AF2F1E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422A12"/>
    <w:rsid w:val="00422A12"/>
    <w:rsid w:val="00BD163C"/>
    <w:rsid w:val="3E4D864E"/>
    <w:rsid w:val="3F17C966"/>
    <w:rsid w:val="6F5E85E2"/>
    <w:rsid w:val="6FFE5F0D"/>
    <w:rsid w:val="FF5F9FD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28</Pages>
  <Words>1726</Words>
  <Characters>9842</Characters>
  <Lines>82</Lines>
  <Paragraphs>23</Paragraphs>
  <TotalTime>1</TotalTime>
  <ScaleCrop>false</ScaleCrop>
  <LinksUpToDate>false</LinksUpToDate>
  <CharactersWithSpaces>11545</CharactersWithSpaces>
  <Application>WPS Office_11.8.2.10591_F1E327BC-269C-435d-A152-05C5408002CA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2025-01-20T23:24:00Z</dcterms:created>
  <dc:creator>lenovo</dc:creator>
  <cp:lastModifiedBy>huawei</cp:lastModifiedBy>
  <dcterms:modified xsi:type="dcterms:W3CDTF">2025-10-27T10:35:12Z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2052-11.8.2.10591</vt:lpwstr>
  </property>
</Properties>
</file>