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292.75</w:t>
            </w:r>
          </w:p>
        </w:tc>
        <w:tc>
          <w:tcPr>
            <w:tcW w:w="4535" w:type="dxa"/>
            <w:vAlign w:val="center"/>
          </w:tcPr>
          <w:p>
            <w:pPr>
              <w:pStyle w:val="12"/>
            </w:pPr>
            <w:r>
              <w:t>一、一般公共服务支出</w:t>
            </w:r>
          </w:p>
        </w:tc>
        <w:tc>
          <w:tcPr>
            <w:tcW w:w="2126" w:type="dxa"/>
            <w:vAlign w:val="center"/>
          </w:tcPr>
          <w:p>
            <w:pPr>
              <w:pStyle w:val="11"/>
            </w:pPr>
            <w:r>
              <w:t>212.12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rPr>
                <w:rFonts w:hint="eastAsia"/>
                <w:lang w:val="en-US" w:eastAsia="zh-CN"/>
              </w:rPr>
              <w:t xml:space="preserve"> </w:t>
            </w:r>
            <w:r>
              <w:t>49.52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292.75</w:t>
            </w:r>
          </w:p>
        </w:tc>
        <w:tc>
          <w:tcPr>
            <w:tcW w:w="4535" w:type="dxa"/>
            <w:vAlign w:val="center"/>
          </w:tcPr>
          <w:p>
            <w:pPr>
              <w:pStyle w:val="14"/>
            </w:pPr>
            <w:r>
              <w:t>本年支出合计</w:t>
            </w:r>
          </w:p>
        </w:tc>
        <w:tc>
          <w:tcPr>
            <w:tcW w:w="2126" w:type="dxa"/>
            <w:vAlign w:val="center"/>
          </w:tcPr>
          <w:p>
            <w:pPr>
              <w:pStyle w:val="15"/>
            </w:pPr>
            <w:r>
              <w:t>292.76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rPr>
                <w:rFonts w:hint="default" w:eastAsia="方正书宋_GBK"/>
                <w:lang w:val="en-US" w:eastAsia="zh-CN"/>
              </w:rPr>
            </w:pPr>
            <w:r>
              <w:rPr>
                <w:rFonts w:hint="eastAsia"/>
                <w:lang w:val="en-US" w:eastAsia="zh-CN"/>
              </w:rPr>
              <w:t>0.0077</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292.76</w:t>
            </w:r>
          </w:p>
        </w:tc>
        <w:tc>
          <w:tcPr>
            <w:tcW w:w="4535" w:type="dxa"/>
            <w:vAlign w:val="center"/>
          </w:tcPr>
          <w:p>
            <w:pPr>
              <w:pStyle w:val="14"/>
            </w:pPr>
            <w:r>
              <w:t>支出总计</w:t>
            </w:r>
          </w:p>
        </w:tc>
        <w:tc>
          <w:tcPr>
            <w:tcW w:w="2126" w:type="dxa"/>
            <w:vAlign w:val="center"/>
          </w:tcPr>
          <w:p>
            <w:pPr>
              <w:pStyle w:val="15"/>
            </w:pPr>
            <w:r>
              <w:t>292.76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292.76</w:t>
            </w:r>
          </w:p>
        </w:tc>
        <w:tc>
          <w:tcPr>
            <w:tcW w:w="1134" w:type="dxa"/>
            <w:vAlign w:val="center"/>
          </w:tcPr>
          <w:p>
            <w:pPr>
              <w:pStyle w:val="15"/>
            </w:pPr>
            <w:r>
              <w:t>292.75</w:t>
            </w:r>
          </w:p>
        </w:tc>
        <w:tc>
          <w:tcPr>
            <w:tcW w:w="1134" w:type="dxa"/>
            <w:vAlign w:val="center"/>
          </w:tcPr>
          <w:p>
            <w:pPr>
              <w:pStyle w:val="15"/>
            </w:pPr>
            <w:r>
              <w:t>292.75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212.12</w:t>
            </w:r>
          </w:p>
        </w:tc>
        <w:tc>
          <w:tcPr>
            <w:tcW w:w="1134" w:type="dxa"/>
            <w:vAlign w:val="center"/>
          </w:tcPr>
          <w:p>
            <w:pPr>
              <w:pStyle w:val="11"/>
            </w:pPr>
            <w:r>
              <w:t>212.11</w:t>
            </w:r>
          </w:p>
        </w:tc>
        <w:tc>
          <w:tcPr>
            <w:tcW w:w="1134" w:type="dxa"/>
            <w:vAlign w:val="center"/>
          </w:tcPr>
          <w:p>
            <w:pPr>
              <w:pStyle w:val="11"/>
            </w:pPr>
            <w:r>
              <w:t>212.11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212.12</w:t>
            </w:r>
          </w:p>
        </w:tc>
        <w:tc>
          <w:tcPr>
            <w:tcW w:w="1134" w:type="dxa"/>
            <w:vAlign w:val="center"/>
          </w:tcPr>
          <w:p>
            <w:pPr>
              <w:pStyle w:val="11"/>
            </w:pPr>
            <w:r>
              <w:t>212.11</w:t>
            </w:r>
          </w:p>
        </w:tc>
        <w:tc>
          <w:tcPr>
            <w:tcW w:w="1134" w:type="dxa"/>
            <w:vAlign w:val="center"/>
          </w:tcPr>
          <w:p>
            <w:pPr>
              <w:pStyle w:val="11"/>
            </w:pPr>
            <w:r>
              <w:t>212.11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188.31</w:t>
            </w:r>
          </w:p>
        </w:tc>
        <w:tc>
          <w:tcPr>
            <w:tcW w:w="1134" w:type="dxa"/>
            <w:vAlign w:val="center"/>
          </w:tcPr>
          <w:p>
            <w:pPr>
              <w:pStyle w:val="11"/>
            </w:pPr>
            <w:r>
              <w:t>188.31</w:t>
            </w:r>
          </w:p>
        </w:tc>
        <w:tc>
          <w:tcPr>
            <w:tcW w:w="1134" w:type="dxa"/>
            <w:vAlign w:val="center"/>
          </w:tcPr>
          <w:p>
            <w:pPr>
              <w:pStyle w:val="11"/>
            </w:pPr>
            <w:r>
              <w:t>188.31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2013402</w:t>
            </w:r>
          </w:p>
        </w:tc>
        <w:tc>
          <w:tcPr>
            <w:tcW w:w="1559" w:type="dxa"/>
            <w:vAlign w:val="center"/>
          </w:tcPr>
          <w:p>
            <w:pPr>
              <w:pStyle w:val="12"/>
            </w:pPr>
            <w:r>
              <w:t>一般行政管理事务</w:t>
            </w:r>
          </w:p>
        </w:tc>
        <w:tc>
          <w:tcPr>
            <w:tcW w:w="1134" w:type="dxa"/>
            <w:vAlign w:val="center"/>
          </w:tcPr>
          <w:p>
            <w:pPr>
              <w:pStyle w:val="11"/>
            </w:pPr>
            <w:r>
              <w:t>23.81</w:t>
            </w:r>
          </w:p>
        </w:tc>
        <w:tc>
          <w:tcPr>
            <w:tcW w:w="1134" w:type="dxa"/>
            <w:vAlign w:val="center"/>
          </w:tcPr>
          <w:p>
            <w:pPr>
              <w:pStyle w:val="11"/>
            </w:pPr>
            <w:r>
              <w:t>23.80</w:t>
            </w:r>
          </w:p>
        </w:tc>
        <w:tc>
          <w:tcPr>
            <w:tcW w:w="1134" w:type="dxa"/>
            <w:vAlign w:val="center"/>
          </w:tcPr>
          <w:p>
            <w:pPr>
              <w:pStyle w:val="11"/>
            </w:pPr>
            <w:r>
              <w:t>23.80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49.52</w:t>
            </w:r>
          </w:p>
        </w:tc>
        <w:tc>
          <w:tcPr>
            <w:tcW w:w="1134" w:type="dxa"/>
            <w:vAlign w:val="center"/>
          </w:tcPr>
          <w:p>
            <w:pPr>
              <w:pStyle w:val="11"/>
            </w:pPr>
            <w:r>
              <w:t>49.52</w:t>
            </w:r>
          </w:p>
        </w:tc>
        <w:tc>
          <w:tcPr>
            <w:tcW w:w="1134" w:type="dxa"/>
            <w:vAlign w:val="center"/>
          </w:tcPr>
          <w:p>
            <w:pPr>
              <w:pStyle w:val="11"/>
            </w:pPr>
            <w:r>
              <w:t>49.52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49.52</w:t>
            </w:r>
          </w:p>
        </w:tc>
        <w:tc>
          <w:tcPr>
            <w:tcW w:w="1134" w:type="dxa"/>
            <w:vAlign w:val="center"/>
          </w:tcPr>
          <w:p>
            <w:pPr>
              <w:pStyle w:val="11"/>
            </w:pPr>
            <w:r>
              <w:t>49.52</w:t>
            </w:r>
          </w:p>
        </w:tc>
        <w:tc>
          <w:tcPr>
            <w:tcW w:w="1134" w:type="dxa"/>
            <w:vAlign w:val="center"/>
          </w:tcPr>
          <w:p>
            <w:pPr>
              <w:pStyle w:val="11"/>
            </w:pPr>
            <w:r>
              <w:t>49.52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16.08</w:t>
            </w:r>
          </w:p>
        </w:tc>
        <w:tc>
          <w:tcPr>
            <w:tcW w:w="1134" w:type="dxa"/>
            <w:vAlign w:val="center"/>
          </w:tcPr>
          <w:p>
            <w:pPr>
              <w:pStyle w:val="11"/>
            </w:pPr>
            <w:r>
              <w:t>16.08</w:t>
            </w:r>
          </w:p>
        </w:tc>
        <w:tc>
          <w:tcPr>
            <w:tcW w:w="1134" w:type="dxa"/>
            <w:vAlign w:val="center"/>
          </w:tcPr>
          <w:p>
            <w:pPr>
              <w:pStyle w:val="11"/>
            </w:pPr>
            <w:r>
              <w:t>16.08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18.44</w:t>
            </w:r>
          </w:p>
        </w:tc>
        <w:tc>
          <w:tcPr>
            <w:tcW w:w="1134" w:type="dxa"/>
            <w:vAlign w:val="center"/>
          </w:tcPr>
          <w:p>
            <w:pPr>
              <w:pStyle w:val="11"/>
            </w:pPr>
            <w:r>
              <w:t>18.44</w:t>
            </w:r>
          </w:p>
        </w:tc>
        <w:tc>
          <w:tcPr>
            <w:tcW w:w="1134" w:type="dxa"/>
            <w:vAlign w:val="center"/>
          </w:tcPr>
          <w:p>
            <w:pPr>
              <w:pStyle w:val="11"/>
            </w:pPr>
            <w:r>
              <w:t>18.44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13.49</w:t>
            </w:r>
          </w:p>
        </w:tc>
        <w:tc>
          <w:tcPr>
            <w:tcW w:w="1134" w:type="dxa"/>
            <w:vAlign w:val="center"/>
          </w:tcPr>
          <w:p>
            <w:pPr>
              <w:pStyle w:val="11"/>
            </w:pPr>
            <w:r>
              <w:t>13.49</w:t>
            </w:r>
          </w:p>
        </w:tc>
        <w:tc>
          <w:tcPr>
            <w:tcW w:w="1134" w:type="dxa"/>
            <w:vAlign w:val="center"/>
          </w:tcPr>
          <w:p>
            <w:pPr>
              <w:pStyle w:val="11"/>
            </w:pPr>
            <w:r>
              <w:t>13.49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13.49</w:t>
            </w:r>
          </w:p>
        </w:tc>
        <w:tc>
          <w:tcPr>
            <w:tcW w:w="1134" w:type="dxa"/>
            <w:vAlign w:val="center"/>
          </w:tcPr>
          <w:p>
            <w:pPr>
              <w:pStyle w:val="11"/>
            </w:pPr>
            <w:r>
              <w:t>13.49</w:t>
            </w:r>
          </w:p>
        </w:tc>
        <w:tc>
          <w:tcPr>
            <w:tcW w:w="1134" w:type="dxa"/>
            <w:vAlign w:val="center"/>
          </w:tcPr>
          <w:p>
            <w:pPr>
              <w:pStyle w:val="11"/>
            </w:pPr>
            <w:r>
              <w:t>13.49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13.49</w:t>
            </w:r>
          </w:p>
        </w:tc>
        <w:tc>
          <w:tcPr>
            <w:tcW w:w="1134" w:type="dxa"/>
            <w:vAlign w:val="center"/>
          </w:tcPr>
          <w:p>
            <w:pPr>
              <w:pStyle w:val="11"/>
            </w:pPr>
            <w:r>
              <w:t>13.49</w:t>
            </w:r>
          </w:p>
        </w:tc>
        <w:tc>
          <w:tcPr>
            <w:tcW w:w="1134" w:type="dxa"/>
            <w:vAlign w:val="center"/>
          </w:tcPr>
          <w:p>
            <w:pPr>
              <w:pStyle w:val="11"/>
            </w:pPr>
            <w:r>
              <w:t>13.49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17.63</w:t>
            </w:r>
          </w:p>
        </w:tc>
        <w:tc>
          <w:tcPr>
            <w:tcW w:w="1134" w:type="dxa"/>
            <w:vAlign w:val="center"/>
          </w:tcPr>
          <w:p>
            <w:pPr>
              <w:pStyle w:val="11"/>
            </w:pPr>
            <w:r>
              <w:t>17.63</w:t>
            </w:r>
          </w:p>
        </w:tc>
        <w:tc>
          <w:tcPr>
            <w:tcW w:w="1134" w:type="dxa"/>
            <w:vAlign w:val="center"/>
          </w:tcPr>
          <w:p>
            <w:pPr>
              <w:pStyle w:val="11"/>
            </w:pPr>
            <w:r>
              <w:t>17.63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17.63</w:t>
            </w:r>
          </w:p>
        </w:tc>
        <w:tc>
          <w:tcPr>
            <w:tcW w:w="1134" w:type="dxa"/>
            <w:vAlign w:val="center"/>
          </w:tcPr>
          <w:p>
            <w:pPr>
              <w:pStyle w:val="11"/>
            </w:pPr>
            <w:r>
              <w:t>17.63</w:t>
            </w:r>
          </w:p>
        </w:tc>
        <w:tc>
          <w:tcPr>
            <w:tcW w:w="1134" w:type="dxa"/>
            <w:vAlign w:val="center"/>
          </w:tcPr>
          <w:p>
            <w:pPr>
              <w:pStyle w:val="11"/>
            </w:pPr>
            <w:r>
              <w:t>17.63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17.63</w:t>
            </w:r>
          </w:p>
        </w:tc>
        <w:tc>
          <w:tcPr>
            <w:tcW w:w="1134" w:type="dxa"/>
            <w:vAlign w:val="center"/>
          </w:tcPr>
          <w:p>
            <w:pPr>
              <w:pStyle w:val="11"/>
            </w:pPr>
            <w:r>
              <w:t>17.63</w:t>
            </w:r>
          </w:p>
        </w:tc>
        <w:tc>
          <w:tcPr>
            <w:tcW w:w="1134" w:type="dxa"/>
            <w:vAlign w:val="center"/>
          </w:tcPr>
          <w:p>
            <w:pPr>
              <w:pStyle w:val="11"/>
            </w:pPr>
            <w:r>
              <w:t>17.63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292.76</w:t>
            </w:r>
          </w:p>
        </w:tc>
        <w:tc>
          <w:tcPr>
            <w:tcW w:w="1361" w:type="dxa"/>
            <w:vAlign w:val="center"/>
          </w:tcPr>
          <w:p>
            <w:pPr>
              <w:pStyle w:val="15"/>
            </w:pPr>
            <w:r>
              <w:t>268.95</w:t>
            </w:r>
          </w:p>
        </w:tc>
        <w:tc>
          <w:tcPr>
            <w:tcW w:w="1361" w:type="dxa"/>
            <w:vAlign w:val="center"/>
          </w:tcPr>
          <w:p>
            <w:pPr>
              <w:pStyle w:val="15"/>
            </w:pPr>
            <w:r>
              <w:t>23.81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212.12</w:t>
            </w:r>
          </w:p>
        </w:tc>
        <w:tc>
          <w:tcPr>
            <w:tcW w:w="1361" w:type="dxa"/>
            <w:vAlign w:val="center"/>
          </w:tcPr>
          <w:p>
            <w:pPr>
              <w:pStyle w:val="11"/>
            </w:pPr>
            <w:r>
              <w:t>188.31</w:t>
            </w:r>
          </w:p>
        </w:tc>
        <w:tc>
          <w:tcPr>
            <w:tcW w:w="1361" w:type="dxa"/>
            <w:vAlign w:val="center"/>
          </w:tcPr>
          <w:p>
            <w:pPr>
              <w:pStyle w:val="11"/>
            </w:pPr>
            <w:r>
              <w:t>23.81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212.12</w:t>
            </w:r>
          </w:p>
        </w:tc>
        <w:tc>
          <w:tcPr>
            <w:tcW w:w="1361" w:type="dxa"/>
            <w:vAlign w:val="center"/>
          </w:tcPr>
          <w:p>
            <w:pPr>
              <w:pStyle w:val="11"/>
            </w:pPr>
            <w:r>
              <w:t>188.31</w:t>
            </w:r>
          </w:p>
        </w:tc>
        <w:tc>
          <w:tcPr>
            <w:tcW w:w="1361" w:type="dxa"/>
            <w:vAlign w:val="center"/>
          </w:tcPr>
          <w:p>
            <w:pPr>
              <w:pStyle w:val="11"/>
            </w:pPr>
            <w:r>
              <w:t>23.81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188.31</w:t>
            </w:r>
          </w:p>
        </w:tc>
        <w:tc>
          <w:tcPr>
            <w:tcW w:w="1361" w:type="dxa"/>
            <w:vAlign w:val="center"/>
          </w:tcPr>
          <w:p>
            <w:pPr>
              <w:pStyle w:val="11"/>
            </w:pPr>
            <w:r>
              <w:t>188.31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2013402</w:t>
            </w:r>
          </w:p>
        </w:tc>
        <w:tc>
          <w:tcPr>
            <w:tcW w:w="4535" w:type="dxa"/>
            <w:vAlign w:val="center"/>
          </w:tcPr>
          <w:p>
            <w:pPr>
              <w:pStyle w:val="12"/>
            </w:pPr>
            <w:r>
              <w:t>一般行政管理事务</w:t>
            </w:r>
          </w:p>
        </w:tc>
        <w:tc>
          <w:tcPr>
            <w:tcW w:w="1361" w:type="dxa"/>
            <w:vAlign w:val="center"/>
          </w:tcPr>
          <w:p>
            <w:pPr>
              <w:pStyle w:val="11"/>
            </w:pPr>
            <w:r>
              <w:t>23.81</w:t>
            </w:r>
          </w:p>
        </w:tc>
        <w:tc>
          <w:tcPr>
            <w:tcW w:w="1361" w:type="dxa"/>
            <w:vAlign w:val="center"/>
          </w:tcPr>
          <w:p>
            <w:pPr>
              <w:pStyle w:val="11"/>
            </w:pPr>
          </w:p>
        </w:tc>
        <w:tc>
          <w:tcPr>
            <w:tcW w:w="1361" w:type="dxa"/>
            <w:vAlign w:val="center"/>
          </w:tcPr>
          <w:p>
            <w:pPr>
              <w:pStyle w:val="11"/>
            </w:pPr>
            <w:r>
              <w:t>23.81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49.52</w:t>
            </w:r>
          </w:p>
        </w:tc>
        <w:tc>
          <w:tcPr>
            <w:tcW w:w="1361" w:type="dxa"/>
            <w:vAlign w:val="center"/>
          </w:tcPr>
          <w:p>
            <w:pPr>
              <w:pStyle w:val="11"/>
            </w:pPr>
            <w:r>
              <w:t>49.52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49.52</w:t>
            </w:r>
          </w:p>
        </w:tc>
        <w:tc>
          <w:tcPr>
            <w:tcW w:w="1361" w:type="dxa"/>
            <w:vAlign w:val="center"/>
          </w:tcPr>
          <w:p>
            <w:pPr>
              <w:pStyle w:val="11"/>
            </w:pPr>
            <w:r>
              <w:t>49.52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16.08</w:t>
            </w:r>
          </w:p>
        </w:tc>
        <w:tc>
          <w:tcPr>
            <w:tcW w:w="1361" w:type="dxa"/>
            <w:vAlign w:val="center"/>
          </w:tcPr>
          <w:p>
            <w:pPr>
              <w:pStyle w:val="11"/>
            </w:pPr>
            <w:r>
              <w:t>16.08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18.44</w:t>
            </w:r>
          </w:p>
        </w:tc>
        <w:tc>
          <w:tcPr>
            <w:tcW w:w="1361" w:type="dxa"/>
            <w:vAlign w:val="center"/>
          </w:tcPr>
          <w:p>
            <w:pPr>
              <w:pStyle w:val="11"/>
            </w:pPr>
            <w:r>
              <w:t>18.44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13.49</w:t>
            </w:r>
          </w:p>
        </w:tc>
        <w:tc>
          <w:tcPr>
            <w:tcW w:w="1361" w:type="dxa"/>
            <w:vAlign w:val="center"/>
          </w:tcPr>
          <w:p>
            <w:pPr>
              <w:pStyle w:val="11"/>
            </w:pPr>
            <w:r>
              <w:t>13.49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13.49</w:t>
            </w:r>
          </w:p>
        </w:tc>
        <w:tc>
          <w:tcPr>
            <w:tcW w:w="1361" w:type="dxa"/>
            <w:vAlign w:val="center"/>
          </w:tcPr>
          <w:p>
            <w:pPr>
              <w:pStyle w:val="11"/>
            </w:pPr>
            <w:r>
              <w:t>13.49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13.49</w:t>
            </w:r>
          </w:p>
        </w:tc>
        <w:tc>
          <w:tcPr>
            <w:tcW w:w="1361" w:type="dxa"/>
            <w:vAlign w:val="center"/>
          </w:tcPr>
          <w:p>
            <w:pPr>
              <w:pStyle w:val="11"/>
            </w:pPr>
            <w:r>
              <w:t>13.49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17.63</w:t>
            </w:r>
          </w:p>
        </w:tc>
        <w:tc>
          <w:tcPr>
            <w:tcW w:w="1361" w:type="dxa"/>
            <w:vAlign w:val="center"/>
          </w:tcPr>
          <w:p>
            <w:pPr>
              <w:pStyle w:val="11"/>
            </w:pPr>
            <w:r>
              <w:t>17.63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17.63</w:t>
            </w:r>
          </w:p>
        </w:tc>
        <w:tc>
          <w:tcPr>
            <w:tcW w:w="1361" w:type="dxa"/>
            <w:vAlign w:val="center"/>
          </w:tcPr>
          <w:p>
            <w:pPr>
              <w:pStyle w:val="11"/>
            </w:pPr>
            <w:r>
              <w:t>17.63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17.63</w:t>
            </w:r>
          </w:p>
        </w:tc>
        <w:tc>
          <w:tcPr>
            <w:tcW w:w="1361" w:type="dxa"/>
            <w:vAlign w:val="center"/>
          </w:tcPr>
          <w:p>
            <w:pPr>
              <w:pStyle w:val="11"/>
            </w:pPr>
            <w:r>
              <w:t>17.63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292.75</w:t>
            </w:r>
          </w:p>
        </w:tc>
        <w:tc>
          <w:tcPr>
            <w:tcW w:w="3402" w:type="dxa"/>
            <w:vAlign w:val="center"/>
          </w:tcPr>
          <w:p>
            <w:pPr>
              <w:pStyle w:val="12"/>
            </w:pPr>
            <w:r>
              <w:t>一、一般公共服务支出</w:t>
            </w:r>
          </w:p>
        </w:tc>
        <w:tc>
          <w:tcPr>
            <w:tcW w:w="1474" w:type="dxa"/>
            <w:vAlign w:val="center"/>
          </w:tcPr>
          <w:p>
            <w:pPr>
              <w:pStyle w:val="11"/>
            </w:pPr>
            <w:r>
              <w:t>212.12</w:t>
            </w:r>
          </w:p>
        </w:tc>
        <w:tc>
          <w:tcPr>
            <w:tcW w:w="1474" w:type="dxa"/>
            <w:vAlign w:val="center"/>
          </w:tcPr>
          <w:p>
            <w:pPr>
              <w:pStyle w:val="11"/>
            </w:pPr>
            <w:r>
              <w:t>212.12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49.52</w:t>
            </w:r>
          </w:p>
        </w:tc>
        <w:tc>
          <w:tcPr>
            <w:tcW w:w="1474" w:type="dxa"/>
            <w:vAlign w:val="center"/>
          </w:tcPr>
          <w:p>
            <w:pPr>
              <w:pStyle w:val="11"/>
            </w:pPr>
            <w:r>
              <w:t>49.52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13.49</w:t>
            </w:r>
          </w:p>
        </w:tc>
        <w:tc>
          <w:tcPr>
            <w:tcW w:w="1474" w:type="dxa"/>
            <w:vAlign w:val="center"/>
          </w:tcPr>
          <w:p>
            <w:pPr>
              <w:pStyle w:val="11"/>
            </w:pPr>
            <w:r>
              <w:t>13.49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17.63</w:t>
            </w:r>
          </w:p>
        </w:tc>
        <w:tc>
          <w:tcPr>
            <w:tcW w:w="1474" w:type="dxa"/>
            <w:vAlign w:val="center"/>
          </w:tcPr>
          <w:p>
            <w:pPr>
              <w:pStyle w:val="11"/>
            </w:pPr>
            <w:r>
              <w:t>17.63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292.75</w:t>
            </w:r>
          </w:p>
        </w:tc>
        <w:tc>
          <w:tcPr>
            <w:tcW w:w="3402" w:type="dxa"/>
            <w:vAlign w:val="center"/>
          </w:tcPr>
          <w:p>
            <w:pPr>
              <w:pStyle w:val="14"/>
            </w:pPr>
            <w:r>
              <w:t>本年支出合计</w:t>
            </w:r>
          </w:p>
        </w:tc>
        <w:tc>
          <w:tcPr>
            <w:tcW w:w="1474" w:type="dxa"/>
            <w:vAlign w:val="center"/>
          </w:tcPr>
          <w:p>
            <w:pPr>
              <w:pStyle w:val="15"/>
            </w:pPr>
            <w:r>
              <w:t>292.76</w:t>
            </w:r>
          </w:p>
        </w:tc>
        <w:tc>
          <w:tcPr>
            <w:tcW w:w="1474" w:type="dxa"/>
            <w:vAlign w:val="center"/>
          </w:tcPr>
          <w:p>
            <w:pPr>
              <w:pStyle w:val="15"/>
            </w:pPr>
            <w:r>
              <w:t>292.76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rPr>
                <w:rFonts w:hint="default" w:eastAsia="方正书宋_GBK"/>
                <w:lang w:val="en-US" w:eastAsia="zh-CN"/>
              </w:rPr>
            </w:pPr>
            <w:r>
              <w:rPr>
                <w:rFonts w:hint="eastAsia"/>
                <w:lang w:val="en-US" w:eastAsia="zh-CN"/>
              </w:rPr>
              <w:t>0.0077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rPr>
                <w:rFonts w:hint="default" w:eastAsia="方正书宋_GBK"/>
                <w:lang w:val="en-US" w:eastAsia="zh-CN"/>
              </w:rPr>
            </w:pPr>
            <w:r>
              <w:rPr>
                <w:rFonts w:hint="eastAsia"/>
                <w:lang w:val="en-US" w:eastAsia="zh-CN"/>
              </w:rPr>
              <w:t>0.0077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292.76</w:t>
            </w:r>
          </w:p>
        </w:tc>
        <w:tc>
          <w:tcPr>
            <w:tcW w:w="3402" w:type="dxa"/>
            <w:vAlign w:val="center"/>
          </w:tcPr>
          <w:p>
            <w:pPr>
              <w:pStyle w:val="14"/>
            </w:pPr>
            <w:r>
              <w:t>支出总计</w:t>
            </w:r>
          </w:p>
        </w:tc>
        <w:tc>
          <w:tcPr>
            <w:tcW w:w="1474" w:type="dxa"/>
            <w:vAlign w:val="center"/>
          </w:tcPr>
          <w:p>
            <w:pPr>
              <w:pStyle w:val="15"/>
            </w:pPr>
            <w:r>
              <w:t>292.76</w:t>
            </w:r>
          </w:p>
        </w:tc>
        <w:tc>
          <w:tcPr>
            <w:tcW w:w="1474" w:type="dxa"/>
            <w:vAlign w:val="center"/>
          </w:tcPr>
          <w:p>
            <w:pPr>
              <w:pStyle w:val="15"/>
            </w:pPr>
            <w:r>
              <w:t>292.76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292.76</w:t>
            </w:r>
          </w:p>
        </w:tc>
        <w:tc>
          <w:tcPr>
            <w:tcW w:w="2551" w:type="dxa"/>
            <w:vAlign w:val="center"/>
          </w:tcPr>
          <w:p>
            <w:pPr>
              <w:pStyle w:val="15"/>
            </w:pPr>
            <w:r>
              <w:t>268.95</w:t>
            </w:r>
          </w:p>
        </w:tc>
        <w:tc>
          <w:tcPr>
            <w:tcW w:w="2551" w:type="dxa"/>
            <w:vAlign w:val="center"/>
          </w:tcPr>
          <w:p>
            <w:pPr>
              <w:pStyle w:val="15"/>
            </w:pPr>
            <w:r>
              <w:t>23.81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212.12</w:t>
            </w:r>
          </w:p>
        </w:tc>
        <w:tc>
          <w:tcPr>
            <w:tcW w:w="2551" w:type="dxa"/>
            <w:vAlign w:val="center"/>
          </w:tcPr>
          <w:p>
            <w:pPr>
              <w:pStyle w:val="11"/>
            </w:pPr>
            <w:r>
              <w:t>188.31</w:t>
            </w:r>
          </w:p>
        </w:tc>
        <w:tc>
          <w:tcPr>
            <w:tcW w:w="2551" w:type="dxa"/>
            <w:vAlign w:val="center"/>
          </w:tcPr>
          <w:p>
            <w:pPr>
              <w:pStyle w:val="11"/>
            </w:pPr>
            <w:r>
              <w:t>23.81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212.12</w:t>
            </w:r>
          </w:p>
        </w:tc>
        <w:tc>
          <w:tcPr>
            <w:tcW w:w="2551" w:type="dxa"/>
            <w:vAlign w:val="center"/>
          </w:tcPr>
          <w:p>
            <w:pPr>
              <w:pStyle w:val="11"/>
            </w:pPr>
            <w:r>
              <w:t>188.31</w:t>
            </w:r>
          </w:p>
        </w:tc>
        <w:tc>
          <w:tcPr>
            <w:tcW w:w="2551" w:type="dxa"/>
            <w:vAlign w:val="center"/>
          </w:tcPr>
          <w:p>
            <w:pPr>
              <w:pStyle w:val="11"/>
            </w:pPr>
            <w:r>
              <w:t>23.81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188.31</w:t>
            </w:r>
          </w:p>
        </w:tc>
        <w:tc>
          <w:tcPr>
            <w:tcW w:w="2551" w:type="dxa"/>
            <w:vAlign w:val="center"/>
          </w:tcPr>
          <w:p>
            <w:pPr>
              <w:pStyle w:val="11"/>
            </w:pPr>
            <w:r>
              <w:t>188.31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2013402</w:t>
            </w:r>
          </w:p>
        </w:tc>
        <w:tc>
          <w:tcPr>
            <w:tcW w:w="4535" w:type="dxa"/>
            <w:vAlign w:val="center"/>
          </w:tcPr>
          <w:p>
            <w:pPr>
              <w:pStyle w:val="12"/>
            </w:pPr>
            <w:r>
              <w:t>一般行政管理事务</w:t>
            </w:r>
          </w:p>
        </w:tc>
        <w:tc>
          <w:tcPr>
            <w:tcW w:w="2551" w:type="dxa"/>
            <w:vAlign w:val="center"/>
          </w:tcPr>
          <w:p>
            <w:pPr>
              <w:pStyle w:val="11"/>
            </w:pPr>
            <w:r>
              <w:t>23.81</w:t>
            </w:r>
          </w:p>
        </w:tc>
        <w:tc>
          <w:tcPr>
            <w:tcW w:w="2551" w:type="dxa"/>
            <w:vAlign w:val="center"/>
          </w:tcPr>
          <w:p>
            <w:pPr>
              <w:pStyle w:val="11"/>
            </w:pPr>
          </w:p>
        </w:tc>
        <w:tc>
          <w:tcPr>
            <w:tcW w:w="2551" w:type="dxa"/>
            <w:vAlign w:val="center"/>
          </w:tcPr>
          <w:p>
            <w:pPr>
              <w:pStyle w:val="11"/>
            </w:pPr>
            <w:r>
              <w:t>23.81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49.52</w:t>
            </w:r>
          </w:p>
        </w:tc>
        <w:tc>
          <w:tcPr>
            <w:tcW w:w="2551" w:type="dxa"/>
            <w:vAlign w:val="center"/>
          </w:tcPr>
          <w:p>
            <w:pPr>
              <w:pStyle w:val="11"/>
            </w:pPr>
            <w:r>
              <w:t>49.52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49.52</w:t>
            </w:r>
          </w:p>
        </w:tc>
        <w:tc>
          <w:tcPr>
            <w:tcW w:w="2551" w:type="dxa"/>
            <w:vAlign w:val="center"/>
          </w:tcPr>
          <w:p>
            <w:pPr>
              <w:pStyle w:val="11"/>
            </w:pPr>
            <w:r>
              <w:t>49.52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16.08</w:t>
            </w:r>
          </w:p>
        </w:tc>
        <w:tc>
          <w:tcPr>
            <w:tcW w:w="2551" w:type="dxa"/>
            <w:vAlign w:val="center"/>
          </w:tcPr>
          <w:p>
            <w:pPr>
              <w:pStyle w:val="11"/>
            </w:pPr>
            <w:r>
              <w:t>16.08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18.44</w:t>
            </w:r>
          </w:p>
        </w:tc>
        <w:tc>
          <w:tcPr>
            <w:tcW w:w="2551" w:type="dxa"/>
            <w:vAlign w:val="center"/>
          </w:tcPr>
          <w:p>
            <w:pPr>
              <w:pStyle w:val="11"/>
            </w:pPr>
            <w:r>
              <w:t>18.44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13.49</w:t>
            </w:r>
          </w:p>
        </w:tc>
        <w:tc>
          <w:tcPr>
            <w:tcW w:w="2551" w:type="dxa"/>
            <w:vAlign w:val="center"/>
          </w:tcPr>
          <w:p>
            <w:pPr>
              <w:pStyle w:val="11"/>
            </w:pPr>
            <w:r>
              <w:t>13.49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13.49</w:t>
            </w:r>
          </w:p>
        </w:tc>
        <w:tc>
          <w:tcPr>
            <w:tcW w:w="2551" w:type="dxa"/>
            <w:vAlign w:val="center"/>
          </w:tcPr>
          <w:p>
            <w:pPr>
              <w:pStyle w:val="11"/>
            </w:pPr>
            <w:r>
              <w:t>13.49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13.49</w:t>
            </w:r>
          </w:p>
        </w:tc>
        <w:tc>
          <w:tcPr>
            <w:tcW w:w="2551" w:type="dxa"/>
            <w:vAlign w:val="center"/>
          </w:tcPr>
          <w:p>
            <w:pPr>
              <w:pStyle w:val="11"/>
            </w:pPr>
            <w:r>
              <w:t>13.49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17.63</w:t>
            </w:r>
          </w:p>
        </w:tc>
        <w:tc>
          <w:tcPr>
            <w:tcW w:w="2551" w:type="dxa"/>
            <w:vAlign w:val="center"/>
          </w:tcPr>
          <w:p>
            <w:pPr>
              <w:pStyle w:val="11"/>
            </w:pPr>
            <w:r>
              <w:t>17.63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17.63</w:t>
            </w:r>
          </w:p>
        </w:tc>
        <w:tc>
          <w:tcPr>
            <w:tcW w:w="2551" w:type="dxa"/>
            <w:vAlign w:val="center"/>
          </w:tcPr>
          <w:p>
            <w:pPr>
              <w:pStyle w:val="11"/>
            </w:pPr>
            <w:r>
              <w:t>17.63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17.63</w:t>
            </w:r>
          </w:p>
        </w:tc>
        <w:tc>
          <w:tcPr>
            <w:tcW w:w="2551" w:type="dxa"/>
            <w:vAlign w:val="center"/>
          </w:tcPr>
          <w:p>
            <w:pPr>
              <w:pStyle w:val="11"/>
            </w:pPr>
            <w:r>
              <w:t>17.63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268.95</w:t>
            </w:r>
          </w:p>
        </w:tc>
        <w:tc>
          <w:tcPr>
            <w:tcW w:w="2551" w:type="dxa"/>
            <w:vAlign w:val="center"/>
          </w:tcPr>
          <w:p>
            <w:pPr>
              <w:pStyle w:val="15"/>
            </w:pPr>
            <w:r>
              <w:t>245.95</w:t>
            </w:r>
          </w:p>
        </w:tc>
        <w:tc>
          <w:tcPr>
            <w:tcW w:w="2551" w:type="dxa"/>
            <w:vAlign w:val="center"/>
          </w:tcPr>
          <w:p>
            <w:pPr>
              <w:pStyle w:val="15"/>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229.38</w:t>
            </w:r>
          </w:p>
        </w:tc>
        <w:tc>
          <w:tcPr>
            <w:tcW w:w="2551" w:type="dxa"/>
            <w:vAlign w:val="center"/>
          </w:tcPr>
          <w:p>
            <w:pPr>
              <w:pStyle w:val="11"/>
            </w:pPr>
            <w:r>
              <w:t>229.38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50.26</w:t>
            </w:r>
          </w:p>
        </w:tc>
        <w:tc>
          <w:tcPr>
            <w:tcW w:w="2551" w:type="dxa"/>
            <w:vAlign w:val="center"/>
          </w:tcPr>
          <w:p>
            <w:pPr>
              <w:pStyle w:val="11"/>
            </w:pPr>
            <w:r>
              <w:t>50.26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34.73</w:t>
            </w:r>
          </w:p>
        </w:tc>
        <w:tc>
          <w:tcPr>
            <w:tcW w:w="2551" w:type="dxa"/>
            <w:vAlign w:val="center"/>
          </w:tcPr>
          <w:p>
            <w:pPr>
              <w:pStyle w:val="11"/>
            </w:pPr>
            <w:r>
              <w:t>34.73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41.69</w:t>
            </w:r>
          </w:p>
        </w:tc>
        <w:tc>
          <w:tcPr>
            <w:tcW w:w="2551" w:type="dxa"/>
            <w:vAlign w:val="center"/>
          </w:tcPr>
          <w:p>
            <w:pPr>
              <w:pStyle w:val="11"/>
            </w:pPr>
            <w:r>
              <w:t>41.69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15.33</w:t>
            </w:r>
          </w:p>
        </w:tc>
        <w:tc>
          <w:tcPr>
            <w:tcW w:w="2551" w:type="dxa"/>
            <w:vAlign w:val="center"/>
          </w:tcPr>
          <w:p>
            <w:pPr>
              <w:pStyle w:val="11"/>
            </w:pPr>
            <w:r>
              <w:t>15.33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18.44</w:t>
            </w:r>
          </w:p>
        </w:tc>
        <w:tc>
          <w:tcPr>
            <w:tcW w:w="2551" w:type="dxa"/>
            <w:vAlign w:val="center"/>
          </w:tcPr>
          <w:p>
            <w:pPr>
              <w:pStyle w:val="11"/>
            </w:pPr>
            <w:r>
              <w:t>18.44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9.03</w:t>
            </w:r>
          </w:p>
        </w:tc>
        <w:tc>
          <w:tcPr>
            <w:tcW w:w="2551" w:type="dxa"/>
            <w:vAlign w:val="center"/>
          </w:tcPr>
          <w:p>
            <w:pPr>
              <w:pStyle w:val="11"/>
            </w:pPr>
            <w:r>
              <w:t>9.03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4.46</w:t>
            </w:r>
          </w:p>
        </w:tc>
        <w:tc>
          <w:tcPr>
            <w:tcW w:w="2551" w:type="dxa"/>
            <w:vAlign w:val="center"/>
          </w:tcPr>
          <w:p>
            <w:pPr>
              <w:pStyle w:val="11"/>
            </w:pPr>
            <w:r>
              <w:t>4.46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0.57</w:t>
            </w:r>
          </w:p>
        </w:tc>
        <w:tc>
          <w:tcPr>
            <w:tcW w:w="2551" w:type="dxa"/>
            <w:vAlign w:val="center"/>
          </w:tcPr>
          <w:p>
            <w:pPr>
              <w:pStyle w:val="11"/>
            </w:pPr>
            <w:r>
              <w:t>0.57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17.63</w:t>
            </w:r>
          </w:p>
        </w:tc>
        <w:tc>
          <w:tcPr>
            <w:tcW w:w="2551" w:type="dxa"/>
            <w:vAlign w:val="center"/>
          </w:tcPr>
          <w:p>
            <w:pPr>
              <w:pStyle w:val="11"/>
            </w:pPr>
            <w:r>
              <w:t>17.63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22.24</w:t>
            </w:r>
          </w:p>
        </w:tc>
        <w:tc>
          <w:tcPr>
            <w:tcW w:w="2551" w:type="dxa"/>
            <w:vAlign w:val="center"/>
          </w:tcPr>
          <w:p>
            <w:pPr>
              <w:pStyle w:val="11"/>
            </w:pPr>
            <w:r>
              <w:t>22.24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23.00</w:t>
            </w:r>
          </w:p>
        </w:tc>
        <w:tc>
          <w:tcPr>
            <w:tcW w:w="2551" w:type="dxa"/>
            <w:vAlign w:val="center"/>
          </w:tcPr>
          <w:p>
            <w:pPr>
              <w:pStyle w:val="11"/>
            </w:pPr>
          </w:p>
        </w:tc>
        <w:tc>
          <w:tcPr>
            <w:tcW w:w="2551" w:type="dxa"/>
            <w:vAlign w:val="center"/>
          </w:tcPr>
          <w:p>
            <w:pPr>
              <w:pStyle w:val="11"/>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2.95</w:t>
            </w:r>
          </w:p>
        </w:tc>
        <w:tc>
          <w:tcPr>
            <w:tcW w:w="2551" w:type="dxa"/>
            <w:vAlign w:val="center"/>
          </w:tcPr>
          <w:p>
            <w:pPr>
              <w:pStyle w:val="11"/>
            </w:pPr>
          </w:p>
        </w:tc>
        <w:tc>
          <w:tcPr>
            <w:tcW w:w="2551" w:type="dxa"/>
            <w:vAlign w:val="center"/>
          </w:tcPr>
          <w:p>
            <w:pPr>
              <w:pStyle w:val="11"/>
            </w:pPr>
            <w:r>
              <w:t>2.95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0.22</w:t>
            </w:r>
          </w:p>
        </w:tc>
        <w:tc>
          <w:tcPr>
            <w:tcW w:w="2551" w:type="dxa"/>
            <w:vAlign w:val="center"/>
          </w:tcPr>
          <w:p>
            <w:pPr>
              <w:pStyle w:val="11"/>
            </w:pPr>
          </w:p>
        </w:tc>
        <w:tc>
          <w:tcPr>
            <w:tcW w:w="2551" w:type="dxa"/>
            <w:vAlign w:val="center"/>
          </w:tcPr>
          <w:p>
            <w:pPr>
              <w:pStyle w:val="11"/>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0.55</w:t>
            </w:r>
          </w:p>
        </w:tc>
        <w:tc>
          <w:tcPr>
            <w:tcW w:w="2551" w:type="dxa"/>
            <w:vAlign w:val="center"/>
          </w:tcPr>
          <w:p>
            <w:pPr>
              <w:pStyle w:val="11"/>
            </w:pPr>
          </w:p>
        </w:tc>
        <w:tc>
          <w:tcPr>
            <w:tcW w:w="2551" w:type="dxa"/>
            <w:vAlign w:val="center"/>
          </w:tcPr>
          <w:p>
            <w:pPr>
              <w:pStyle w:val="11"/>
            </w:pPr>
            <w:r>
              <w:t>0.55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1.73</w:t>
            </w:r>
          </w:p>
        </w:tc>
        <w:tc>
          <w:tcPr>
            <w:tcW w:w="2551" w:type="dxa"/>
            <w:vAlign w:val="center"/>
          </w:tcPr>
          <w:p>
            <w:pPr>
              <w:pStyle w:val="11"/>
            </w:pPr>
          </w:p>
        </w:tc>
        <w:tc>
          <w:tcPr>
            <w:tcW w:w="2551" w:type="dxa"/>
            <w:vAlign w:val="center"/>
          </w:tcPr>
          <w:p>
            <w:pPr>
              <w:pStyle w:val="11"/>
            </w:pPr>
            <w:r>
              <w:t>1.73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1.26</w:t>
            </w:r>
          </w:p>
        </w:tc>
        <w:tc>
          <w:tcPr>
            <w:tcW w:w="2551" w:type="dxa"/>
            <w:vAlign w:val="center"/>
          </w:tcPr>
          <w:p>
            <w:pPr>
              <w:pStyle w:val="11"/>
            </w:pPr>
          </w:p>
        </w:tc>
        <w:tc>
          <w:tcPr>
            <w:tcW w:w="2551" w:type="dxa"/>
            <w:vAlign w:val="center"/>
          </w:tcPr>
          <w:p>
            <w:pPr>
              <w:pStyle w:val="11"/>
            </w:pPr>
            <w:r>
              <w:t>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5.87</w:t>
            </w:r>
          </w:p>
        </w:tc>
        <w:tc>
          <w:tcPr>
            <w:tcW w:w="2551" w:type="dxa"/>
            <w:vAlign w:val="center"/>
          </w:tcPr>
          <w:p>
            <w:pPr>
              <w:pStyle w:val="11"/>
            </w:pPr>
          </w:p>
        </w:tc>
        <w:tc>
          <w:tcPr>
            <w:tcW w:w="2551" w:type="dxa"/>
            <w:vAlign w:val="center"/>
          </w:tcPr>
          <w:p>
            <w:pPr>
              <w:pStyle w:val="11"/>
            </w:pPr>
            <w:r>
              <w:t>5.87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2.82</w:t>
            </w:r>
          </w:p>
        </w:tc>
        <w:tc>
          <w:tcPr>
            <w:tcW w:w="2551" w:type="dxa"/>
            <w:vAlign w:val="center"/>
          </w:tcPr>
          <w:p>
            <w:pPr>
              <w:pStyle w:val="11"/>
            </w:pPr>
          </w:p>
        </w:tc>
        <w:tc>
          <w:tcPr>
            <w:tcW w:w="2551" w:type="dxa"/>
            <w:vAlign w:val="center"/>
          </w:tcPr>
          <w:p>
            <w:pPr>
              <w:pStyle w:val="11"/>
            </w:pPr>
            <w:r>
              <w:t>2.82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16.57</w:t>
            </w:r>
          </w:p>
        </w:tc>
        <w:tc>
          <w:tcPr>
            <w:tcW w:w="2551" w:type="dxa"/>
            <w:vAlign w:val="center"/>
          </w:tcPr>
          <w:p>
            <w:pPr>
              <w:pStyle w:val="11"/>
            </w:pPr>
            <w:r>
              <w:t>16.57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15.64</w:t>
            </w:r>
          </w:p>
        </w:tc>
        <w:tc>
          <w:tcPr>
            <w:tcW w:w="2551" w:type="dxa"/>
            <w:vAlign w:val="center"/>
          </w:tcPr>
          <w:p>
            <w:pPr>
              <w:pStyle w:val="11"/>
            </w:pPr>
            <w:r>
              <w:t>15.64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0.93</w:t>
            </w:r>
          </w:p>
        </w:tc>
        <w:tc>
          <w:tcPr>
            <w:tcW w:w="2551" w:type="dxa"/>
            <w:vAlign w:val="center"/>
          </w:tcPr>
          <w:p>
            <w:pPr>
              <w:pStyle w:val="11"/>
            </w:pPr>
            <w:r>
              <w:t>0.93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2.80</w:t>
            </w:r>
          </w:p>
        </w:tc>
        <w:tc>
          <w:tcPr>
            <w:tcW w:w="2381" w:type="dxa"/>
            <w:vAlign w:val="center"/>
          </w:tcPr>
          <w:p>
            <w:pPr>
              <w:pStyle w:val="15"/>
            </w:pPr>
            <w:r>
              <w:t>2.80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2.80</w:t>
            </w:r>
          </w:p>
        </w:tc>
        <w:tc>
          <w:tcPr>
            <w:tcW w:w="2381" w:type="dxa"/>
            <w:vAlign w:val="center"/>
          </w:tcPr>
          <w:p>
            <w:pPr>
              <w:pStyle w:val="11"/>
            </w:pPr>
            <w:r>
              <w:t>2.80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2.80</w:t>
            </w:r>
          </w:p>
        </w:tc>
        <w:tc>
          <w:tcPr>
            <w:tcW w:w="2381" w:type="dxa"/>
            <w:vAlign w:val="center"/>
          </w:tcPr>
          <w:p>
            <w:pPr>
              <w:pStyle w:val="11"/>
            </w:pPr>
            <w:r>
              <w:t>2.80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2.80</w:t>
            </w:r>
          </w:p>
        </w:tc>
        <w:tc>
          <w:tcPr>
            <w:tcW w:w="2381" w:type="dxa"/>
            <w:vAlign w:val="center"/>
          </w:tcPr>
          <w:p>
            <w:pPr>
              <w:pStyle w:val="11"/>
            </w:pPr>
            <w:r>
              <w:t>2.80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中共石家庄市桥西区委统一战线工作部2025年部门预算信息公开情况说明</w:t>
      </w:r>
    </w:p>
    <w:p>
      <w:pPr>
        <w:jc w:val="center"/>
      </w:pPr>
      <w:r>
        <w:rPr>
          <w:rFonts w:ascii="方正小标宋_GBK" w:hAnsi="方正小标宋_GBK" w:eastAsia="方正小标宋_GBK" w:cs="方正小标宋_GBK"/>
          <w:color w:val="000000"/>
          <w:sz w:val="44"/>
        </w:rPr>
        <w:t>中共石家庄市桥西区委统一战线工作部2025年部门预算信息公开情况说明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按照《中华人民共和国预算法》、《地方预决算公开操作规程》和《关于进一步推进预算公开工作的实施意见》规定，现将中共石家庄市桥西区委统一战线工作部2025年部门预算公开如下：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中共石家庄市桥西区委统一战线工作部机关本级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按照预算管理有关规定，目前部门预算的编制实行综合预算管理，即全部收入和支出都反映在预算中。中共石家庄市桥西区委统一战线工作部机关及所属事业单位的收支包含在部门预算中。</w:t>
      </w:r>
    </w:p>
    <w:p>
      <w:pPr>
        <w:pStyle w:val="18"/>
      </w:pPr>
      <w:r>
        <w:t>1、收入说明</w:t>
      </w:r>
    </w:p>
    <w:p>
      <w:pPr>
        <w:pStyle w:val="18"/>
      </w:pPr>
      <w:r>
        <w:t>反映本部门当年全部收入。2025年预算收入292.76万元，其中：一般公共预算收入292.75万元，基金预算收入0.00万元，国有资本经营预算收入0.00万元，财政专户核拨收入0.00万元，单位资金收入0.00万元，上年结转结余</w:t>
      </w:r>
      <w:r>
        <w:rPr>
          <w:rFonts w:hint="eastAsia"/>
          <w:lang w:val="en-US" w:eastAsia="zh-CN"/>
        </w:rPr>
        <w:t>0.0077</w:t>
      </w:r>
      <w:r>
        <w:t>万元。</w:t>
      </w:r>
    </w:p>
    <w:p>
      <w:pPr>
        <w:pStyle w:val="18"/>
      </w:pPr>
      <w:r>
        <w:t>2、支出说明</w:t>
      </w:r>
    </w:p>
    <w:p>
      <w:pPr>
        <w:pStyle w:val="18"/>
        <w:rPr>
          <w:rFonts w:hint="eastAsia"/>
          <w:lang w:val="en-US" w:eastAsia="zh-CN"/>
        </w:rPr>
      </w:pPr>
      <w:r>
        <w:t>收支预算总表支出栏、基本支出表、项目支出表按经济分类和支出功能分类科目编制，反映中共石家庄市桥西区委统一战线工作部年度部门预算中支出预算的总体情况。2025年支出预算292.76万元，其中基本支出268.95万元，包括人员经费245.95万元和日常公用经费23.00万元；项目支出23.81万元，主要为下沉干部工作队和统战工作经费</w:t>
      </w:r>
      <w:r>
        <w:rPr>
          <w:rFonts w:hint="eastAsia"/>
          <w:lang w:eastAsia="zh-CN"/>
        </w:rPr>
        <w:t>。</w:t>
      </w:r>
      <w:r>
        <w:rPr>
          <w:rFonts w:hint="eastAsia"/>
          <w:lang w:val="en-US" w:eastAsia="zh-CN"/>
        </w:rPr>
        <w:t xml:space="preserve"> </w:t>
      </w:r>
    </w:p>
    <w:p>
      <w:pPr>
        <w:pStyle w:val="18"/>
      </w:pPr>
      <w:r>
        <w:t>3、比上年增减情况</w:t>
      </w:r>
    </w:p>
    <w:p>
      <w:pPr>
        <w:pStyle w:val="18"/>
        <w:rPr>
          <w:rFonts w:hint="eastAsia" w:eastAsia="方正仿宋_GBK"/>
          <w:lang w:eastAsia="zh-CN"/>
        </w:rPr>
      </w:pPr>
      <w:r>
        <w:t>2025年预算收支安排292.76万元，较2024年预算增加14.71万元，其中：基本支出增加22.65万元，主要为增加一名行政人员</w:t>
      </w:r>
      <w:r>
        <w:rPr>
          <w:rFonts w:hint="eastAsia"/>
          <w:lang w:eastAsia="zh-CN"/>
        </w:rPr>
        <w:t>；</w:t>
      </w:r>
      <w:r>
        <w:t>项目支出减少7.94万元，主要为项目经费减少</w:t>
      </w:r>
      <w:r>
        <w:rPr>
          <w:rFonts w:hint="eastAsia"/>
          <w:lang w:eastAsia="zh-CN"/>
        </w:rP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2025年，我部门机关运行经费共计安排23.00万元，</w:t>
      </w:r>
      <w:r>
        <w:rPr>
          <w:rFonts w:hint="eastAsia" w:ascii="仿宋" w:hAnsi="仿宋" w:eastAsia="仿宋" w:cs="仿宋"/>
          <w:color w:val="000000"/>
          <w:szCs w:val="28"/>
        </w:rPr>
        <w:t>主要</w:t>
      </w:r>
      <w:r>
        <w:rPr>
          <w:rFonts w:hint="eastAsia" w:ascii="仿宋" w:hAnsi="仿宋" w:eastAsia="仿宋" w:cs="仿宋"/>
          <w:color w:val="000000"/>
          <w:szCs w:val="28"/>
          <w:lang w:eastAsia="zh-CN"/>
        </w:rPr>
        <w:t>用于办公费、计提项目的福利费和工会会费</w:t>
      </w:r>
      <w:r>
        <w:t>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30"/>
        <w:rPr>
          <w:rFonts w:hint="eastAsia"/>
          <w:lang w:eastAsia="zh-CN"/>
        </w:rPr>
      </w:pPr>
      <w:bookmarkStart w:id="13" w:name="_Toc_3_3_0000000014"/>
      <w:r>
        <w:rPr>
          <w:rFonts w:hint="eastAsia"/>
          <w:lang w:val="en-US" w:eastAsia="zh-CN"/>
        </w:rPr>
        <w:t xml:space="preserve">2025年，财政拨款“三公”经费预算安排 </w:t>
      </w:r>
      <w:r>
        <w:rPr>
          <w:rFonts w:hint="eastAsia"/>
          <w:lang w:val="en" w:eastAsia="zh-CN"/>
        </w:rPr>
        <w:t>2.</w:t>
      </w:r>
      <w:r>
        <w:rPr>
          <w:rFonts w:hint="eastAsia"/>
          <w:lang w:val="en-US" w:eastAsia="zh-CN"/>
        </w:rPr>
        <w:t>8 万元，与上年减少0.11万元。其中：因公出国（境）费0万元，与上年持平，无增减变化，原因是出国计划相同，本年无出国预算安排；公务用车购置及运维费2.80 万元（其中：公务用车购置费为 0.00 万元，与上年持平，无增减变化，原因是购车计划相同，本年无购车预算安排；公务用车运维费 2.80 万元，与上年持平，无增减变化。)； 公务接待费 0.00 万元，与上年减少0.11，原因是无接待安排</w:t>
      </w:r>
      <w:r>
        <w:rPr>
          <w:rFonts w:hint="eastAsia"/>
          <w:lang w:eastAsia="zh-CN"/>
        </w:rPr>
        <w:t>。</w:t>
      </w:r>
    </w:p>
    <w:p>
      <w:pPr>
        <w:spacing w:before="10" w:after="10" w:line="360" w:lineRule="auto"/>
        <w:ind w:firstLine="640"/>
        <w:outlineLvl w:val="2"/>
      </w:pPr>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bookmarkStart w:id="20" w:name="_GoBack"/>
      <w:bookmarkEnd w:id="20"/>
    </w:p>
    <w:p>
      <w:pPr>
        <w:pStyle w:val="21"/>
      </w:pPr>
      <w:r>
        <w:t>以习近平新时代中国特色社会主义思想为指导，全面学习贯彻二十大精神，落实上级关于新时代统战工作的一系列决策部署，聚集各方力量，聚焦中心任务，在恪守初心中把握职责定位，在践行使命中积极开拓进取，不断开创统战工作新局面。</w:t>
      </w:r>
    </w:p>
    <w:p>
      <w:pPr>
        <w:spacing w:line="500" w:lineRule="exact"/>
        <w:ind w:firstLine="560"/>
      </w:pPr>
      <w:r>
        <w:rPr>
          <w:rFonts w:eastAsia="方正仿宋_GBK"/>
          <w:color w:val="000000"/>
          <w:sz w:val="28"/>
        </w:rPr>
        <w:t>（二）分项绩效目标</w:t>
      </w:r>
    </w:p>
    <w:p>
      <w:pPr>
        <w:pStyle w:val="22"/>
      </w:pPr>
      <w:r>
        <w:t>1.学习、宣传、贯彻党的二十大精神。</w:t>
      </w:r>
    </w:p>
    <w:p>
      <w:pPr>
        <w:pStyle w:val="22"/>
      </w:pPr>
      <w:r>
        <w:t>2.开展统一战线理论研究，贯彻落实党的统战宣传工作方针。</w:t>
      </w:r>
    </w:p>
    <w:p>
      <w:pPr>
        <w:pStyle w:val="22"/>
      </w:pPr>
      <w:r>
        <w:t>3.联系各民主党派，贯彻落实中国共产党领导的多党合作和政治协商制度。</w:t>
      </w:r>
    </w:p>
    <w:p>
      <w:pPr>
        <w:pStyle w:val="22"/>
      </w:pPr>
      <w:r>
        <w:t>4.贯彻落实党的民族工作方针，全面促进民族事业发展。</w:t>
      </w:r>
    </w:p>
    <w:p>
      <w:pPr>
        <w:pStyle w:val="22"/>
      </w:pPr>
      <w:r>
        <w:t>5.管理宗教工作，贯彻落实党的宗教工作基本方针和政策，引导各宗教坚持中国化方向，巩固和发展同宗教界的爱国统一战线。</w:t>
      </w:r>
    </w:p>
    <w:p>
      <w:pPr>
        <w:pStyle w:val="22"/>
      </w:pPr>
      <w:r>
        <w:t>6.开展党外知识分子和新的社会阶层人士统战工作。</w:t>
      </w:r>
    </w:p>
    <w:p>
      <w:pPr>
        <w:pStyle w:val="22"/>
      </w:pPr>
      <w:r>
        <w:t>7.调查研究非公有制经济人士情况并，促进非公有制经济健康发展和非公有制经济人士健康成长。</w:t>
      </w:r>
    </w:p>
    <w:p>
      <w:pPr>
        <w:pStyle w:val="22"/>
      </w:pPr>
      <w:r>
        <w:t>8.开展港澳统战工作，开展对台统战工作，做好台胞、台属有关工作。</w:t>
      </w:r>
    </w:p>
    <w:p>
      <w:pPr>
        <w:pStyle w:val="22"/>
      </w:pPr>
      <w:r>
        <w:t>9.开展侨务工作，贯彻落实党的侨务工作方针政策，调查研究侨情和侨务工作情况，管理侨务行政事务。</w:t>
      </w:r>
    </w:p>
    <w:p>
      <w:pPr>
        <w:spacing w:line="500" w:lineRule="exact"/>
        <w:ind w:firstLine="560"/>
      </w:pPr>
      <w:r>
        <w:rPr>
          <w:rFonts w:eastAsia="方正仿宋_GBK"/>
          <w:color w:val="000000"/>
          <w:sz w:val="28"/>
        </w:rPr>
        <w:t>（三）工作保障措施</w:t>
      </w:r>
    </w:p>
    <w:p>
      <w:pPr>
        <w:pStyle w:val="23"/>
      </w:pPr>
      <w:r>
        <w:t>(一)加强组织领导。成立由部主要负责同志任组长的预算绩效工作领导小组，建立统筹协调、分工协作、密切配合、合力推进的工作机制。围绕年度总体绩效目标和分类绩效目标，细化工作方案，明确责任主体、实施进度要求，确保如期完成。</w:t>
      </w:r>
    </w:p>
    <w:p>
      <w:pPr>
        <w:pStyle w:val="23"/>
      </w:pPr>
      <w:r>
        <w:t>(二)强化预算编制。按照部门预算的要求，认真编制预算方案。做到有预算安排、有支出标准、有制度依据，维护预算的严肃性和权威性。</w:t>
      </w:r>
    </w:p>
    <w:p>
      <w:pPr>
        <w:pStyle w:val="23"/>
      </w:pPr>
      <w:r>
        <w:t>(三)狠抓任务落实。强化财政预算执行的刚性约束，按照“谁花钱、谁负责，谁牵总、谁主责”的原则，明确业务科室(单位)预算绩效管理职责。按照预算经费支出进度要求，每月将支出进度分发到科室，督促业务股室及时启动项目和支付资金，合理改进支出方式，确保按照时间节点完成支出任务。</w:t>
      </w:r>
    </w:p>
    <w:p>
      <w:pPr>
        <w:pStyle w:val="23"/>
        <w:sectPr>
          <w:pgSz w:w="16840" w:h="11900" w:orient="landscape"/>
          <w:pgMar w:top="1361" w:right="1020" w:bottom="1361" w:left="1020" w:header="720" w:footer="720" w:gutter="0"/>
          <w:cols w:space="720" w:num="1"/>
        </w:sectPr>
      </w:pPr>
      <w:r>
        <w:t>(四)加强内部监督。建立健全内部控制为核心、实现不同岗位的内部牵制制度，充分发挥内控体系在明确权责方面的重要作用。加强预算资金事前、事中、事后的全方位监管，注重资金支出绩效，最大限度的发挥财政资金效益。对预算执行绩效情况进行跟踪监控，及时掌握各项目承担科室(单位)的项目实施进展、资金拨付和有关绩效指标完成情况，确保绩效目标实现。</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1、2024市级宗教工作补助经费绩效目标表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13010424P000089100034</w:t>
            </w:r>
          </w:p>
        </w:tc>
        <w:tc>
          <w:tcPr>
            <w:tcW w:w="2835" w:type="dxa"/>
            <w:vAlign w:val="center"/>
          </w:tcPr>
          <w:p>
            <w:pPr>
              <w:pStyle w:val="10"/>
            </w:pPr>
            <w:r>
              <w:t>项目名称</w:t>
            </w:r>
          </w:p>
        </w:tc>
        <w:tc>
          <w:tcPr>
            <w:tcW w:w="6095" w:type="dxa"/>
            <w:gridSpan w:val="3"/>
            <w:vAlign w:val="center"/>
          </w:tcPr>
          <w:p>
            <w:pPr>
              <w:pStyle w:val="12"/>
            </w:pPr>
            <w:r>
              <w:t>2024市级宗教工作补助经费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0.0077</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0.0077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1.涉密</w:t>
            </w:r>
          </w:p>
          <w:p>
            <w:pPr>
              <w:pStyle w:val="12"/>
            </w:pPr>
            <w:r>
              <w:t>2.涉密</w:t>
            </w:r>
          </w:p>
          <w:p>
            <w:pPr>
              <w:pStyle w:val="12"/>
            </w:pPr>
            <w:r>
              <w:t>3.涉密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2、统战工作经费绩效目标表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13010425P000012100038</w:t>
            </w:r>
          </w:p>
        </w:tc>
        <w:tc>
          <w:tcPr>
            <w:tcW w:w="2835" w:type="dxa"/>
            <w:vAlign w:val="center"/>
          </w:tcPr>
          <w:p>
            <w:pPr>
              <w:pStyle w:val="10"/>
            </w:pPr>
            <w:r>
              <w:t>项目名称</w:t>
            </w:r>
          </w:p>
        </w:tc>
        <w:tc>
          <w:tcPr>
            <w:tcW w:w="6095" w:type="dxa"/>
            <w:gridSpan w:val="3"/>
            <w:vAlign w:val="center"/>
          </w:tcPr>
          <w:p>
            <w:pPr>
              <w:pStyle w:val="12"/>
            </w:pPr>
            <w:r>
              <w:t>统战工作经费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lang w:val="en-US" w:eastAsia="zh-CN"/>
              </w:rPr>
              <w:t>2</w:t>
            </w:r>
            <w:r>
              <w:t>.00</w:t>
            </w:r>
          </w:p>
        </w:tc>
        <w:tc>
          <w:tcPr>
            <w:tcW w:w="2835" w:type="dxa"/>
            <w:vAlign w:val="center"/>
          </w:tcPr>
          <w:p>
            <w:pPr>
              <w:pStyle w:val="10"/>
            </w:pPr>
            <w:r>
              <w:t>其中：财政    资金</w:t>
            </w:r>
          </w:p>
        </w:tc>
        <w:tc>
          <w:tcPr>
            <w:tcW w:w="2551" w:type="dxa"/>
            <w:vAlign w:val="center"/>
          </w:tcPr>
          <w:p>
            <w:pPr>
              <w:pStyle w:val="12"/>
            </w:pPr>
            <w:r>
              <w:rPr>
                <w:rFonts w:hint="eastAsia"/>
                <w:lang w:val="en-US" w:eastAsia="zh-CN"/>
              </w:rPr>
              <w:t>2</w:t>
            </w:r>
            <w:r>
              <w:t>.00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广泛开展各民族团结活动、开展统战各类人员学习培训、考察调研、社会服务等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1.广泛开展各民族团结活动、开展统战各类人员学习培训、考察调研、社会服务等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开展民族活动、统战系统各类人员学习培训、考察调研、社会服务等活动</w:t>
            </w:r>
          </w:p>
        </w:tc>
        <w:tc>
          <w:tcPr>
            <w:tcW w:w="5386" w:type="dxa"/>
            <w:vAlign w:val="center"/>
          </w:tcPr>
          <w:p>
            <w:pPr>
              <w:pStyle w:val="12"/>
            </w:pPr>
            <w:r>
              <w:t>各类培训等活动次数</w:t>
            </w:r>
          </w:p>
        </w:tc>
        <w:tc>
          <w:tcPr>
            <w:tcW w:w="2268" w:type="dxa"/>
            <w:vAlign w:val="center"/>
          </w:tcPr>
          <w:p>
            <w:pPr>
              <w:pStyle w:val="12"/>
            </w:pPr>
            <w:r>
              <w:t>≥4次数</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开展各项培训活动等人员参加数</w:t>
            </w:r>
          </w:p>
        </w:tc>
        <w:tc>
          <w:tcPr>
            <w:tcW w:w="5386" w:type="dxa"/>
            <w:vAlign w:val="center"/>
          </w:tcPr>
          <w:p>
            <w:pPr>
              <w:pStyle w:val="12"/>
            </w:pPr>
            <w:r>
              <w:t>开展各项培训等活动参加人数占应到人数占比率</w:t>
            </w:r>
          </w:p>
        </w:tc>
        <w:tc>
          <w:tcPr>
            <w:tcW w:w="2268" w:type="dxa"/>
            <w:vAlign w:val="center"/>
          </w:tcPr>
          <w:p>
            <w:pPr>
              <w:pStyle w:val="12"/>
            </w:pPr>
            <w:r>
              <w:t>≥95百分比</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本年度内完成</w:t>
            </w:r>
          </w:p>
        </w:tc>
        <w:tc>
          <w:tcPr>
            <w:tcW w:w="5386" w:type="dxa"/>
            <w:vAlign w:val="center"/>
          </w:tcPr>
          <w:p>
            <w:pPr>
              <w:pStyle w:val="12"/>
            </w:pPr>
            <w:r>
              <w:t>2024年12月之前完成</w:t>
            </w:r>
          </w:p>
        </w:tc>
        <w:tc>
          <w:tcPr>
            <w:tcW w:w="2268" w:type="dxa"/>
            <w:vAlign w:val="center"/>
          </w:tcPr>
          <w:p>
            <w:pPr>
              <w:pStyle w:val="12"/>
            </w:pPr>
            <w:r>
              <w:t>≤12月份</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按财政预算完成</w:t>
            </w:r>
          </w:p>
        </w:tc>
        <w:tc>
          <w:tcPr>
            <w:tcW w:w="5386" w:type="dxa"/>
            <w:vAlign w:val="center"/>
          </w:tcPr>
          <w:p>
            <w:pPr>
              <w:pStyle w:val="12"/>
            </w:pPr>
            <w:r>
              <w:t>按项目预算完成</w:t>
            </w:r>
          </w:p>
        </w:tc>
        <w:tc>
          <w:tcPr>
            <w:tcW w:w="2268" w:type="dxa"/>
            <w:vAlign w:val="center"/>
          </w:tcPr>
          <w:p>
            <w:pPr>
              <w:pStyle w:val="12"/>
            </w:pPr>
            <w:r>
              <w:t>≤4万元</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参加活动的人员评价</w:t>
            </w:r>
          </w:p>
        </w:tc>
        <w:tc>
          <w:tcPr>
            <w:tcW w:w="5386" w:type="dxa"/>
            <w:vAlign w:val="center"/>
          </w:tcPr>
          <w:p>
            <w:pPr>
              <w:pStyle w:val="12"/>
            </w:pPr>
            <w:r>
              <w:t>活动好评率</w:t>
            </w:r>
          </w:p>
        </w:tc>
        <w:tc>
          <w:tcPr>
            <w:tcW w:w="2268" w:type="dxa"/>
            <w:vAlign w:val="center"/>
          </w:tcPr>
          <w:p>
            <w:pPr>
              <w:pStyle w:val="12"/>
            </w:pPr>
            <w:r>
              <w:t>≥95百分比</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民族人士和统战相关人士对工做满意度</w:t>
            </w:r>
          </w:p>
        </w:tc>
        <w:tc>
          <w:tcPr>
            <w:tcW w:w="5386" w:type="dxa"/>
            <w:vAlign w:val="center"/>
          </w:tcPr>
          <w:p>
            <w:pPr>
              <w:pStyle w:val="12"/>
            </w:pPr>
            <w:r>
              <w:t>满意度</w:t>
            </w:r>
          </w:p>
        </w:tc>
        <w:tc>
          <w:tcPr>
            <w:tcW w:w="2268" w:type="dxa"/>
            <w:vAlign w:val="center"/>
          </w:tcPr>
          <w:p>
            <w:pPr>
              <w:pStyle w:val="12"/>
            </w:pPr>
            <w:r>
              <w:t>≥95百分比</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3、统战视频会议系统网络租赁费绩效目标表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13010425P000010100029</w:t>
            </w:r>
          </w:p>
        </w:tc>
        <w:tc>
          <w:tcPr>
            <w:tcW w:w="2835" w:type="dxa"/>
            <w:vAlign w:val="center"/>
          </w:tcPr>
          <w:p>
            <w:pPr>
              <w:pStyle w:val="10"/>
            </w:pPr>
            <w:r>
              <w:t>项目名称</w:t>
            </w:r>
          </w:p>
        </w:tc>
        <w:tc>
          <w:tcPr>
            <w:tcW w:w="6095" w:type="dxa"/>
            <w:gridSpan w:val="3"/>
            <w:vAlign w:val="center"/>
          </w:tcPr>
          <w:p>
            <w:pPr>
              <w:pStyle w:val="12"/>
            </w:pPr>
            <w:r>
              <w:t>统战视频会议系统网络租赁费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统战视频会议系统网络租赁费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1.统战视频会议系统网络租赁费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使用系统次数</w:t>
            </w:r>
          </w:p>
        </w:tc>
        <w:tc>
          <w:tcPr>
            <w:tcW w:w="5386" w:type="dxa"/>
            <w:vAlign w:val="center"/>
          </w:tcPr>
          <w:p>
            <w:pPr>
              <w:pStyle w:val="12"/>
            </w:pPr>
            <w:r>
              <w:t>使用系统次数</w:t>
            </w:r>
          </w:p>
        </w:tc>
        <w:tc>
          <w:tcPr>
            <w:tcW w:w="2268" w:type="dxa"/>
            <w:vAlign w:val="center"/>
          </w:tcPr>
          <w:p>
            <w:pPr>
              <w:pStyle w:val="12"/>
            </w:pPr>
            <w:r>
              <w:t>≥5次数</w:t>
            </w:r>
          </w:p>
        </w:tc>
        <w:tc>
          <w:tcPr>
            <w:tcW w:w="1276" w:type="dxa"/>
            <w:vAlign w:val="center"/>
          </w:tcPr>
          <w:p>
            <w:pPr>
              <w:pStyle w:val="12"/>
            </w:pPr>
            <w:r>
              <w:t>上级会议要求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高清稳定的视频质量</w:t>
            </w:r>
          </w:p>
        </w:tc>
        <w:tc>
          <w:tcPr>
            <w:tcW w:w="5386" w:type="dxa"/>
            <w:vAlign w:val="center"/>
          </w:tcPr>
          <w:p>
            <w:pPr>
              <w:pStyle w:val="12"/>
            </w:pPr>
            <w:r>
              <w:t>参加视频会议人员对视频画面清晰度和视频音质的好评率</w:t>
            </w:r>
          </w:p>
        </w:tc>
        <w:tc>
          <w:tcPr>
            <w:tcW w:w="2268" w:type="dxa"/>
            <w:vAlign w:val="center"/>
          </w:tcPr>
          <w:p>
            <w:pPr>
              <w:pStyle w:val="12"/>
            </w:pPr>
            <w:r>
              <w:t>≥99百分比</w:t>
            </w:r>
          </w:p>
        </w:tc>
        <w:tc>
          <w:tcPr>
            <w:tcW w:w="1276" w:type="dxa"/>
            <w:vAlign w:val="center"/>
          </w:tcPr>
          <w:p>
            <w:pPr>
              <w:pStyle w:val="12"/>
            </w:pPr>
            <w:r>
              <w:t>参加视频会议人员反馈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使用期限</w:t>
            </w:r>
          </w:p>
        </w:tc>
        <w:tc>
          <w:tcPr>
            <w:tcW w:w="5386" w:type="dxa"/>
            <w:vAlign w:val="center"/>
          </w:tcPr>
          <w:p>
            <w:pPr>
              <w:pStyle w:val="12"/>
            </w:pPr>
            <w:r>
              <w:t>使用时间</w:t>
            </w:r>
          </w:p>
        </w:tc>
        <w:tc>
          <w:tcPr>
            <w:tcW w:w="2268" w:type="dxa"/>
            <w:vAlign w:val="center"/>
          </w:tcPr>
          <w:p>
            <w:pPr>
              <w:pStyle w:val="12"/>
            </w:pPr>
            <w:r>
              <w:t>1年</w:t>
            </w:r>
          </w:p>
        </w:tc>
        <w:tc>
          <w:tcPr>
            <w:tcW w:w="1276" w:type="dxa"/>
            <w:vAlign w:val="center"/>
          </w:tcPr>
          <w:p>
            <w:pPr>
              <w:pStyle w:val="12"/>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按财政预算</w:t>
            </w:r>
          </w:p>
        </w:tc>
        <w:tc>
          <w:tcPr>
            <w:tcW w:w="5386" w:type="dxa"/>
            <w:vAlign w:val="center"/>
          </w:tcPr>
          <w:p>
            <w:pPr>
              <w:pStyle w:val="12"/>
            </w:pPr>
            <w:r>
              <w:t>按项目预算</w:t>
            </w:r>
          </w:p>
        </w:tc>
        <w:tc>
          <w:tcPr>
            <w:tcW w:w="2268" w:type="dxa"/>
            <w:vAlign w:val="center"/>
          </w:tcPr>
          <w:p>
            <w:pPr>
              <w:pStyle w:val="12"/>
            </w:pPr>
            <w:r>
              <w:t>≤1.8万元</w:t>
            </w:r>
          </w:p>
        </w:tc>
        <w:tc>
          <w:tcPr>
            <w:tcW w:w="1276" w:type="dxa"/>
            <w:vAlign w:val="center"/>
          </w:tcPr>
          <w:p>
            <w:pPr>
              <w:pStyle w:val="12"/>
            </w:pPr>
            <w:r>
              <w:t>网通收费标准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系统具备良好的稳定性</w:t>
            </w:r>
          </w:p>
        </w:tc>
        <w:tc>
          <w:tcPr>
            <w:tcW w:w="5386" w:type="dxa"/>
            <w:vAlign w:val="center"/>
          </w:tcPr>
          <w:p>
            <w:pPr>
              <w:pStyle w:val="12"/>
            </w:pPr>
            <w:r>
              <w:t>系统使用期间不出现崩溃或者网络错误等问题</w:t>
            </w:r>
          </w:p>
        </w:tc>
        <w:tc>
          <w:tcPr>
            <w:tcW w:w="2268" w:type="dxa"/>
            <w:vAlign w:val="center"/>
          </w:tcPr>
          <w:p>
            <w:pPr>
              <w:pStyle w:val="12"/>
            </w:pPr>
            <w:r>
              <w:t>≤1次数</w:t>
            </w:r>
          </w:p>
        </w:tc>
        <w:tc>
          <w:tcPr>
            <w:tcW w:w="1276" w:type="dxa"/>
            <w:vAlign w:val="center"/>
          </w:tcPr>
          <w:p>
            <w:pPr>
              <w:pStyle w:val="12"/>
            </w:pPr>
            <w:r>
              <w:t>每次会议使用情况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w:t>
            </w:r>
          </w:p>
        </w:tc>
        <w:tc>
          <w:tcPr>
            <w:tcW w:w="5386" w:type="dxa"/>
            <w:vAlign w:val="center"/>
          </w:tcPr>
          <w:p>
            <w:pPr>
              <w:pStyle w:val="12"/>
            </w:pPr>
            <w:r>
              <w:t>工作人员满意度</w:t>
            </w:r>
          </w:p>
        </w:tc>
        <w:tc>
          <w:tcPr>
            <w:tcW w:w="2268" w:type="dxa"/>
            <w:vAlign w:val="center"/>
          </w:tcPr>
          <w:p>
            <w:pPr>
              <w:pStyle w:val="12"/>
            </w:pPr>
            <w:r>
              <w:t>≥95百分比</w:t>
            </w:r>
          </w:p>
        </w:tc>
        <w:tc>
          <w:tcPr>
            <w:tcW w:w="1276" w:type="dxa"/>
            <w:vAlign w:val="center"/>
          </w:tcPr>
          <w:p>
            <w:pPr>
              <w:pStyle w:val="12"/>
            </w:pPr>
            <w:r>
              <w:t>工作人员满意度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4、下沉干部工作队经费绩效目标表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13010425P000016100056</w:t>
            </w:r>
          </w:p>
        </w:tc>
        <w:tc>
          <w:tcPr>
            <w:tcW w:w="2835" w:type="dxa"/>
            <w:vAlign w:val="center"/>
          </w:tcPr>
          <w:p>
            <w:pPr>
              <w:pStyle w:val="10"/>
            </w:pPr>
            <w:r>
              <w:t>项目名称</w:t>
            </w:r>
          </w:p>
        </w:tc>
        <w:tc>
          <w:tcPr>
            <w:tcW w:w="6095" w:type="dxa"/>
            <w:gridSpan w:val="3"/>
            <w:vAlign w:val="center"/>
          </w:tcPr>
          <w:p>
            <w:pPr>
              <w:pStyle w:val="12"/>
            </w:pPr>
            <w:r>
              <w:t>下沉干部工作队经费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下沉干部工作队经费涉密工作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1.下沉干部工作队经费涉密工作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5、新的社会阶层人士统战工作实践创新基地工作经费绩效目标表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13010425P00002810003H</w:t>
            </w:r>
          </w:p>
        </w:tc>
        <w:tc>
          <w:tcPr>
            <w:tcW w:w="2835" w:type="dxa"/>
            <w:vAlign w:val="center"/>
          </w:tcPr>
          <w:p>
            <w:pPr>
              <w:pStyle w:val="10"/>
            </w:pPr>
            <w:r>
              <w:t>项目名称</w:t>
            </w:r>
          </w:p>
        </w:tc>
        <w:tc>
          <w:tcPr>
            <w:tcW w:w="6095" w:type="dxa"/>
            <w:gridSpan w:val="3"/>
            <w:vAlign w:val="center"/>
          </w:tcPr>
          <w:p>
            <w:pPr>
              <w:pStyle w:val="12"/>
            </w:pPr>
            <w:r>
              <w:t>新的社会阶层人士统战工作实践创新基地工作经费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lang w:val="en-US" w:eastAsia="zh-CN"/>
              </w:rPr>
              <w:t>2.5</w:t>
            </w:r>
          </w:p>
        </w:tc>
        <w:tc>
          <w:tcPr>
            <w:tcW w:w="2835" w:type="dxa"/>
            <w:vAlign w:val="center"/>
          </w:tcPr>
          <w:p>
            <w:pPr>
              <w:pStyle w:val="10"/>
            </w:pPr>
            <w:r>
              <w:t>其中：财政    资金</w:t>
            </w:r>
          </w:p>
        </w:tc>
        <w:tc>
          <w:tcPr>
            <w:tcW w:w="2551" w:type="dxa"/>
            <w:vAlign w:val="center"/>
          </w:tcPr>
          <w:p>
            <w:pPr>
              <w:pStyle w:val="12"/>
            </w:pPr>
            <w:r>
              <w:rPr>
                <w:rFonts w:hint="eastAsia"/>
                <w:lang w:val="en-US" w:eastAsia="zh-CN"/>
              </w:rPr>
              <w:t>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按照“六有标准”建设提档新的社会阶层人士统战工作实践创新阵地，在新的社会阶层人士中开展教育培训、考察调研、联谊活动等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1.按照“六有标准”建设提档新的社会阶层人士统战工作实践创新阵地，在新的社会阶层人士中开展教育培训、考察调研、联谊活动等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在新的社会阶层人士中开展教育培训、考察调研、联谊活动等</w:t>
            </w:r>
          </w:p>
        </w:tc>
        <w:tc>
          <w:tcPr>
            <w:tcW w:w="5386" w:type="dxa"/>
            <w:vAlign w:val="center"/>
          </w:tcPr>
          <w:p>
            <w:pPr>
              <w:pStyle w:val="12"/>
            </w:pPr>
            <w:r>
              <w:t>开展教育培训、考察调研、联谊活动等次数</w:t>
            </w:r>
          </w:p>
        </w:tc>
        <w:tc>
          <w:tcPr>
            <w:tcW w:w="2268" w:type="dxa"/>
            <w:vAlign w:val="center"/>
          </w:tcPr>
          <w:p>
            <w:pPr>
              <w:pStyle w:val="12"/>
            </w:pPr>
            <w:r>
              <w:t>≥4次数</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新阶层基地的使用和参加活动的新阶层人士</w:t>
            </w:r>
          </w:p>
        </w:tc>
        <w:tc>
          <w:tcPr>
            <w:tcW w:w="5386" w:type="dxa"/>
            <w:vAlign w:val="center"/>
          </w:tcPr>
          <w:p>
            <w:pPr>
              <w:pStyle w:val="12"/>
            </w:pPr>
            <w:r>
              <w:t>新阶层基地的使用率和参与活动的新阶层人士占比率</w:t>
            </w:r>
          </w:p>
        </w:tc>
        <w:tc>
          <w:tcPr>
            <w:tcW w:w="2268" w:type="dxa"/>
            <w:vAlign w:val="center"/>
          </w:tcPr>
          <w:p>
            <w:pPr>
              <w:pStyle w:val="12"/>
            </w:pPr>
            <w:r>
              <w:t>≥90百分比</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本年度工作计划</w:t>
            </w:r>
          </w:p>
        </w:tc>
        <w:tc>
          <w:tcPr>
            <w:tcW w:w="5386" w:type="dxa"/>
            <w:vAlign w:val="center"/>
          </w:tcPr>
          <w:p>
            <w:pPr>
              <w:pStyle w:val="12"/>
            </w:pPr>
            <w:r>
              <w:t>按本年度工作计划12月之前完成</w:t>
            </w:r>
          </w:p>
        </w:tc>
        <w:tc>
          <w:tcPr>
            <w:tcW w:w="2268" w:type="dxa"/>
            <w:vAlign w:val="center"/>
          </w:tcPr>
          <w:p>
            <w:pPr>
              <w:pStyle w:val="12"/>
            </w:pPr>
            <w:r>
              <w:t>≤12月份</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按财政预算执行</w:t>
            </w:r>
          </w:p>
        </w:tc>
        <w:tc>
          <w:tcPr>
            <w:tcW w:w="5386" w:type="dxa"/>
            <w:vAlign w:val="center"/>
          </w:tcPr>
          <w:p>
            <w:pPr>
              <w:pStyle w:val="12"/>
            </w:pPr>
            <w:r>
              <w:t>按项目预算完成</w:t>
            </w:r>
          </w:p>
        </w:tc>
        <w:tc>
          <w:tcPr>
            <w:tcW w:w="2268" w:type="dxa"/>
            <w:vAlign w:val="center"/>
          </w:tcPr>
          <w:p>
            <w:pPr>
              <w:pStyle w:val="12"/>
            </w:pPr>
            <w:r>
              <w:t>≤5万元</w:t>
            </w:r>
          </w:p>
        </w:tc>
        <w:tc>
          <w:tcPr>
            <w:tcW w:w="1276" w:type="dxa"/>
            <w:vAlign w:val="center"/>
          </w:tcPr>
          <w:p>
            <w:pPr>
              <w:pStyle w:val="12"/>
            </w:pPr>
            <w:r>
              <w:t>按财政预算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活动社会评价率</w:t>
            </w:r>
          </w:p>
        </w:tc>
        <w:tc>
          <w:tcPr>
            <w:tcW w:w="5386" w:type="dxa"/>
            <w:vAlign w:val="center"/>
          </w:tcPr>
          <w:p>
            <w:pPr>
              <w:pStyle w:val="12"/>
            </w:pPr>
            <w:r>
              <w:t>参与活动人员对活动开展效果的好评率</w:t>
            </w:r>
          </w:p>
        </w:tc>
        <w:tc>
          <w:tcPr>
            <w:tcW w:w="2268" w:type="dxa"/>
            <w:vAlign w:val="center"/>
          </w:tcPr>
          <w:p>
            <w:pPr>
              <w:pStyle w:val="12"/>
            </w:pPr>
            <w:r>
              <w:t>≥95百分比</w:t>
            </w:r>
          </w:p>
        </w:tc>
        <w:tc>
          <w:tcPr>
            <w:tcW w:w="1276" w:type="dxa"/>
            <w:vAlign w:val="center"/>
          </w:tcPr>
          <w:p>
            <w:pPr>
              <w:pStyle w:val="12"/>
            </w:pPr>
            <w:r>
              <w:t>意见反馈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新阶层人士满意度</w:t>
            </w:r>
          </w:p>
        </w:tc>
        <w:tc>
          <w:tcPr>
            <w:tcW w:w="5386" w:type="dxa"/>
            <w:vAlign w:val="center"/>
          </w:tcPr>
          <w:p>
            <w:pPr>
              <w:pStyle w:val="12"/>
            </w:pPr>
            <w:r>
              <w:t>新阶层人士对全年工作的满意度</w:t>
            </w:r>
          </w:p>
        </w:tc>
        <w:tc>
          <w:tcPr>
            <w:tcW w:w="2268" w:type="dxa"/>
            <w:vAlign w:val="center"/>
          </w:tcPr>
          <w:p>
            <w:pPr>
              <w:pStyle w:val="12"/>
            </w:pPr>
            <w:r>
              <w:t>≥95百分比</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6、宗教经费绩效目标表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13010425P000008100033</w:t>
            </w:r>
          </w:p>
        </w:tc>
        <w:tc>
          <w:tcPr>
            <w:tcW w:w="2835" w:type="dxa"/>
            <w:vAlign w:val="center"/>
          </w:tcPr>
          <w:p>
            <w:pPr>
              <w:pStyle w:val="10"/>
            </w:pPr>
            <w:r>
              <w:t>项目名称</w:t>
            </w:r>
          </w:p>
        </w:tc>
        <w:tc>
          <w:tcPr>
            <w:tcW w:w="6095" w:type="dxa"/>
            <w:gridSpan w:val="3"/>
            <w:vAlign w:val="center"/>
          </w:tcPr>
          <w:p>
            <w:pPr>
              <w:pStyle w:val="12"/>
            </w:pPr>
            <w:r>
              <w:t>宗教经费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1.5</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打造坚持我国宗教中国化方向示范场所，开展宗教工作培训、走访慰问等活动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1.打造坚持我国宗教中国化方向示范场所，开展宗教工作培训、走访慰问等活动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宗教队伍培训</w:t>
            </w:r>
          </w:p>
        </w:tc>
        <w:tc>
          <w:tcPr>
            <w:tcW w:w="5386" w:type="dxa"/>
            <w:vAlign w:val="center"/>
          </w:tcPr>
          <w:p>
            <w:pPr>
              <w:pStyle w:val="12"/>
            </w:pPr>
            <w:r>
              <w:t>加强队宗教干部及宗教教职人员的教育培训</w:t>
            </w:r>
          </w:p>
        </w:tc>
        <w:tc>
          <w:tcPr>
            <w:tcW w:w="2268" w:type="dxa"/>
            <w:vAlign w:val="center"/>
          </w:tcPr>
          <w:p>
            <w:pPr>
              <w:pStyle w:val="12"/>
            </w:pPr>
            <w:r>
              <w:t>≥3次数</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提升宗教治理水平</w:t>
            </w:r>
          </w:p>
        </w:tc>
        <w:tc>
          <w:tcPr>
            <w:tcW w:w="5386" w:type="dxa"/>
            <w:vAlign w:val="center"/>
          </w:tcPr>
          <w:p>
            <w:pPr>
              <w:pStyle w:val="12"/>
            </w:pPr>
            <w:r>
              <w:t>宗教各项工作的完成率</w:t>
            </w:r>
          </w:p>
        </w:tc>
        <w:tc>
          <w:tcPr>
            <w:tcW w:w="2268" w:type="dxa"/>
            <w:vAlign w:val="center"/>
          </w:tcPr>
          <w:p>
            <w:pPr>
              <w:pStyle w:val="12"/>
            </w:pPr>
            <w:r>
              <w:t>≥98百分比</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工作培训、走访慰问等活动完成时间</w:t>
            </w:r>
          </w:p>
        </w:tc>
        <w:tc>
          <w:tcPr>
            <w:tcW w:w="5386" w:type="dxa"/>
            <w:vAlign w:val="center"/>
          </w:tcPr>
          <w:p>
            <w:pPr>
              <w:pStyle w:val="12"/>
            </w:pPr>
            <w:r>
              <w:t>工作培训、走访慰问计划完成时间</w:t>
            </w:r>
          </w:p>
        </w:tc>
        <w:tc>
          <w:tcPr>
            <w:tcW w:w="2268" w:type="dxa"/>
            <w:vAlign w:val="center"/>
          </w:tcPr>
          <w:p>
            <w:pPr>
              <w:pStyle w:val="12"/>
            </w:pPr>
            <w:r>
              <w:t>≤12月</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按财政预算执行</w:t>
            </w:r>
          </w:p>
        </w:tc>
        <w:tc>
          <w:tcPr>
            <w:tcW w:w="5386" w:type="dxa"/>
            <w:vAlign w:val="center"/>
          </w:tcPr>
          <w:p>
            <w:pPr>
              <w:pStyle w:val="12"/>
            </w:pPr>
            <w:r>
              <w:t>按项目预算完成</w:t>
            </w:r>
          </w:p>
        </w:tc>
        <w:tc>
          <w:tcPr>
            <w:tcW w:w="2268" w:type="dxa"/>
            <w:vAlign w:val="center"/>
          </w:tcPr>
          <w:p>
            <w:pPr>
              <w:pStyle w:val="12"/>
            </w:pPr>
            <w:r>
              <w:t>≤3万元</w:t>
            </w:r>
          </w:p>
        </w:tc>
        <w:tc>
          <w:tcPr>
            <w:tcW w:w="1276" w:type="dxa"/>
            <w:vAlign w:val="center"/>
          </w:tcPr>
          <w:p>
            <w:pPr>
              <w:pStyle w:val="12"/>
            </w:pPr>
            <w:r>
              <w:t>年度预算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防范宗教不稳定因素，维护社会稳定</w:t>
            </w:r>
          </w:p>
        </w:tc>
        <w:tc>
          <w:tcPr>
            <w:tcW w:w="5386" w:type="dxa"/>
            <w:vAlign w:val="center"/>
          </w:tcPr>
          <w:p>
            <w:pPr>
              <w:pStyle w:val="12"/>
            </w:pPr>
            <w:r>
              <w:t>本年度宗教领域突发事件和宗教非法活动</w:t>
            </w:r>
          </w:p>
        </w:tc>
        <w:tc>
          <w:tcPr>
            <w:tcW w:w="2268" w:type="dxa"/>
            <w:vAlign w:val="center"/>
          </w:tcPr>
          <w:p>
            <w:pPr>
              <w:pStyle w:val="12"/>
            </w:pPr>
            <w:r>
              <w:t>≤1处</w:t>
            </w:r>
          </w:p>
        </w:tc>
        <w:tc>
          <w:tcPr>
            <w:tcW w:w="1276" w:type="dxa"/>
            <w:vAlign w:val="center"/>
          </w:tcPr>
          <w:p>
            <w:pPr>
              <w:pStyle w:val="12"/>
            </w:pPr>
            <w:r>
              <w:t>日常排查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宗教服务对象对宗教工作的满意</w:t>
            </w:r>
          </w:p>
        </w:tc>
        <w:tc>
          <w:tcPr>
            <w:tcW w:w="5386" w:type="dxa"/>
            <w:vAlign w:val="center"/>
          </w:tcPr>
          <w:p>
            <w:pPr>
              <w:pStyle w:val="12"/>
            </w:pPr>
            <w:r>
              <w:t>对宗教工作满意度</w:t>
            </w:r>
          </w:p>
        </w:tc>
        <w:tc>
          <w:tcPr>
            <w:tcW w:w="2268" w:type="dxa"/>
            <w:vAlign w:val="center"/>
          </w:tcPr>
          <w:p>
            <w:pPr>
              <w:pStyle w:val="12"/>
            </w:pPr>
            <w:r>
              <w:t>≥95百分比</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7712"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1.81</w:t>
            </w:r>
          </w:p>
        </w:tc>
        <w:tc>
          <w:tcPr>
            <w:tcW w:w="964" w:type="dxa"/>
            <w:vAlign w:val="center"/>
          </w:tcPr>
          <w:p>
            <w:pPr>
              <w:pStyle w:val="15"/>
            </w:pPr>
            <w:r>
              <w:t>1.81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4"/>
            </w:pPr>
            <w:r>
              <w:t>中共石家庄市桥西区委统一战线工作部机关本级小计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1.81</w:t>
            </w:r>
          </w:p>
        </w:tc>
        <w:tc>
          <w:tcPr>
            <w:tcW w:w="964" w:type="dxa"/>
            <w:vAlign w:val="center"/>
          </w:tcPr>
          <w:p>
            <w:pPr>
              <w:pStyle w:val="15"/>
            </w:pPr>
            <w:r>
              <w:t>1.81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公用经费项目1</w:t>
            </w:r>
          </w:p>
        </w:tc>
        <w:tc>
          <w:tcPr>
            <w:tcW w:w="964" w:type="dxa"/>
            <w:vAlign w:val="center"/>
          </w:tcPr>
          <w:p>
            <w:pPr>
              <w:pStyle w:val="11"/>
            </w:pPr>
            <w:r>
              <w:t>7.06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12</w:t>
            </w:r>
          </w:p>
        </w:tc>
        <w:tc>
          <w:tcPr>
            <w:tcW w:w="850" w:type="dxa"/>
            <w:vAlign w:val="center"/>
          </w:tcPr>
          <w:p>
            <w:pPr>
              <w:pStyle w:val="11"/>
            </w:pPr>
            <w:r>
              <w:t>0.02</w:t>
            </w:r>
          </w:p>
        </w:tc>
        <w:tc>
          <w:tcPr>
            <w:tcW w:w="964" w:type="dxa"/>
            <w:vAlign w:val="center"/>
          </w:tcPr>
          <w:p>
            <w:pPr>
              <w:pStyle w:val="11"/>
            </w:pPr>
            <w:r>
              <w:t>0.21</w:t>
            </w:r>
          </w:p>
        </w:tc>
        <w:tc>
          <w:tcPr>
            <w:tcW w:w="964" w:type="dxa"/>
            <w:vAlign w:val="center"/>
          </w:tcPr>
          <w:p>
            <w:pPr>
              <w:pStyle w:val="11"/>
            </w:pPr>
            <w:r>
              <w:t>0.21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公用经费项目1</w:t>
            </w:r>
          </w:p>
        </w:tc>
        <w:tc>
          <w:tcPr>
            <w:tcW w:w="964" w:type="dxa"/>
            <w:vAlign w:val="center"/>
          </w:tcPr>
          <w:p>
            <w:pPr>
              <w:pStyle w:val="11"/>
            </w:pPr>
            <w:r>
              <w:t>7.06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pPr>
              <w:pStyle w:val="12"/>
            </w:pPr>
            <w:r>
              <w:t>公用经费项目1</w:t>
            </w:r>
          </w:p>
        </w:tc>
        <w:tc>
          <w:tcPr>
            <w:tcW w:w="964" w:type="dxa"/>
            <w:vAlign w:val="center"/>
          </w:tcPr>
          <w:p>
            <w:pPr>
              <w:pStyle w:val="11"/>
            </w:pPr>
            <w:r>
              <w:t>7.06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公用经费项目1</w:t>
            </w:r>
          </w:p>
        </w:tc>
        <w:tc>
          <w:tcPr>
            <w:tcW w:w="964" w:type="dxa"/>
            <w:vAlign w:val="center"/>
          </w:tcPr>
          <w:p>
            <w:pPr>
              <w:pStyle w:val="11"/>
            </w:pPr>
            <w:r>
              <w:t>7.06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中共石家庄市桥西区委统一战线工作部（含所属单位）上年末固定资产金额为47.60万元（详见下表）。本年度拟购置固定资产总额为0.00万元，已按要求列入政府采购预算，详见政府采购预算表。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213中共石家庄市桥西区委统一战线工作部</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vAlign w:val="center"/>
          </w:tcPr>
          <w:p>
            <w:pPr>
              <w:pStyle w:val="12"/>
            </w:pPr>
            <w:r>
              <w:t>4、其他固定资产</w:t>
            </w:r>
          </w:p>
        </w:tc>
        <w:tc>
          <w:tcPr>
            <w:tcW w:w="2835" w:type="dxa"/>
            <w:vAlign w:val="center"/>
          </w:tcPr>
          <w:p>
            <w:pPr>
              <w:pStyle w:val="13"/>
            </w:pPr>
            <w:r>
              <w:t>219</w:t>
            </w:r>
          </w:p>
        </w:tc>
        <w:tc>
          <w:tcPr>
            <w:tcW w:w="2835" w:type="dxa"/>
            <w:vAlign w:val="center"/>
          </w:tcPr>
          <w:p>
            <w:pPr>
              <w:pStyle w:val="11"/>
            </w:pPr>
            <w:r>
              <w:t>35.50</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roman"/>
    <w:pitch w:val="default"/>
    <w:sig w:usb0="00000001" w:usb1="08000000" w:usb2="00000000" w:usb3="00000000" w:csb0="00040000"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B0C7F"/>
    <w:rsid w:val="000B0C7F"/>
    <w:rsid w:val="000B425A"/>
    <w:rsid w:val="3FFF19B3"/>
    <w:rsid w:val="4FCFB024"/>
    <w:rsid w:val="7EF1F028"/>
    <w:rsid w:val="F5FB12AC"/>
    <w:rsid w:val="F7DF194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30</Pages>
  <Words>2120</Words>
  <Characters>12085</Characters>
  <Lines>100</Lines>
  <Paragraphs>28</Paragraphs>
  <TotalTime>0</TotalTime>
  <ScaleCrop>false</ScaleCrop>
  <LinksUpToDate>false</LinksUpToDate>
  <CharactersWithSpaces>14177</CharactersWithSpaces>
  <Application>WPS Office_11.8.2.10591_F1E327BC-269C-435d-A152-05C5408002CA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2025-01-21T11:38:00Z</dcterms:created>
  <dc:creator>lenovo</dc:creator>
  <cp:lastModifiedBy>huawei</cp:lastModifiedBy>
  <dcterms:modified xsi:type="dcterms:W3CDTF">2025-10-27T10:36:02Z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2052-11.8.2.10591</vt:lpwstr>
  </property>
</Properties>
</file>