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default" w:ascii="仿宋_GB2312"/>
          <w:color w:val="auto"/>
          <w:lang w:val="en-US" w:eastAsia="zh-CN"/>
        </w:rPr>
      </w:pPr>
      <w:r>
        <w:rPr>
          <w:rFonts w:hint="eastAsia" w:ascii="黑体" w:hAnsi="黑体" w:eastAsia="黑体"/>
          <w:color w:val="auto"/>
          <w:lang w:eastAsia="zh-CN"/>
        </w:rPr>
        <w:t>附件</w:t>
      </w:r>
      <w:r>
        <w:rPr>
          <w:rFonts w:hint="eastAsia" w:ascii="黑体" w:hAnsi="黑体" w:eastAsia="黑体"/>
          <w:color w:val="auto"/>
          <w:lang w:val="en-US" w:eastAsia="zh-CN"/>
        </w:rPr>
        <w:t>1</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方正小标宋简体" w:hAnsi="方正小标宋简体" w:eastAsia="方正小标宋简体"/>
          <w:color w:val="auto"/>
          <w:sz w:val="36"/>
          <w:lang w:val="en-US" w:eastAsia="zh-CN"/>
        </w:rPr>
      </w:pPr>
      <w:r>
        <w:rPr>
          <w:rFonts w:hint="eastAsia" w:ascii="方正小标宋简体" w:hAnsi="方正小标宋简体" w:eastAsia="方正小标宋简体"/>
          <w:color w:val="auto"/>
          <w:sz w:val="36"/>
          <w:lang w:val="en-US" w:eastAsia="zh-CN"/>
        </w:rPr>
        <w:t>桥西区司法局权责清单事项总表</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color w:val="auto"/>
          <w:sz w:val="36"/>
          <w:lang w:val="en-US" w:eastAsia="zh-CN"/>
        </w:rPr>
      </w:pPr>
      <w:r>
        <w:rPr>
          <w:rFonts w:hint="eastAsia" w:ascii="楷体_GB2312" w:hAnsi="楷体_GB2312" w:eastAsia="楷体_GB2312"/>
          <w:color w:val="auto"/>
          <w:lang w:val="en-US" w:eastAsia="zh-CN"/>
        </w:rPr>
        <w:t>（共3类、12项）</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color w:val="auto"/>
          <w:lang w:val="en-US" w:eastAsia="zh-CN"/>
        </w:rPr>
      </w:pPr>
      <w:r>
        <w:rPr>
          <w:rFonts w:hint="eastAsia" w:ascii="楷体_GB2312" w:hAnsi="楷体_GB2312" w:eastAsia="楷体_GB2312"/>
          <w:color w:val="auto"/>
          <w:sz w:val="28"/>
          <w:lang w:val="en-US" w:eastAsia="zh-CN"/>
        </w:rPr>
        <w:t>单位：石家庄市桥西区司法局</w:t>
      </w:r>
      <w:r>
        <w:rPr>
          <w:rFonts w:hint="eastAsia" w:ascii="楷体_GB2312" w:hAnsi="楷体_GB2312" w:eastAsia="楷体_GB2312" w:cs="Arial"/>
          <w:color w:val="auto"/>
          <w:sz w:val="28"/>
          <w:lang w:val="en-US" w:eastAsia="zh-CN"/>
        </w:rPr>
        <w:t>（公章）</w:t>
      </w:r>
    </w:p>
    <w:tbl>
      <w:tblPr>
        <w:tblStyle w:val="3"/>
        <w:tblW w:w="154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0"/>
        <w:gridCol w:w="3352"/>
        <w:gridCol w:w="7626"/>
        <w:gridCol w:w="2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1520" w:type="dxa"/>
            <w:vAlign w:val="center"/>
          </w:tcPr>
          <w:p>
            <w:pPr>
              <w:autoSpaceDE w:val="0"/>
              <w:autoSpaceDN w:val="0"/>
              <w:adjustRightInd w:val="0"/>
              <w:ind w:left="0" w:leftChars="0" w:right="0" w:rightChars="0" w:firstLine="0" w:firstLineChars="0"/>
              <w:jc w:val="center"/>
              <w:rPr>
                <w:rFonts w:hint="eastAsia" w:ascii="黑体" w:hAnsi="黑体" w:eastAsia="黑体"/>
                <w:color w:val="auto"/>
                <w:sz w:val="32"/>
                <w:vertAlign w:val="baseline"/>
                <w:lang w:val="en-US" w:eastAsia="zh-CN"/>
              </w:rPr>
            </w:pPr>
            <w:r>
              <w:rPr>
                <w:rFonts w:hint="eastAsia" w:ascii="黑体" w:hAnsi="黑体" w:eastAsia="黑体"/>
                <w:color w:val="auto"/>
                <w:sz w:val="32"/>
                <w:szCs w:val="28"/>
                <w:lang w:val="zh-CN"/>
              </w:rPr>
              <w:t>总序号</w:t>
            </w:r>
          </w:p>
        </w:tc>
        <w:tc>
          <w:tcPr>
            <w:tcW w:w="3352" w:type="dxa"/>
            <w:vAlign w:val="center"/>
          </w:tcPr>
          <w:p>
            <w:pPr>
              <w:autoSpaceDE w:val="0"/>
              <w:autoSpaceDN w:val="0"/>
              <w:adjustRightInd w:val="0"/>
              <w:ind w:left="0" w:leftChars="0" w:right="0" w:rightChars="0" w:firstLine="0" w:firstLineChars="0"/>
              <w:jc w:val="center"/>
              <w:rPr>
                <w:rFonts w:hint="eastAsia" w:ascii="黑体" w:hAnsi="黑体" w:eastAsia="黑体"/>
                <w:color w:val="auto"/>
                <w:sz w:val="32"/>
                <w:vertAlign w:val="baseline"/>
                <w:lang w:val="en-US" w:eastAsia="zh-CN"/>
              </w:rPr>
            </w:pPr>
            <w:r>
              <w:rPr>
                <w:rFonts w:hint="eastAsia" w:ascii="黑体" w:hAnsi="黑体" w:eastAsia="黑体"/>
                <w:color w:val="auto"/>
                <w:sz w:val="32"/>
                <w:szCs w:val="28"/>
                <w:lang w:val="zh-CN"/>
              </w:rPr>
              <w:t>类别及序号</w:t>
            </w:r>
          </w:p>
        </w:tc>
        <w:tc>
          <w:tcPr>
            <w:tcW w:w="7626" w:type="dxa"/>
            <w:vAlign w:val="center"/>
          </w:tcPr>
          <w:p>
            <w:pPr>
              <w:autoSpaceDE w:val="0"/>
              <w:autoSpaceDN w:val="0"/>
              <w:adjustRightInd w:val="0"/>
              <w:ind w:left="0" w:leftChars="0" w:right="0" w:rightChars="0" w:firstLine="0" w:firstLineChars="0"/>
              <w:jc w:val="center"/>
              <w:rPr>
                <w:rFonts w:hint="eastAsia" w:ascii="黑体" w:hAnsi="黑体" w:eastAsia="黑体"/>
                <w:color w:val="auto"/>
                <w:sz w:val="32"/>
                <w:vertAlign w:val="baseline"/>
                <w:lang w:val="en-US" w:eastAsia="zh-CN"/>
              </w:rPr>
            </w:pPr>
            <w:r>
              <w:rPr>
                <w:rFonts w:hint="eastAsia" w:ascii="黑体" w:hAnsi="黑体" w:eastAsia="黑体"/>
                <w:color w:val="auto"/>
                <w:sz w:val="32"/>
                <w:szCs w:val="28"/>
                <w:lang w:val="zh-CN"/>
              </w:rPr>
              <w:t>项目名称及数量</w:t>
            </w:r>
          </w:p>
        </w:tc>
        <w:tc>
          <w:tcPr>
            <w:tcW w:w="2980" w:type="dxa"/>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黑体" w:hAnsi="黑体" w:eastAsia="黑体"/>
                <w:color w:val="auto"/>
                <w:sz w:val="32"/>
                <w:vertAlign w:val="baseline"/>
                <w:lang w:val="en-US" w:eastAsia="zh-CN"/>
              </w:rPr>
            </w:pPr>
            <w:r>
              <w:rPr>
                <w:rFonts w:hint="eastAsia" w:ascii="黑体" w:hAnsi="黑体" w:eastAsia="黑体"/>
                <w:color w:val="auto"/>
                <w:sz w:val="32"/>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r>
              <w:rPr>
                <w:rFonts w:hint="eastAsia" w:ascii="仿宋_GB2312"/>
                <w:color w:val="auto"/>
                <w:vertAlign w:val="baseline"/>
                <w:lang w:val="en-US" w:eastAsia="zh-CN"/>
              </w:rPr>
              <w:t>一、行政许可</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r>
              <w:rPr>
                <w:rFonts w:hint="eastAsia" w:ascii="仿宋_GB2312"/>
                <w:color w:val="auto"/>
                <w:vertAlign w:val="baseline"/>
                <w:lang w:val="en-US" w:eastAsia="zh-CN"/>
              </w:rPr>
              <w:t>共0项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r>
              <w:rPr>
                <w:rFonts w:hint="eastAsia" w:ascii="仿宋_GB2312"/>
                <w:color w:val="auto"/>
                <w:vertAlign w:val="baseline"/>
                <w:lang w:val="en-US" w:eastAsia="zh-CN"/>
              </w:rPr>
              <w:t>二、行政处罚</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r>
              <w:rPr>
                <w:rFonts w:hint="eastAsia" w:ascii="仿宋_GB2312"/>
                <w:color w:val="auto"/>
                <w:vertAlign w:val="baseline"/>
                <w:lang w:val="en-US" w:eastAsia="zh-CN"/>
              </w:rPr>
              <w:t>共7项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1</w:t>
            </w:r>
          </w:p>
        </w:tc>
        <w:tc>
          <w:tcPr>
            <w:tcW w:w="3352" w:type="dxa"/>
            <w:shd w:val="clear" w:color="auto" w:fill="auto"/>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kern w:val="2"/>
                <w:sz w:val="32"/>
                <w:szCs w:val="32"/>
                <w:vertAlign w:val="baseline"/>
                <w:lang w:val="en-US" w:eastAsia="zh-CN"/>
              </w:rPr>
            </w:pPr>
            <w:r>
              <w:rPr>
                <w:rFonts w:hint="eastAsia" w:ascii="CESI仿宋-GB2312" w:hAnsi="CESI仿宋-GB2312" w:eastAsia="CESI仿宋-GB2312" w:cs="CESI仿宋-GB2312"/>
                <w:color w:val="auto"/>
                <w:kern w:val="2"/>
                <w:sz w:val="32"/>
                <w:szCs w:val="32"/>
                <w:vertAlign w:val="baseline"/>
                <w:lang w:val="en-US" w:eastAsia="zh-CN"/>
              </w:rPr>
              <w:t>1</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对基层法律服务所无正当理由拒绝履行法律援助义务或者怠于履行法律援助义务等行为的行政处罚</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2</w:t>
            </w:r>
          </w:p>
        </w:tc>
        <w:tc>
          <w:tcPr>
            <w:tcW w:w="3352" w:type="dxa"/>
            <w:shd w:val="clear" w:color="auto" w:fill="auto"/>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kern w:val="2"/>
                <w:sz w:val="32"/>
                <w:szCs w:val="32"/>
                <w:vertAlign w:val="baseline"/>
                <w:lang w:val="en-US" w:eastAsia="zh-CN"/>
              </w:rPr>
            </w:pPr>
            <w:r>
              <w:rPr>
                <w:rFonts w:hint="eastAsia" w:ascii="CESI仿宋-GB2312" w:hAnsi="CESI仿宋-GB2312" w:eastAsia="CESI仿宋-GB2312" w:cs="CESI仿宋-GB2312"/>
                <w:color w:val="auto"/>
                <w:kern w:val="2"/>
                <w:sz w:val="32"/>
                <w:szCs w:val="32"/>
                <w:vertAlign w:val="baseline"/>
                <w:lang w:val="en-US" w:eastAsia="zh-CN"/>
              </w:rPr>
              <w:t>2</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对基层法律服务工作者无正当理由拒绝履行法律援助义务或者怠于履行法律援助义务等行为的行政处罚</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6"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3</w:t>
            </w:r>
          </w:p>
        </w:tc>
        <w:tc>
          <w:tcPr>
            <w:tcW w:w="3352" w:type="dxa"/>
            <w:shd w:val="clear" w:color="auto" w:fill="auto"/>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kern w:val="2"/>
                <w:sz w:val="32"/>
                <w:szCs w:val="32"/>
                <w:vertAlign w:val="baseline"/>
                <w:lang w:val="en-US" w:eastAsia="zh-CN"/>
              </w:rPr>
            </w:pPr>
            <w:r>
              <w:rPr>
                <w:rFonts w:hint="eastAsia" w:ascii="CESI仿宋-GB2312" w:hAnsi="CESI仿宋-GB2312" w:eastAsia="CESI仿宋-GB2312" w:cs="CESI仿宋-GB2312"/>
                <w:color w:val="auto"/>
                <w:kern w:val="2"/>
                <w:sz w:val="32"/>
                <w:szCs w:val="32"/>
                <w:vertAlign w:val="baseline"/>
                <w:lang w:val="en-US" w:eastAsia="zh-CN"/>
              </w:rPr>
              <w:t>3</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对基层法律服务工作者冒用法律援助名义提供法律服务并谋取利益行为的行政处罚</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6"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4</w:t>
            </w:r>
          </w:p>
        </w:tc>
        <w:tc>
          <w:tcPr>
            <w:tcW w:w="3352" w:type="dxa"/>
            <w:shd w:val="clear" w:color="auto" w:fill="auto"/>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4</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对基层法律服务所超越业务范围和诉讼代理执业区域行为的行政处罚</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仿宋_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5</w:t>
            </w:r>
          </w:p>
        </w:tc>
        <w:tc>
          <w:tcPr>
            <w:tcW w:w="3352" w:type="dxa"/>
            <w:shd w:val="clear" w:color="auto" w:fill="auto"/>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5</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对基层法律服务工作者超越业务范围和诉讼代理执业区域执业等行为的行政处罚</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6</w:t>
            </w:r>
          </w:p>
        </w:tc>
        <w:tc>
          <w:tcPr>
            <w:tcW w:w="3352" w:type="dxa"/>
            <w:shd w:val="clear" w:color="auto" w:fill="auto"/>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6</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对没有取得律师执业证书的人员以律师名义从事法律服务业务行为的行政处罚</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7</w:t>
            </w:r>
          </w:p>
        </w:tc>
        <w:tc>
          <w:tcPr>
            <w:tcW w:w="3352" w:type="dxa"/>
            <w:shd w:val="clear" w:color="auto" w:fill="auto"/>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7</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对司法鉴定机构超出其职责范围从事司法鉴定，从事与其技术能力不相称的司法鉴定的行政处罚</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lang w:eastAsia="zh-CN"/>
              </w:rPr>
              <w:t>三、</w:t>
            </w:r>
            <w:r>
              <w:rPr>
                <w:rFonts w:hint="eastAsia" w:ascii="CESI仿宋-GB2312" w:hAnsi="CESI仿宋-GB2312" w:eastAsia="CESI仿宋-GB2312" w:cs="CESI仿宋-GB2312"/>
                <w:color w:val="auto"/>
                <w:sz w:val="32"/>
                <w:szCs w:val="32"/>
              </w:rPr>
              <w:t>行政强制</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共0项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lang w:eastAsia="zh-CN"/>
              </w:rPr>
              <w:t>四</w:t>
            </w:r>
            <w:r>
              <w:rPr>
                <w:rFonts w:hint="eastAsia" w:ascii="CESI仿宋-GB2312" w:hAnsi="CESI仿宋-GB2312" w:eastAsia="CESI仿宋-GB2312" w:cs="CESI仿宋-GB2312"/>
                <w:color w:val="auto"/>
                <w:sz w:val="32"/>
                <w:szCs w:val="32"/>
              </w:rPr>
              <w:t>、行政征收</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b/>
                <w:bCs/>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共0项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lang w:eastAsia="zh-CN"/>
              </w:rPr>
              <w:t>五</w:t>
            </w:r>
            <w:r>
              <w:rPr>
                <w:rFonts w:hint="eastAsia" w:ascii="CESI仿宋-GB2312" w:hAnsi="CESI仿宋-GB2312" w:eastAsia="CESI仿宋-GB2312" w:cs="CESI仿宋-GB2312"/>
                <w:color w:val="auto"/>
                <w:sz w:val="32"/>
                <w:szCs w:val="32"/>
              </w:rPr>
              <w:t>、行政给付</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共0项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lang w:eastAsia="zh-CN"/>
              </w:rPr>
              <w:t>六、行政检查</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共4项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8</w:t>
            </w: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1</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对律师事务所及其律师的行政检查</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9</w:t>
            </w: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2</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对司法鉴定机构及其鉴定人的监督检查</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default"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10</w:t>
            </w: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default"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3</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对基层法律服务所年检初审的检查</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default"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11</w:t>
            </w: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default"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4</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对基层法律服务工作者检查</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lang w:eastAsia="zh-CN"/>
              </w:rPr>
              <w:t>七</w:t>
            </w:r>
            <w:r>
              <w:rPr>
                <w:rFonts w:hint="eastAsia" w:ascii="CESI仿宋-GB2312" w:hAnsi="CESI仿宋-GB2312" w:eastAsia="CESI仿宋-GB2312" w:cs="CESI仿宋-GB2312"/>
                <w:color w:val="auto"/>
                <w:sz w:val="32"/>
                <w:szCs w:val="32"/>
              </w:rPr>
              <w:t>、行政确认</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共0项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lang w:eastAsia="zh-CN"/>
              </w:rPr>
              <w:t>八、</w:t>
            </w:r>
            <w:r>
              <w:rPr>
                <w:rFonts w:hint="eastAsia" w:ascii="CESI仿宋-GB2312" w:hAnsi="CESI仿宋-GB2312" w:eastAsia="CESI仿宋-GB2312" w:cs="CESI仿宋-GB2312"/>
                <w:color w:val="auto"/>
                <w:sz w:val="32"/>
                <w:szCs w:val="32"/>
              </w:rPr>
              <w:t>行政奖励</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共0项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lang w:eastAsia="zh-CN"/>
              </w:rPr>
              <w:t>九</w:t>
            </w:r>
            <w:r>
              <w:rPr>
                <w:rFonts w:hint="eastAsia" w:ascii="CESI仿宋-GB2312" w:hAnsi="CESI仿宋-GB2312" w:eastAsia="CESI仿宋-GB2312" w:cs="CESI仿宋-GB2312"/>
                <w:color w:val="auto"/>
                <w:sz w:val="32"/>
                <w:szCs w:val="32"/>
              </w:rPr>
              <w:t>、行政</w:t>
            </w:r>
            <w:r>
              <w:rPr>
                <w:rFonts w:hint="eastAsia" w:ascii="CESI仿宋-GB2312" w:hAnsi="CESI仿宋-GB2312" w:eastAsia="CESI仿宋-GB2312" w:cs="CESI仿宋-GB2312"/>
                <w:color w:val="auto"/>
                <w:sz w:val="32"/>
                <w:szCs w:val="32"/>
                <w:lang w:eastAsia="zh-CN"/>
              </w:rPr>
              <w:t>裁决</w:t>
            </w:r>
          </w:p>
        </w:tc>
        <w:tc>
          <w:tcPr>
            <w:tcW w:w="7626"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共0项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2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c>
          <w:tcPr>
            <w:tcW w:w="3352" w:type="dxa"/>
            <w:vAlign w:val="center"/>
          </w:tcPr>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仿宋_GB2312" w:hAnsi="Times New Roman" w:eastAsia="仿宋_GB2312" w:cs="Times New Roman"/>
                <w:kern w:val="2"/>
                <w:sz w:val="32"/>
                <w:szCs w:val="32"/>
                <w:lang w:val="en-US" w:eastAsia="zh-CN"/>
              </w:rPr>
            </w:pPr>
            <w:r>
              <w:rPr>
                <w:rFonts w:hint="eastAsia" w:ascii="仿宋_GB2312"/>
                <w:lang w:eastAsia="zh-CN"/>
              </w:rPr>
              <w:t>十、</w:t>
            </w:r>
            <w:r>
              <w:rPr>
                <w:rFonts w:hint="eastAsia" w:ascii="仿宋_GB2312"/>
              </w:rPr>
              <w:t>其他</w:t>
            </w:r>
            <w:r>
              <w:rPr>
                <w:rFonts w:hint="eastAsia" w:ascii="仿宋_GB2312"/>
                <w:lang w:eastAsia="zh-CN"/>
              </w:rPr>
              <w:t>类</w:t>
            </w:r>
          </w:p>
        </w:tc>
        <w:tc>
          <w:tcPr>
            <w:tcW w:w="7626" w:type="dxa"/>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hAnsi="Times New Roman" w:eastAsia="仿宋_GB2312" w:cs="Times New Roman"/>
                <w:kern w:val="2"/>
                <w:sz w:val="32"/>
                <w:szCs w:val="32"/>
                <w:vertAlign w:val="baseline"/>
                <w:lang w:val="en-US" w:eastAsia="zh-CN"/>
              </w:rPr>
            </w:pPr>
            <w:r>
              <w:rPr>
                <w:rFonts w:hint="eastAsia" w:ascii="仿宋_GB2312"/>
                <w:vertAlign w:val="baseline"/>
                <w:lang w:val="en-US" w:eastAsia="zh-CN"/>
              </w:rPr>
              <w:t>共1项</w:t>
            </w:r>
          </w:p>
        </w:tc>
        <w:tc>
          <w:tcPr>
            <w:tcW w:w="2980" w:type="dxa"/>
            <w:vAlign w:val="center"/>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default" w:ascii="CESI仿宋-GB2312" w:hAnsi="CESI仿宋-GB2312" w:eastAsia="CESI仿宋-GB2312" w:cs="CESI仿宋-GB2312"/>
                <w:color w:val="auto"/>
                <w:sz w:val="32"/>
                <w:szCs w:val="32"/>
                <w:vertAlign w:val="baseline"/>
                <w:lang w:val="en-US" w:eastAsia="zh-CN"/>
              </w:rPr>
            </w:pPr>
            <w:r>
              <w:rPr>
                <w:rFonts w:hint="eastAsia" w:ascii="CESI仿宋-GB2312" w:hAnsi="CESI仿宋-GB2312" w:eastAsia="CESI仿宋-GB2312" w:cs="CESI仿宋-GB2312"/>
                <w:color w:val="auto"/>
                <w:sz w:val="32"/>
                <w:szCs w:val="32"/>
                <w:vertAlign w:val="baseline"/>
                <w:lang w:val="en-US" w:eastAsia="zh-CN"/>
              </w:rPr>
              <w:t>12</w:t>
            </w:r>
          </w:p>
        </w:tc>
        <w:tc>
          <w:tcPr>
            <w:tcW w:w="0" w:type="auto"/>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hAnsi="Times New Roman" w:eastAsia="仿宋_GB2312" w:cs="Times New Roman"/>
                <w:kern w:val="2"/>
                <w:sz w:val="32"/>
                <w:szCs w:val="32"/>
                <w:lang w:val="en-US" w:eastAsia="zh-CN"/>
              </w:rPr>
            </w:pPr>
            <w:r>
              <w:rPr>
                <w:rFonts w:hint="eastAsia" w:ascii="仿宋_GB2312"/>
                <w:lang w:val="en-US" w:eastAsia="zh-CN"/>
              </w:rPr>
              <w:t>1</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20" w:lineRule="exact"/>
              <w:ind w:right="0" w:rightChars="0"/>
              <w:jc w:val="center"/>
              <w:textAlignment w:val="auto"/>
              <w:rPr>
                <w:rFonts w:hint="eastAsia" w:ascii="仿宋_GB2312" w:hAnsi="Times New Roman" w:eastAsia="仿宋_GB2312" w:cs="Times New Roman"/>
                <w:kern w:val="2"/>
                <w:sz w:val="32"/>
                <w:szCs w:val="32"/>
                <w:vertAlign w:val="baseline"/>
                <w:lang w:val="en-US" w:eastAsia="zh-CN"/>
              </w:rPr>
            </w:pPr>
            <w:r>
              <w:rPr>
                <w:rFonts w:hint="eastAsia" w:ascii="仿宋_GB2312" w:hAnsi="仿宋_GB2312" w:eastAsia="仿宋_GB2312" w:cs="仿宋_GB2312"/>
                <w:sz w:val="32"/>
                <w:szCs w:val="32"/>
                <w:lang w:val="en-US" w:eastAsia="zh-CN"/>
              </w:rPr>
              <w:t>对公民法律援助申请的审批</w:t>
            </w:r>
          </w:p>
        </w:tc>
        <w:tc>
          <w:tcPr>
            <w:tcW w:w="0" w:type="auto"/>
          </w:tcPr>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460" w:lineRule="exact"/>
              <w:ind w:right="0" w:rightChars="0"/>
              <w:jc w:val="center"/>
              <w:textAlignment w:val="auto"/>
              <w:rPr>
                <w:rFonts w:hint="eastAsia" w:ascii="CESI仿宋-GB2312" w:hAnsi="CESI仿宋-GB2312" w:eastAsia="CESI仿宋-GB2312" w:cs="CESI仿宋-GB2312"/>
                <w:color w:val="auto"/>
                <w:sz w:val="32"/>
                <w:szCs w:val="32"/>
                <w:vertAlign w:val="baseline"/>
                <w:lang w:val="en-US" w:eastAsia="zh-CN"/>
              </w:rPr>
            </w:pPr>
          </w:p>
        </w:tc>
      </w:tr>
    </w:tbl>
    <w:p>
      <w:pPr>
        <w:rPr>
          <w:rFonts w:hint="eastAsia" w:eastAsia="仿宋_GB2312"/>
          <w:color w:val="auto"/>
          <w:lang w:val="en-US" w:eastAsia="zh-CN"/>
        </w:rPr>
      </w:pPr>
    </w:p>
    <w:p>
      <w:pPr>
        <w:rPr>
          <w:rFonts w:hint="eastAsia" w:eastAsia="仿宋_GB2312"/>
          <w:color w:val="auto"/>
          <w:lang w:val="en-US" w:eastAsia="zh-CN"/>
        </w:rPr>
      </w:pPr>
    </w:p>
    <w:p>
      <w:pPr>
        <w:rPr>
          <w:rFonts w:hint="eastAsia" w:eastAsia="仿宋_GB2312"/>
          <w:color w:val="auto"/>
          <w:lang w:val="en-US" w:eastAsia="zh-CN"/>
        </w:rPr>
      </w:pPr>
    </w:p>
    <w:p>
      <w:pPr>
        <w:rPr>
          <w:rFonts w:hint="eastAsia" w:eastAsia="仿宋_GB2312"/>
          <w:color w:val="auto"/>
          <w:lang w:val="en-US" w:eastAsia="zh-CN"/>
        </w:rPr>
      </w:pP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黑体" w:hAnsi="黑体" w:eastAsia="黑体"/>
          <w:lang w:val="en-US" w:eastAsia="zh-CN"/>
        </w:rPr>
        <w:t>附件2</w:t>
      </w:r>
    </w:p>
    <w:p>
      <w:pPr>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sz w:val="36"/>
          <w:lang w:val="en-US" w:eastAsia="zh-CN"/>
        </w:rPr>
        <w:t>司法局权责清单事项分表</w:t>
      </w:r>
    </w:p>
    <w:p>
      <w:pPr>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（共3类、12项）</w:t>
      </w:r>
    </w:p>
    <w:p>
      <w:pPr>
        <w:keepNext w:val="0"/>
        <w:keepLines w:val="0"/>
        <w:pageBreakBefore w:val="0"/>
        <w:kinsoku/>
        <w:wordWrap/>
        <w:overflowPunct/>
        <w:topLinePunct w:val="0"/>
        <w:autoSpaceDE/>
        <w:autoSpaceDN/>
        <w:bidi w:val="0"/>
        <w:adjustRightInd/>
        <w:snapToGrid/>
        <w:spacing w:before="0" w:beforeLines="0" w:after="0" w:afterLines="0" w:line="36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w:t>
      </w:r>
      <w:r>
        <w:rPr>
          <w:rFonts w:hint="eastAsia" w:ascii="楷体_GB2312" w:hAnsi="楷体_GB2312" w:eastAsia="楷体_GB2312" w:cs="Arial"/>
          <w:sz w:val="28"/>
          <w:lang w:val="en-US" w:eastAsia="zh-CN"/>
        </w:rPr>
        <w:t>桥西区司法局（公章）</w:t>
      </w:r>
    </w:p>
    <w:tbl>
      <w:tblPr>
        <w:tblStyle w:val="3"/>
        <w:tblW w:w="138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928"/>
        <w:gridCol w:w="1684"/>
        <w:gridCol w:w="1776"/>
        <w:gridCol w:w="2487"/>
        <w:gridCol w:w="2388"/>
        <w:gridCol w:w="2550"/>
        <w:gridCol w:w="1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序号</w:t>
            </w:r>
          </w:p>
        </w:tc>
        <w:tc>
          <w:tcPr>
            <w:tcW w:w="92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权力类型</w:t>
            </w:r>
          </w:p>
        </w:tc>
        <w:tc>
          <w:tcPr>
            <w:tcW w:w="1684"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权力事项</w:t>
            </w:r>
          </w:p>
        </w:tc>
        <w:tc>
          <w:tcPr>
            <w:tcW w:w="1776"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行政主体</w:t>
            </w:r>
          </w:p>
        </w:tc>
        <w:tc>
          <w:tcPr>
            <w:tcW w:w="2487"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实施依据</w:t>
            </w:r>
          </w:p>
        </w:tc>
        <w:tc>
          <w:tcPr>
            <w:tcW w:w="238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责任事项</w:t>
            </w:r>
          </w:p>
        </w:tc>
        <w:tc>
          <w:tcPr>
            <w:tcW w:w="2550"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追责情形</w:t>
            </w:r>
          </w:p>
        </w:tc>
        <w:tc>
          <w:tcPr>
            <w:tcW w:w="1250"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1</w:t>
            </w:r>
          </w:p>
        </w:tc>
        <w:tc>
          <w:tcPr>
            <w:tcW w:w="928" w:type="dxa"/>
            <w:vAlign w:val="center"/>
          </w:tcPr>
          <w:p>
            <w:pPr>
              <w:keepNext w:val="0"/>
              <w:keepLines w:val="0"/>
              <w:pageBreakBefore w:val="0"/>
              <w:widowControl w:val="0"/>
              <w:kinsoku/>
              <w:wordWrap/>
              <w:overflowPunct/>
              <w:topLinePunct w:val="0"/>
              <w:autoSpaceDE/>
              <w:bidi w:val="0"/>
              <w:adjustRightInd/>
              <w:snapToGrid/>
              <w:spacing w:line="240" w:lineRule="exact"/>
              <w:jc w:val="center"/>
              <w:rPr>
                <w:rFonts w:hint="eastAsia" w:ascii="华文仿宋" w:hAnsi="华文仿宋" w:eastAsia="华文仿宋" w:cs="华文仿宋"/>
                <w:kern w:val="2"/>
                <w:sz w:val="15"/>
                <w:szCs w:val="15"/>
                <w:vertAlign w:val="baseline"/>
                <w:lang w:val="en-US" w:eastAsia="zh-CN" w:bidi="ar-SA"/>
              </w:rPr>
            </w:pPr>
            <w:r>
              <w:rPr>
                <w:rFonts w:hint="eastAsia" w:ascii="华文仿宋" w:hAnsi="华文仿宋" w:eastAsia="华文仿宋" w:cs="华文仿宋"/>
                <w:sz w:val="15"/>
                <w:szCs w:val="15"/>
                <w:lang w:eastAsia="zh-CN"/>
              </w:rPr>
              <w:t>行政处罚</w:t>
            </w:r>
          </w:p>
        </w:tc>
        <w:tc>
          <w:tcPr>
            <w:tcW w:w="1684" w:type="dxa"/>
            <w:vAlign w:val="center"/>
          </w:tcPr>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vertAlign w:val="baseline"/>
                <w:lang w:val="en-US" w:eastAsia="zh-CN" w:bidi="ar-SA"/>
              </w:rPr>
            </w:pPr>
            <w:r>
              <w:rPr>
                <w:rFonts w:hint="eastAsia" w:ascii="华文仿宋" w:hAnsi="华文仿宋" w:eastAsia="华文仿宋" w:cs="华文仿宋"/>
                <w:sz w:val="15"/>
                <w:szCs w:val="15"/>
                <w:lang w:val="en-US" w:eastAsia="zh-CN"/>
              </w:rPr>
              <w:t>对基层法律服务所无正当理由拒绝履行法律援助义务或者怠于履行法律援助义务等行为的行政处罚</w:t>
            </w:r>
          </w:p>
        </w:tc>
        <w:tc>
          <w:tcPr>
            <w:tcW w:w="1776"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kern w:val="2"/>
                <w:sz w:val="15"/>
                <w:szCs w:val="15"/>
                <w:vertAlign w:val="baseline"/>
                <w:lang w:val="en-US" w:eastAsia="zh-CN"/>
              </w:rPr>
              <w:t>区司法局</w:t>
            </w:r>
          </w:p>
        </w:tc>
        <w:tc>
          <w:tcPr>
            <w:tcW w:w="2487"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sz w:val="15"/>
                <w:szCs w:val="15"/>
                <w:lang w:val="en-US" w:eastAsia="zh-CN"/>
              </w:rPr>
            </w:pPr>
            <w:r>
              <w:rPr>
                <w:rFonts w:hint="eastAsia" w:ascii="华文仿宋" w:hAnsi="华文仿宋" w:eastAsia="华文仿宋" w:cs="华文仿宋"/>
                <w:sz w:val="15"/>
                <w:szCs w:val="15"/>
                <w:lang w:val="en-US" w:eastAsia="zh-CN"/>
              </w:rPr>
              <w:t>《中华人民共和国法律援助法》第六十二条 律师事务所、基层法律服务所有下列情形之一的，由司法行政部门依法给予处罚：（一）无正当理由拒绝接受法律援助机构指派；（二）接受指派后，不及时安排本所律师、基层法律服务工作者办理法律援助事项或者拒绝为本所律师、基层法律服务工作者办理法律援助事项提供支持和保障；（三）纵容或者放任本所律师、基层法律服务工作者怠于履行法律援助义务或者擅自终止提供法律援助；（四）法律法规规定的其他情形。</w:t>
            </w:r>
          </w:p>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sz w:val="15"/>
                <w:szCs w:val="15"/>
                <w:lang w:val="en-US" w:eastAsia="zh-CN"/>
              </w:rPr>
              <w:t>《基层法律服务所管理办法》第三十六条 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r>
              <w:rPr>
                <w:rFonts w:hint="eastAsia" w:ascii="华文仿宋" w:hAnsi="华文仿宋" w:eastAsia="华文仿宋" w:cs="华文仿宋"/>
                <w:i w:val="0"/>
                <w:iCs w:val="0"/>
                <w:color w:val="auto"/>
                <w:kern w:val="0"/>
                <w:sz w:val="15"/>
                <w:szCs w:val="15"/>
                <w:u w:val="none"/>
                <w:lang w:val="en-US" w:eastAsia="zh-CN" w:bidi="ar"/>
              </w:rPr>
              <w:t>（十二）法律、法规、规章规定应予处罚的其他行为。</w:t>
            </w:r>
          </w:p>
        </w:tc>
        <w:tc>
          <w:tcPr>
            <w:tcW w:w="2388"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sz w:val="15"/>
                <w:szCs w:val="15"/>
                <w:lang w:val="en-US" w:eastAsia="zh-CN"/>
              </w:rPr>
              <w:t>1.</w:t>
            </w:r>
            <w:r>
              <w:rPr>
                <w:rFonts w:hint="eastAsia" w:ascii="华文仿宋" w:hAnsi="华文仿宋" w:eastAsia="华文仿宋" w:cs="华文仿宋"/>
                <w:sz w:val="15"/>
                <w:szCs w:val="15"/>
              </w:rPr>
              <w:t>立案责任：对依据监督检查职权或者通过举报、投诉、其他部门移送、上级部门交办等途径发现的违法行为线索，决定是否立案。2.调查责任：在调查或检查时，执法人员不得少于两人，出示证件，询问或检查应制作笔录；执法人员有直接利害关系的，应当回避。3.审查责任：对违法事实、收集的证据、办案的程序、法律适用、处罚种类和幅度、当事人的陈述申辩理由等进行审查，提出处理意见；对情节复杂或者重大违法行为给予较重的行政处罚，行政机关的负责人应当集体讨论决定。4.告知责任：在作出处罚决定之前，应当告知当事人作出处罚决定的事由、理由及依据，并告知当事人依法享有的权利；当事人依法要求听证的，应组织听证。5.决定责任：依法应当给予行政处罚的，制作盖有行政机关印章的行政处罚决定书，载明违法事实、证据、处罚种类和依据、权利救济途径等内容。6.送达责任：行政处罚决定书</w:t>
            </w:r>
            <w:r>
              <w:rPr>
                <w:rFonts w:hint="eastAsia" w:ascii="华文仿宋" w:hAnsi="华文仿宋" w:eastAsia="华文仿宋" w:cs="华文仿宋"/>
                <w:sz w:val="15"/>
                <w:szCs w:val="15"/>
                <w:lang w:eastAsia="zh-CN"/>
              </w:rPr>
              <w:t>按</w:t>
            </w:r>
            <w:r>
              <w:rPr>
                <w:rFonts w:hint="eastAsia" w:ascii="华文仿宋" w:hAnsi="华文仿宋" w:eastAsia="华文仿宋" w:cs="华文仿宋"/>
                <w:sz w:val="15"/>
                <w:szCs w:val="15"/>
              </w:rPr>
              <w:t>有关规定送达当事人。7.法律法规规章文件规定应履行的其他责任。</w:t>
            </w:r>
          </w:p>
        </w:tc>
        <w:tc>
          <w:tcPr>
            <w:tcW w:w="2550" w:type="dxa"/>
            <w:vAlign w:val="center"/>
          </w:tcPr>
          <w:p>
            <w:pPr>
              <w:keepNext w:val="0"/>
              <w:keepLines w:val="0"/>
              <w:pageBreakBefore w:val="0"/>
              <w:widowControl w:val="0"/>
              <w:tabs>
                <w:tab w:val="left" w:pos="7937"/>
              </w:tabs>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b w:val="0"/>
                <w:bCs w:val="0"/>
                <w:i w:val="0"/>
                <w:snapToGrid/>
                <w:color w:val="auto"/>
                <w:sz w:val="15"/>
                <w:szCs w:val="15"/>
                <w:highlight w:val="none"/>
                <w:u w:val="none"/>
                <w:lang w:eastAsia="zh-CN"/>
              </w:rPr>
            </w:pPr>
            <w:r>
              <w:rPr>
                <w:rFonts w:hint="eastAsia" w:ascii="华文仿宋" w:hAnsi="华文仿宋" w:eastAsia="华文仿宋" w:cs="华文仿宋"/>
                <w:color w:val="auto"/>
                <w:sz w:val="15"/>
                <w:szCs w:val="15"/>
              </w:rPr>
              <w:t>因不履行或不正确履行行政职责，有下列情形的，行政机关及相关工作人员应承担相应责任：1</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没有法律和事实依据实施行政处罚的；2</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行政处罚显失公正的；3</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执法人员玩忽职守，对应当予以制止和处罚的违法行为不予制止、处罚；4</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不具备行政执法资格实施行政处罚的；5</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在制止以及查处违法案件中受阻，依照有关规定应当向本级人民政府或者上级主管部门报告而未报告的；6</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应当依法移送追究刑事责任，而未依法移送有权机关的；</w:t>
            </w:r>
            <w:r>
              <w:rPr>
                <w:rFonts w:hint="eastAsia" w:ascii="华文仿宋" w:hAnsi="华文仿宋" w:eastAsia="华文仿宋" w:cs="华文仿宋"/>
                <w:color w:val="auto"/>
                <w:sz w:val="15"/>
                <w:szCs w:val="15"/>
                <w:lang w:val="en-US" w:eastAsia="zh-CN"/>
              </w:rPr>
              <w:t>7.</w:t>
            </w:r>
            <w:r>
              <w:rPr>
                <w:rFonts w:hint="eastAsia" w:ascii="华文仿宋" w:hAnsi="华文仿宋" w:eastAsia="华文仿宋" w:cs="华文仿宋"/>
                <w:color w:val="auto"/>
                <w:sz w:val="15"/>
                <w:szCs w:val="15"/>
              </w:rPr>
              <w:t>擅自改变行政处罚种类、幅度的；</w:t>
            </w:r>
            <w:r>
              <w:rPr>
                <w:rFonts w:hint="eastAsia" w:ascii="华文仿宋" w:hAnsi="华文仿宋" w:eastAsia="华文仿宋" w:cs="华文仿宋"/>
                <w:color w:val="auto"/>
                <w:sz w:val="15"/>
                <w:szCs w:val="15"/>
                <w:lang w:val="en-US" w:eastAsia="zh-CN"/>
              </w:rPr>
              <w:t>8.</w:t>
            </w:r>
            <w:r>
              <w:rPr>
                <w:rFonts w:hint="eastAsia" w:ascii="华文仿宋" w:hAnsi="华文仿宋" w:eastAsia="华文仿宋" w:cs="华文仿宋"/>
                <w:color w:val="auto"/>
                <w:sz w:val="15"/>
                <w:szCs w:val="15"/>
              </w:rPr>
              <w:t>违反法定的行政处罚程序的；</w:t>
            </w:r>
            <w:r>
              <w:rPr>
                <w:rFonts w:hint="eastAsia" w:ascii="华文仿宋" w:hAnsi="华文仿宋" w:eastAsia="华文仿宋" w:cs="华文仿宋"/>
                <w:color w:val="auto"/>
                <w:sz w:val="15"/>
                <w:szCs w:val="15"/>
                <w:lang w:val="en-US" w:eastAsia="zh-CN"/>
              </w:rPr>
              <w:t>9.</w:t>
            </w:r>
            <w:r>
              <w:rPr>
                <w:rFonts w:hint="eastAsia" w:ascii="华文仿宋" w:hAnsi="华文仿宋" w:eastAsia="华文仿宋" w:cs="华文仿宋"/>
                <w:color w:val="auto"/>
                <w:sz w:val="15"/>
                <w:szCs w:val="15"/>
              </w:rPr>
              <w:t>符合听证条件、行政管理相对人要求听证，应予组织听证而不组织听证的；</w:t>
            </w:r>
            <w:r>
              <w:rPr>
                <w:rFonts w:hint="eastAsia" w:ascii="华文仿宋" w:hAnsi="华文仿宋" w:eastAsia="华文仿宋" w:cs="华文仿宋"/>
                <w:color w:val="auto"/>
                <w:sz w:val="15"/>
                <w:szCs w:val="15"/>
                <w:lang w:val="en-US" w:eastAsia="zh-CN"/>
              </w:rPr>
              <w:t>10.</w:t>
            </w:r>
            <w:r>
              <w:rPr>
                <w:rFonts w:hint="eastAsia" w:ascii="华文仿宋" w:hAnsi="华文仿宋" w:eastAsia="华文仿宋" w:cs="华文仿宋"/>
                <w:color w:val="auto"/>
                <w:sz w:val="15"/>
                <w:szCs w:val="15"/>
              </w:rPr>
              <w:t>在行政处罚过程中发生腐败行为的；</w:t>
            </w:r>
            <w:r>
              <w:rPr>
                <w:rFonts w:hint="eastAsia" w:ascii="华文仿宋" w:hAnsi="华文仿宋" w:eastAsia="华文仿宋" w:cs="华文仿宋"/>
                <w:color w:val="auto"/>
                <w:sz w:val="15"/>
                <w:szCs w:val="15"/>
                <w:lang w:val="en-US" w:eastAsia="zh-CN"/>
              </w:rPr>
              <w:t>11.</w:t>
            </w:r>
            <w:r>
              <w:rPr>
                <w:rFonts w:hint="eastAsia" w:ascii="华文仿宋" w:hAnsi="华文仿宋" w:eastAsia="华文仿宋" w:cs="华文仿宋"/>
                <w:color w:val="auto"/>
                <w:sz w:val="15"/>
                <w:szCs w:val="15"/>
              </w:rPr>
              <w:t>其他违反法律法规规章文件规定的行为。</w:t>
            </w:r>
          </w:p>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vertAlign w:val="baseline"/>
                <w:lang w:val="en-US" w:eastAsia="zh-CN"/>
              </w:rPr>
            </w:pPr>
          </w:p>
        </w:tc>
        <w:tc>
          <w:tcPr>
            <w:tcW w:w="1250" w:type="dxa"/>
            <w:vAlign w:val="center"/>
          </w:tcPr>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2</w:t>
            </w:r>
          </w:p>
        </w:tc>
        <w:tc>
          <w:tcPr>
            <w:tcW w:w="928" w:type="dxa"/>
            <w:vAlign w:val="center"/>
          </w:tcPr>
          <w:p>
            <w:pPr>
              <w:keepNext w:val="0"/>
              <w:keepLines w:val="0"/>
              <w:pageBreakBefore w:val="0"/>
              <w:widowControl w:val="0"/>
              <w:kinsoku/>
              <w:wordWrap/>
              <w:overflowPunct/>
              <w:topLinePunct w:val="0"/>
              <w:autoSpaceDE/>
              <w:bidi w:val="0"/>
              <w:adjustRightInd/>
              <w:snapToGrid/>
              <w:spacing w:line="240" w:lineRule="exact"/>
              <w:jc w:val="center"/>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sz w:val="15"/>
                <w:szCs w:val="15"/>
                <w:lang w:eastAsia="zh-CN"/>
              </w:rPr>
              <w:t>行政处罚</w:t>
            </w:r>
          </w:p>
        </w:tc>
        <w:tc>
          <w:tcPr>
            <w:tcW w:w="1684" w:type="dxa"/>
            <w:vAlign w:val="center"/>
          </w:tcPr>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sz w:val="15"/>
                <w:szCs w:val="15"/>
                <w:lang w:val="en-US" w:eastAsia="zh-CN"/>
              </w:rPr>
              <w:t>对基层法律服务工作者无正当理由拒绝履行法律援助义务或者怠于履行法律援助义务等行为的行政处罚</w:t>
            </w:r>
          </w:p>
        </w:tc>
        <w:tc>
          <w:tcPr>
            <w:tcW w:w="1776"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kern w:val="2"/>
                <w:sz w:val="15"/>
                <w:szCs w:val="15"/>
                <w:vertAlign w:val="baseline"/>
                <w:lang w:val="en-US" w:eastAsia="zh-CN"/>
              </w:rPr>
              <w:t>区司法局</w:t>
            </w:r>
          </w:p>
        </w:tc>
        <w:tc>
          <w:tcPr>
            <w:tcW w:w="2487"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sz w:val="15"/>
                <w:szCs w:val="15"/>
                <w:lang w:val="en-US" w:eastAsia="zh-CN"/>
              </w:rPr>
              <w:t>《中华人民共和国法律援助法》第六十三条 律师、基层法律服务工作者有下列情形之一的，由司法行政部门依法给予处罚：（一）无正当理由拒绝履行法律援助义务或者怠于履行法律援助义务；（二）擅自终止提供法律援助；（三）收取受援人财物；（四）泄露法律援助过程中知悉的国家秘密、商业秘密和个人隐私；（五）法律法规规定的其他情形。</w:t>
            </w:r>
          </w:p>
        </w:tc>
        <w:tc>
          <w:tcPr>
            <w:tcW w:w="2388"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vertAlign w:val="baseline"/>
                <w:lang w:val="en-US" w:eastAsia="zh-CN"/>
              </w:rPr>
            </w:pPr>
            <w:r>
              <w:rPr>
                <w:rFonts w:hint="eastAsia" w:ascii="华文仿宋" w:hAnsi="华文仿宋" w:eastAsia="华文仿宋" w:cs="华文仿宋"/>
                <w:sz w:val="15"/>
                <w:szCs w:val="15"/>
                <w:lang w:val="en-US" w:eastAsia="zh-CN"/>
              </w:rPr>
              <w:t>1.</w:t>
            </w:r>
            <w:r>
              <w:rPr>
                <w:rFonts w:hint="eastAsia" w:ascii="华文仿宋" w:hAnsi="华文仿宋" w:eastAsia="华文仿宋" w:cs="华文仿宋"/>
                <w:sz w:val="15"/>
                <w:szCs w:val="15"/>
              </w:rPr>
              <w:t>立案责任：对依据监督检查职权或者通过举报、投诉、其他部门移送、上级部门交办等途径发现的违法行为线索，决定是否立案。2.调查责任：在调查或检查时，执法人员不得少于两人，出示证件，询问或检查应制作笔录；执法人员有直接利害关系的，应当回避。3.审查责任：对违法事实、收集的证据、办案的程序、法律适用、处罚种类和幅度、当事人的陈述申辩理由等进行审查，提出处理意见；对情节复杂或者重大违法行为给予较重的行政处罚，行政机关的负责人应当集体讨论决定。4.告知责任：在作出处罚决定之前，应当告知当事人作出处罚决定的事由、理由及依据，并告知当事人依法享有的权利；当事人依法要求听证的，应组织听证。5.决定责任：依法应当给予行政处罚的，制作盖有行政机关印章的行政处罚决定书，载明违法事实、证据、处罚种类和依据、权利救济途径等内容。6.送达责任：行政处罚决定书</w:t>
            </w:r>
            <w:r>
              <w:rPr>
                <w:rFonts w:hint="eastAsia" w:ascii="华文仿宋" w:hAnsi="华文仿宋" w:eastAsia="华文仿宋" w:cs="华文仿宋"/>
                <w:sz w:val="15"/>
                <w:szCs w:val="15"/>
                <w:lang w:eastAsia="zh-CN"/>
              </w:rPr>
              <w:t>按</w:t>
            </w:r>
            <w:r>
              <w:rPr>
                <w:rFonts w:hint="eastAsia" w:ascii="华文仿宋" w:hAnsi="华文仿宋" w:eastAsia="华文仿宋" w:cs="华文仿宋"/>
                <w:sz w:val="15"/>
                <w:szCs w:val="15"/>
              </w:rPr>
              <w:t>有关规定送达当事人。7.法律法规规章文件规定应履行的其他责任。</w:t>
            </w:r>
          </w:p>
        </w:tc>
        <w:tc>
          <w:tcPr>
            <w:tcW w:w="2550" w:type="dxa"/>
            <w:vAlign w:val="center"/>
          </w:tcPr>
          <w:p>
            <w:pPr>
              <w:keepNext w:val="0"/>
              <w:keepLines w:val="0"/>
              <w:pageBreakBefore w:val="0"/>
              <w:widowControl w:val="0"/>
              <w:tabs>
                <w:tab w:val="left" w:pos="7937"/>
              </w:tabs>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b w:val="0"/>
                <w:bCs w:val="0"/>
                <w:i w:val="0"/>
                <w:snapToGrid/>
                <w:color w:val="auto"/>
                <w:sz w:val="15"/>
                <w:szCs w:val="15"/>
                <w:highlight w:val="none"/>
                <w:u w:val="none"/>
                <w:lang w:eastAsia="zh-CN"/>
              </w:rPr>
            </w:pPr>
            <w:r>
              <w:rPr>
                <w:rFonts w:hint="eastAsia" w:ascii="华文仿宋" w:hAnsi="华文仿宋" w:eastAsia="华文仿宋" w:cs="华文仿宋"/>
                <w:color w:val="auto"/>
                <w:sz w:val="15"/>
                <w:szCs w:val="15"/>
              </w:rPr>
              <w:t>因不履行或不正确履行行政职责，有下列情形的，行政机关及相关工作人员应承担相应责任：1</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没有法律和事实依据实施行政处罚的；2</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行政处罚显失公正的；3</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执法人员玩忽职守，对应当予以制止和处罚的违法行为不予制止、处罚；4</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不具备行政执法资格实施行政处罚的；5</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在制止以及查处违法案件中受阻，依照有关规定应当向本级人民政府或者上级主管部门报告而未报告的；6</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应当依法移送追究刑事责任，而未依法移送有权机关的；</w:t>
            </w:r>
            <w:r>
              <w:rPr>
                <w:rFonts w:hint="eastAsia" w:ascii="华文仿宋" w:hAnsi="华文仿宋" w:eastAsia="华文仿宋" w:cs="华文仿宋"/>
                <w:color w:val="auto"/>
                <w:sz w:val="15"/>
                <w:szCs w:val="15"/>
                <w:lang w:val="en-US" w:eastAsia="zh-CN"/>
              </w:rPr>
              <w:t>7.</w:t>
            </w:r>
            <w:r>
              <w:rPr>
                <w:rFonts w:hint="eastAsia" w:ascii="华文仿宋" w:hAnsi="华文仿宋" w:eastAsia="华文仿宋" w:cs="华文仿宋"/>
                <w:color w:val="auto"/>
                <w:sz w:val="15"/>
                <w:szCs w:val="15"/>
              </w:rPr>
              <w:t>擅自改变行政处罚种类、幅度的；</w:t>
            </w:r>
            <w:r>
              <w:rPr>
                <w:rFonts w:hint="eastAsia" w:ascii="华文仿宋" w:hAnsi="华文仿宋" w:eastAsia="华文仿宋" w:cs="华文仿宋"/>
                <w:color w:val="auto"/>
                <w:sz w:val="15"/>
                <w:szCs w:val="15"/>
                <w:lang w:val="en-US" w:eastAsia="zh-CN"/>
              </w:rPr>
              <w:t>8.</w:t>
            </w:r>
            <w:r>
              <w:rPr>
                <w:rFonts w:hint="eastAsia" w:ascii="华文仿宋" w:hAnsi="华文仿宋" w:eastAsia="华文仿宋" w:cs="华文仿宋"/>
                <w:color w:val="auto"/>
                <w:sz w:val="15"/>
                <w:szCs w:val="15"/>
              </w:rPr>
              <w:t>违反法定的行政处罚程序的；</w:t>
            </w:r>
            <w:r>
              <w:rPr>
                <w:rFonts w:hint="eastAsia" w:ascii="华文仿宋" w:hAnsi="华文仿宋" w:eastAsia="华文仿宋" w:cs="华文仿宋"/>
                <w:color w:val="auto"/>
                <w:sz w:val="15"/>
                <w:szCs w:val="15"/>
                <w:lang w:val="en-US" w:eastAsia="zh-CN"/>
              </w:rPr>
              <w:t>9.</w:t>
            </w:r>
            <w:r>
              <w:rPr>
                <w:rFonts w:hint="eastAsia" w:ascii="华文仿宋" w:hAnsi="华文仿宋" w:eastAsia="华文仿宋" w:cs="华文仿宋"/>
                <w:color w:val="auto"/>
                <w:sz w:val="15"/>
                <w:szCs w:val="15"/>
              </w:rPr>
              <w:t>符合听证条件、行政管理相对人要求听证，应予组织听证而不组织听证的；</w:t>
            </w:r>
            <w:r>
              <w:rPr>
                <w:rFonts w:hint="eastAsia" w:ascii="华文仿宋" w:hAnsi="华文仿宋" w:eastAsia="华文仿宋" w:cs="华文仿宋"/>
                <w:color w:val="auto"/>
                <w:sz w:val="15"/>
                <w:szCs w:val="15"/>
                <w:lang w:val="en-US" w:eastAsia="zh-CN"/>
              </w:rPr>
              <w:t>10.</w:t>
            </w:r>
            <w:r>
              <w:rPr>
                <w:rFonts w:hint="eastAsia" w:ascii="华文仿宋" w:hAnsi="华文仿宋" w:eastAsia="华文仿宋" w:cs="华文仿宋"/>
                <w:color w:val="auto"/>
                <w:sz w:val="15"/>
                <w:szCs w:val="15"/>
              </w:rPr>
              <w:t>在行政处罚过程中发生腐败行为的；</w:t>
            </w:r>
            <w:r>
              <w:rPr>
                <w:rFonts w:hint="eastAsia" w:ascii="华文仿宋" w:hAnsi="华文仿宋" w:eastAsia="华文仿宋" w:cs="华文仿宋"/>
                <w:color w:val="auto"/>
                <w:sz w:val="15"/>
                <w:szCs w:val="15"/>
                <w:lang w:val="en-US" w:eastAsia="zh-CN"/>
              </w:rPr>
              <w:t>11.</w:t>
            </w:r>
            <w:r>
              <w:rPr>
                <w:rFonts w:hint="eastAsia" w:ascii="华文仿宋" w:hAnsi="华文仿宋" w:eastAsia="华文仿宋" w:cs="华文仿宋"/>
                <w:color w:val="auto"/>
                <w:sz w:val="15"/>
                <w:szCs w:val="15"/>
              </w:rPr>
              <w:t>其他违反法律法规规章文件规定的行为。</w:t>
            </w:r>
          </w:p>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vertAlign w:val="baseline"/>
                <w:lang w:val="en-US" w:eastAsia="zh-CN"/>
              </w:rPr>
            </w:pPr>
          </w:p>
        </w:tc>
        <w:tc>
          <w:tcPr>
            <w:tcW w:w="1250" w:type="dxa"/>
            <w:vAlign w:val="center"/>
          </w:tcPr>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shd w:val="clear" w:color="auto" w:fill="auto"/>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3</w:t>
            </w:r>
          </w:p>
        </w:tc>
        <w:tc>
          <w:tcPr>
            <w:tcW w:w="928" w:type="dxa"/>
            <w:vAlign w:val="center"/>
          </w:tcPr>
          <w:p>
            <w:pPr>
              <w:keepNext w:val="0"/>
              <w:keepLines w:val="0"/>
              <w:pageBreakBefore w:val="0"/>
              <w:widowControl w:val="0"/>
              <w:kinsoku/>
              <w:wordWrap/>
              <w:overflowPunct/>
              <w:topLinePunct w:val="0"/>
              <w:autoSpaceDE/>
              <w:bidi w:val="0"/>
              <w:adjustRightInd/>
              <w:snapToGrid/>
              <w:spacing w:line="240" w:lineRule="exact"/>
              <w:jc w:val="center"/>
              <w:rPr>
                <w:rFonts w:hint="eastAsia" w:ascii="华文仿宋" w:hAnsi="华文仿宋" w:eastAsia="华文仿宋" w:cs="华文仿宋"/>
                <w:kern w:val="2"/>
                <w:sz w:val="15"/>
                <w:szCs w:val="15"/>
                <w:lang w:val="en-US" w:eastAsia="zh-CN" w:bidi="ar-SA"/>
              </w:rPr>
            </w:pPr>
            <w:r>
              <w:rPr>
                <w:rFonts w:hint="eastAsia" w:ascii="华文仿宋" w:hAnsi="华文仿宋" w:eastAsia="华文仿宋" w:cs="华文仿宋"/>
                <w:sz w:val="15"/>
                <w:szCs w:val="15"/>
                <w:lang w:eastAsia="zh-CN"/>
              </w:rPr>
              <w:t>行政处罚</w:t>
            </w:r>
          </w:p>
        </w:tc>
        <w:tc>
          <w:tcPr>
            <w:tcW w:w="1684" w:type="dxa"/>
            <w:vAlign w:val="center"/>
          </w:tcPr>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lang w:val="en-US" w:eastAsia="zh-CN" w:bidi="ar-SA"/>
              </w:rPr>
            </w:pPr>
            <w:r>
              <w:rPr>
                <w:rFonts w:hint="eastAsia" w:ascii="华文仿宋" w:hAnsi="华文仿宋" w:eastAsia="华文仿宋" w:cs="华文仿宋"/>
                <w:sz w:val="15"/>
                <w:szCs w:val="15"/>
                <w:lang w:val="en-US" w:eastAsia="zh-CN"/>
              </w:rPr>
              <w:t>对基层法律服务工作者冒用法律援助名义提供法律服务并谋取利益行为的行政处罚</w:t>
            </w:r>
          </w:p>
        </w:tc>
        <w:tc>
          <w:tcPr>
            <w:tcW w:w="1776"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lang w:val="en-US" w:eastAsia="zh-CN" w:bidi="ar-SA"/>
              </w:rPr>
            </w:pPr>
            <w:r>
              <w:rPr>
                <w:rFonts w:hint="eastAsia" w:ascii="华文仿宋" w:hAnsi="华文仿宋" w:eastAsia="华文仿宋" w:cs="华文仿宋"/>
                <w:kern w:val="2"/>
                <w:sz w:val="15"/>
                <w:szCs w:val="15"/>
                <w:lang w:val="en-US" w:eastAsia="zh-CN" w:bidi="ar-SA"/>
              </w:rPr>
              <w:t>区司法局</w:t>
            </w:r>
          </w:p>
        </w:tc>
        <w:tc>
          <w:tcPr>
            <w:tcW w:w="2487"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lang w:val="en-US" w:eastAsia="zh-CN" w:bidi="ar-SA"/>
              </w:rPr>
            </w:pPr>
            <w:r>
              <w:rPr>
                <w:rFonts w:hint="eastAsia" w:ascii="华文仿宋" w:hAnsi="华文仿宋" w:eastAsia="华文仿宋" w:cs="华文仿宋"/>
                <w:sz w:val="15"/>
                <w:szCs w:val="15"/>
                <w:lang w:val="en-US" w:eastAsia="zh-CN"/>
              </w:rPr>
              <w:t>《中华人民共和国法律援助法》第六十五条 违反本法规定，冒用法律援助名义提供法律服务并谋取利益的，由司法行政部门责令改正，没收违法所得，并处违法所得一倍以上三倍以下罚款。</w:t>
            </w:r>
          </w:p>
        </w:tc>
        <w:tc>
          <w:tcPr>
            <w:tcW w:w="2388" w:type="dxa"/>
            <w:vAlign w:val="center"/>
          </w:tcPr>
          <w:p>
            <w:pPr>
              <w:keepNext w:val="0"/>
              <w:keepLines w:val="0"/>
              <w:pageBreakBefore w:val="0"/>
              <w:widowControl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lang w:val="en-US" w:eastAsia="zh-CN" w:bidi="ar-SA"/>
              </w:rPr>
            </w:pPr>
            <w:r>
              <w:rPr>
                <w:rFonts w:hint="eastAsia" w:ascii="华文仿宋" w:hAnsi="华文仿宋" w:eastAsia="华文仿宋" w:cs="华文仿宋"/>
                <w:sz w:val="15"/>
                <w:szCs w:val="15"/>
                <w:lang w:val="en-US" w:eastAsia="zh-CN"/>
              </w:rPr>
              <w:t>1.</w:t>
            </w:r>
            <w:r>
              <w:rPr>
                <w:rFonts w:hint="eastAsia" w:ascii="华文仿宋" w:hAnsi="华文仿宋" w:eastAsia="华文仿宋" w:cs="华文仿宋"/>
                <w:sz w:val="15"/>
                <w:szCs w:val="15"/>
              </w:rPr>
              <w:t>立案责任：对依据监督检查职权或者通过举报、投诉、其他部门移送、上级部门交办等途径发现的违法行为线索，决定是否立案。2.调查责任：在调查或检查时，执法人员不得少于两人，出示证件，询问或检查应制作笔录；执法人员有直接利害关系的，应当回避。3.审查责任：对违法事实、收集的证据、办案的程序、法律适用、处罚种类和幅度、当事人的陈述申辩理由等进行审查，提出处理意见；对情节复杂或者重大违法行为给予较重的行政处罚，行政机关的负责人应当集体讨论决定。4.告知责任：在作出处罚决定之前，应当告知当事人作出处罚决定的事由、理由及依据，并告知当事人依法享有的权利；当事人依法要求听证的，应组织听证。5.决定责任：依法应当给予行政处罚的，制作盖有行政机关印章的行政处罚决定书，载明违法事实、证据、处罚种类和依据、权利救济途径等内容。6.送达责任：行政处罚决定书</w:t>
            </w:r>
            <w:r>
              <w:rPr>
                <w:rFonts w:hint="eastAsia" w:ascii="华文仿宋" w:hAnsi="华文仿宋" w:eastAsia="华文仿宋" w:cs="华文仿宋"/>
                <w:sz w:val="15"/>
                <w:szCs w:val="15"/>
                <w:lang w:eastAsia="zh-CN"/>
              </w:rPr>
              <w:t>按</w:t>
            </w:r>
            <w:r>
              <w:rPr>
                <w:rFonts w:hint="eastAsia" w:ascii="华文仿宋" w:hAnsi="华文仿宋" w:eastAsia="华文仿宋" w:cs="华文仿宋"/>
                <w:sz w:val="15"/>
                <w:szCs w:val="15"/>
              </w:rPr>
              <w:t>有关规定送达当事人。7.法律法规规章文件规定应履行的其他责任。</w:t>
            </w:r>
          </w:p>
        </w:tc>
        <w:tc>
          <w:tcPr>
            <w:tcW w:w="2550" w:type="dxa"/>
            <w:vAlign w:val="center"/>
          </w:tcPr>
          <w:p>
            <w:pPr>
              <w:keepNext w:val="0"/>
              <w:keepLines w:val="0"/>
              <w:pageBreakBefore w:val="0"/>
              <w:widowControl w:val="0"/>
              <w:tabs>
                <w:tab w:val="left" w:pos="7937"/>
              </w:tabs>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kern w:val="2"/>
                <w:sz w:val="15"/>
                <w:szCs w:val="15"/>
                <w:lang w:val="en" w:eastAsia="zh-CN" w:bidi="ar-SA"/>
              </w:rPr>
            </w:pPr>
            <w:r>
              <w:rPr>
                <w:rFonts w:hint="eastAsia" w:ascii="华文仿宋" w:hAnsi="华文仿宋" w:eastAsia="华文仿宋" w:cs="华文仿宋"/>
                <w:color w:val="auto"/>
                <w:sz w:val="15"/>
                <w:szCs w:val="15"/>
              </w:rPr>
              <w:t>因不履行或不正确履行行政职责，有下列情形的，行政机关及相关工作人员应承担相应责任：1</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没有法律和事实依据实施行政处罚的；2</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行政处罚显失公正的；3</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执法人员玩忽职守，对应当予以制止和处罚的违法行为不予制止、处罚；4</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不具备行政执法资格实施行政处罚的；5</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在制止以及查处违法案件中受阻，依照有关规定应当向本级人民政府或者上级主管部门报告而未报告的；6</w:t>
            </w:r>
            <w:r>
              <w:rPr>
                <w:rFonts w:hint="eastAsia" w:ascii="华文仿宋" w:hAnsi="华文仿宋" w:eastAsia="华文仿宋" w:cs="华文仿宋"/>
                <w:color w:val="auto"/>
                <w:sz w:val="15"/>
                <w:szCs w:val="15"/>
                <w:lang w:val="en-US" w:eastAsia="zh-CN"/>
              </w:rPr>
              <w:t>.</w:t>
            </w:r>
            <w:r>
              <w:rPr>
                <w:rFonts w:hint="eastAsia" w:ascii="华文仿宋" w:hAnsi="华文仿宋" w:eastAsia="华文仿宋" w:cs="华文仿宋"/>
                <w:color w:val="auto"/>
                <w:sz w:val="15"/>
                <w:szCs w:val="15"/>
              </w:rPr>
              <w:t>应当依法移送追究刑事责任，而未依法移送有权机关的；</w:t>
            </w:r>
            <w:r>
              <w:rPr>
                <w:rFonts w:hint="eastAsia" w:ascii="华文仿宋" w:hAnsi="华文仿宋" w:eastAsia="华文仿宋" w:cs="华文仿宋"/>
                <w:color w:val="auto"/>
                <w:sz w:val="15"/>
                <w:szCs w:val="15"/>
                <w:lang w:val="en-US" w:eastAsia="zh-CN"/>
              </w:rPr>
              <w:t>7.</w:t>
            </w:r>
            <w:r>
              <w:rPr>
                <w:rFonts w:hint="eastAsia" w:ascii="华文仿宋" w:hAnsi="华文仿宋" w:eastAsia="华文仿宋" w:cs="华文仿宋"/>
                <w:color w:val="auto"/>
                <w:sz w:val="15"/>
                <w:szCs w:val="15"/>
              </w:rPr>
              <w:t>擅自改变行政处罚种类、幅度的；</w:t>
            </w:r>
            <w:r>
              <w:rPr>
                <w:rFonts w:hint="eastAsia" w:ascii="华文仿宋" w:hAnsi="华文仿宋" w:eastAsia="华文仿宋" w:cs="华文仿宋"/>
                <w:color w:val="auto"/>
                <w:sz w:val="15"/>
                <w:szCs w:val="15"/>
                <w:lang w:val="en-US" w:eastAsia="zh-CN"/>
              </w:rPr>
              <w:t>8.</w:t>
            </w:r>
            <w:r>
              <w:rPr>
                <w:rFonts w:hint="eastAsia" w:ascii="华文仿宋" w:hAnsi="华文仿宋" w:eastAsia="华文仿宋" w:cs="华文仿宋"/>
                <w:color w:val="auto"/>
                <w:sz w:val="15"/>
                <w:szCs w:val="15"/>
              </w:rPr>
              <w:t>违反法定的行政处罚程序的；</w:t>
            </w:r>
            <w:r>
              <w:rPr>
                <w:rFonts w:hint="eastAsia" w:ascii="华文仿宋" w:hAnsi="华文仿宋" w:eastAsia="华文仿宋" w:cs="华文仿宋"/>
                <w:color w:val="auto"/>
                <w:sz w:val="15"/>
                <w:szCs w:val="15"/>
                <w:lang w:val="en-US" w:eastAsia="zh-CN"/>
              </w:rPr>
              <w:t>9.</w:t>
            </w:r>
            <w:r>
              <w:rPr>
                <w:rFonts w:hint="eastAsia" w:ascii="华文仿宋" w:hAnsi="华文仿宋" w:eastAsia="华文仿宋" w:cs="华文仿宋"/>
                <w:color w:val="auto"/>
                <w:sz w:val="15"/>
                <w:szCs w:val="15"/>
              </w:rPr>
              <w:t>符合听证条件、行政管理相对人要求听证，应予组织听证而不组织听证的；</w:t>
            </w:r>
            <w:r>
              <w:rPr>
                <w:rFonts w:hint="eastAsia" w:ascii="华文仿宋" w:hAnsi="华文仿宋" w:eastAsia="华文仿宋" w:cs="华文仿宋"/>
                <w:color w:val="auto"/>
                <w:sz w:val="15"/>
                <w:szCs w:val="15"/>
                <w:lang w:val="en-US" w:eastAsia="zh-CN"/>
              </w:rPr>
              <w:t>10.</w:t>
            </w:r>
            <w:r>
              <w:rPr>
                <w:rFonts w:hint="eastAsia" w:ascii="华文仿宋" w:hAnsi="华文仿宋" w:eastAsia="华文仿宋" w:cs="华文仿宋"/>
                <w:color w:val="auto"/>
                <w:sz w:val="15"/>
                <w:szCs w:val="15"/>
              </w:rPr>
              <w:t>在行政处罚过程中发生腐败行为的；</w:t>
            </w:r>
            <w:r>
              <w:rPr>
                <w:rFonts w:hint="eastAsia" w:ascii="华文仿宋" w:hAnsi="华文仿宋" w:eastAsia="华文仿宋" w:cs="华文仿宋"/>
                <w:color w:val="auto"/>
                <w:sz w:val="15"/>
                <w:szCs w:val="15"/>
                <w:lang w:val="en-US" w:eastAsia="zh-CN"/>
              </w:rPr>
              <w:t>11.</w:t>
            </w:r>
            <w:r>
              <w:rPr>
                <w:rFonts w:hint="eastAsia" w:ascii="华文仿宋" w:hAnsi="华文仿宋" w:eastAsia="华文仿宋" w:cs="华文仿宋"/>
                <w:color w:val="auto"/>
                <w:sz w:val="15"/>
                <w:szCs w:val="15"/>
              </w:rPr>
              <w:t>其他违反法律法规规章文件规定的行为。</w:t>
            </w:r>
          </w:p>
        </w:tc>
        <w:tc>
          <w:tcPr>
            <w:tcW w:w="1250" w:type="dxa"/>
            <w:vAlign w:val="center"/>
          </w:tcPr>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4</w:t>
            </w:r>
          </w:p>
        </w:tc>
        <w:tc>
          <w:tcPr>
            <w:tcW w:w="92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kern w:val="2"/>
                <w:sz w:val="15"/>
                <w:szCs w:val="15"/>
                <w:vertAlign w:val="baseline"/>
                <w:lang w:val="en-US" w:eastAsia="zh-CN" w:bidi="ar-SA"/>
              </w:rPr>
            </w:pPr>
            <w:r>
              <w:rPr>
                <w:rFonts w:hint="eastAsia" w:ascii="华文仿宋" w:hAnsi="华文仿宋" w:eastAsia="华文仿宋" w:cs="华文仿宋"/>
                <w:sz w:val="15"/>
                <w:szCs w:val="15"/>
                <w:vertAlign w:val="baseline"/>
                <w:lang w:eastAsia="zh-CN"/>
              </w:rPr>
              <w:t>行政处罚</w:t>
            </w:r>
          </w:p>
        </w:tc>
        <w:tc>
          <w:tcPr>
            <w:tcW w:w="1684"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0" w:firstLineChars="0"/>
              <w:jc w:val="both"/>
              <w:textAlignment w:val="center"/>
              <w:rPr>
                <w:rFonts w:hint="eastAsia" w:ascii="华文仿宋" w:hAnsi="华文仿宋" w:eastAsia="华文仿宋" w:cs="华文仿宋"/>
                <w:color w:val="auto"/>
                <w:kern w:val="2"/>
                <w:sz w:val="15"/>
                <w:szCs w:val="15"/>
                <w:vertAlign w:val="baseline"/>
                <w:lang w:val="en-US" w:eastAsia="zh-CN" w:bidi="ar-SA"/>
              </w:rPr>
            </w:pPr>
            <w:r>
              <w:rPr>
                <w:rFonts w:hint="eastAsia" w:ascii="华文仿宋" w:hAnsi="华文仿宋" w:eastAsia="华文仿宋" w:cs="华文仿宋"/>
                <w:i w:val="0"/>
                <w:iCs w:val="0"/>
                <w:color w:val="auto"/>
                <w:kern w:val="0"/>
                <w:sz w:val="15"/>
                <w:szCs w:val="15"/>
                <w:u w:val="none"/>
                <w:lang w:val="en-US" w:eastAsia="zh-CN" w:bidi="ar"/>
              </w:rPr>
              <w:t>对基层法律服务所超越业务范围和诉讼代理执业区域行为的行政处罚</w:t>
            </w:r>
          </w:p>
        </w:tc>
        <w:tc>
          <w:tcPr>
            <w:tcW w:w="1776" w:type="dxa"/>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ind w:firstLine="300" w:firstLineChars="200"/>
              <w:jc w:val="both"/>
              <w:textAlignment w:val="center"/>
              <w:rPr>
                <w:rFonts w:hint="eastAsia" w:ascii="华文仿宋" w:hAnsi="华文仿宋" w:eastAsia="华文仿宋" w:cs="华文仿宋"/>
                <w:color w:val="auto"/>
                <w:kern w:val="2"/>
                <w:sz w:val="15"/>
                <w:szCs w:val="15"/>
                <w:vertAlign w:val="baseline"/>
                <w:lang w:val="en-US" w:eastAsia="zh-CN" w:bidi="ar-SA"/>
              </w:rPr>
            </w:pPr>
            <w:r>
              <w:rPr>
                <w:rFonts w:hint="eastAsia" w:ascii="华文仿宋" w:hAnsi="华文仿宋" w:eastAsia="华文仿宋" w:cs="华文仿宋"/>
                <w:color w:val="auto"/>
                <w:kern w:val="2"/>
                <w:sz w:val="15"/>
                <w:szCs w:val="15"/>
                <w:vertAlign w:val="baseline"/>
                <w:lang w:val="en-US" w:eastAsia="zh-CN" w:bidi="ar-SA"/>
              </w:rPr>
              <w:t>区司法局</w:t>
            </w:r>
          </w:p>
        </w:tc>
        <w:tc>
          <w:tcPr>
            <w:tcW w:w="2487" w:type="dxa"/>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ind w:firstLine="300" w:firstLineChars="200"/>
              <w:jc w:val="both"/>
              <w:textAlignment w:val="center"/>
              <w:rPr>
                <w:rFonts w:hint="eastAsia" w:ascii="华文仿宋" w:hAnsi="华文仿宋" w:eastAsia="华文仿宋" w:cs="华文仿宋"/>
                <w:color w:val="auto"/>
                <w:kern w:val="2"/>
                <w:sz w:val="15"/>
                <w:szCs w:val="15"/>
                <w:vertAlign w:val="baseline"/>
                <w:lang w:val="en-US" w:eastAsia="zh-CN" w:bidi="ar-SA"/>
              </w:rPr>
            </w:pPr>
            <w:r>
              <w:rPr>
                <w:rFonts w:hint="eastAsia" w:ascii="华文仿宋" w:hAnsi="华文仿宋" w:eastAsia="华文仿宋" w:cs="华文仿宋"/>
                <w:i w:val="0"/>
                <w:iCs w:val="0"/>
                <w:color w:val="auto"/>
                <w:kern w:val="0"/>
                <w:sz w:val="15"/>
                <w:szCs w:val="15"/>
                <w:u w:val="none"/>
                <w:lang w:val="en-US" w:eastAsia="zh-CN" w:bidi="ar"/>
              </w:rPr>
              <w:t>《基层法律服务所管理办法》第三十六条 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一）超越业务范围和诉讼代理执业区域的。</w:t>
            </w:r>
          </w:p>
        </w:tc>
        <w:tc>
          <w:tcPr>
            <w:tcW w:w="2388" w:type="dxa"/>
            <w:vAlign w:val="top"/>
          </w:tcPr>
          <w:p>
            <w:pPr>
              <w:keepNext w:val="0"/>
              <w:keepLines w:val="0"/>
              <w:pageBreakBefore w:val="0"/>
              <w:widowControl/>
              <w:suppressLineNumbers w:val="0"/>
              <w:kinsoku/>
              <w:wordWrap/>
              <w:overflowPunct/>
              <w:topLinePunct w:val="0"/>
              <w:autoSpaceDE/>
              <w:bidi w:val="0"/>
              <w:adjustRightInd/>
              <w:snapToGrid/>
              <w:spacing w:line="220" w:lineRule="exact"/>
              <w:jc w:val="left"/>
              <w:textAlignment w:val="center"/>
              <w:rPr>
                <w:rFonts w:hint="eastAsia" w:ascii="CESI仿宋-GB2312" w:hAnsi="CESI仿宋-GB2312" w:eastAsia="CESI仿宋-GB2312" w:cs="CESI仿宋-GB2312"/>
                <w:sz w:val="15"/>
                <w:szCs w:val="15"/>
              </w:rPr>
            </w:pPr>
          </w:p>
          <w:p>
            <w:pPr>
              <w:keepNext w:val="0"/>
              <w:keepLines w:val="0"/>
              <w:pageBreakBefore w:val="0"/>
              <w:widowControl/>
              <w:suppressLineNumbers w:val="0"/>
              <w:kinsoku/>
              <w:wordWrap/>
              <w:overflowPunct/>
              <w:topLinePunct w:val="0"/>
              <w:autoSpaceDE/>
              <w:bidi w:val="0"/>
              <w:adjustRightInd/>
              <w:snapToGrid/>
              <w:spacing w:line="220" w:lineRule="exact"/>
              <w:jc w:val="left"/>
              <w:textAlignment w:val="center"/>
              <w:rPr>
                <w:rFonts w:hint="eastAsia" w:ascii="CESI仿宋-GB2312" w:hAnsi="CESI仿宋-GB2312" w:eastAsia="CESI仿宋-GB2312" w:cs="CESI仿宋-GB2312"/>
                <w:kern w:val="2"/>
                <w:sz w:val="15"/>
                <w:szCs w:val="15"/>
                <w:vertAlign w:val="baseline"/>
                <w:lang w:val="en-US" w:eastAsia="zh-CN" w:bidi="ar-SA"/>
              </w:rPr>
            </w:pPr>
            <w:r>
              <w:rPr>
                <w:rFonts w:hint="eastAsia" w:ascii="CESI仿宋-GB2312" w:hAnsi="CESI仿宋-GB2312" w:eastAsia="CESI仿宋-GB2312" w:cs="CESI仿宋-GB2312"/>
                <w:sz w:val="15"/>
                <w:szCs w:val="15"/>
              </w:rPr>
              <w:t>1、立案责任：发现</w:t>
            </w:r>
            <w:r>
              <w:rPr>
                <w:rFonts w:hint="eastAsia" w:ascii="CESI仿宋-GB2312" w:hAnsi="CESI仿宋-GB2312" w:eastAsia="CESI仿宋-GB2312" w:cs="CESI仿宋-GB2312"/>
                <w:sz w:val="15"/>
                <w:szCs w:val="15"/>
                <w:lang w:val="en-US" w:eastAsia="zh-CN"/>
              </w:rPr>
              <w:t>涉嫌《</w:t>
            </w:r>
            <w:r>
              <w:rPr>
                <w:rFonts w:hint="eastAsia" w:ascii="CESI仿宋-GB2312" w:hAnsi="CESI仿宋-GB2312" w:eastAsia="CESI仿宋-GB2312" w:cs="CESI仿宋-GB2312"/>
                <w:b w:val="0"/>
                <w:i w:val="0"/>
                <w:snapToGrid/>
                <w:color w:val="000000"/>
                <w:sz w:val="15"/>
                <w:szCs w:val="15"/>
                <w:u w:val="none"/>
                <w:lang w:eastAsia="zh-CN"/>
              </w:rPr>
              <w:t>基层法律服务所管理办法</w:t>
            </w:r>
            <w:r>
              <w:rPr>
                <w:rFonts w:hint="eastAsia" w:ascii="CESI仿宋-GB2312" w:hAnsi="CESI仿宋-GB2312" w:eastAsia="CESI仿宋-GB2312" w:cs="CESI仿宋-GB2312"/>
                <w:sz w:val="15"/>
                <w:szCs w:val="15"/>
                <w:lang w:val="en-US" w:eastAsia="zh-CN"/>
              </w:rPr>
              <w:t>》</w:t>
            </w:r>
            <w:r>
              <w:rPr>
                <w:rFonts w:hint="eastAsia" w:ascii="CESI仿宋-GB2312" w:hAnsi="CESI仿宋-GB2312" w:eastAsia="CESI仿宋-GB2312" w:cs="CESI仿宋-GB2312"/>
                <w:b w:val="0"/>
                <w:bCs w:val="0"/>
                <w:i w:val="0"/>
                <w:snapToGrid/>
                <w:color w:val="auto"/>
                <w:sz w:val="15"/>
                <w:szCs w:val="15"/>
                <w:highlight w:val="none"/>
                <w:u w:val="none"/>
                <w:lang w:eastAsia="zh-CN"/>
              </w:rPr>
              <w:t>（2000年3月司法部令第59号公布，2017年12月司法部令第137号修订）</w:t>
            </w:r>
            <w:r>
              <w:rPr>
                <w:rFonts w:hint="eastAsia" w:ascii="CESI仿宋-GB2312" w:hAnsi="CESI仿宋-GB2312" w:eastAsia="CESI仿宋-GB2312" w:cs="CESI仿宋-GB2312"/>
                <w:sz w:val="15"/>
                <w:szCs w:val="15"/>
                <w:lang w:val="en-US" w:eastAsia="zh-CN"/>
              </w:rPr>
              <w:t>第三十六条情形的</w:t>
            </w:r>
            <w:r>
              <w:rPr>
                <w:rFonts w:hint="eastAsia" w:ascii="CESI仿宋-GB2312" w:hAnsi="CESI仿宋-GB2312" w:eastAsia="CESI仿宋-GB2312" w:cs="CESI仿宋-GB2312"/>
                <w:sz w:val="15"/>
                <w:szCs w:val="15"/>
              </w:rPr>
              <w:t>，予以审查，决定是否立案。2、调查责任：指定专人负责，及时组织调查取证，与当事人有直接利害关系的应当回避。执法人员不得少于两人，调查时应出示执法证件，允许当事人辩解陈述。执法人员应保守有关秘密。3、审查责任：审理案件调查报告，对案件违法事实、证据、调查取证程序、法律适用、处罚种类和幅度、当事人陈述和申辩理由等方面进行审查，提出处理意见（主要证据不足时，以适当的方式补充调查）。4、告知责任：作出行政处罚决定前，应制作《行政处罚告知书》送达当事人，告知违法事实及其享有的陈述、申辩等权利。符合听证规定的，制作并送达《行政处罚听证告知书》。5、决定责任：制作行政处罚决定书，载明行政处罚告知、当事人陈述申辩或者听证情况等内容。6、送达责任：行政处罚决定书按法律规定的方式送达当事人</w:t>
            </w:r>
            <w:r>
              <w:rPr>
                <w:rFonts w:hint="eastAsia" w:ascii="CESI仿宋-GB2312" w:hAnsi="CESI仿宋-GB2312" w:eastAsia="CESI仿宋-GB2312" w:cs="CESI仿宋-GB2312"/>
                <w:color w:val="auto"/>
                <w:sz w:val="15"/>
                <w:szCs w:val="15"/>
              </w:rPr>
              <w:t>。7、执行责任：依照生效的行政处罚决定</w:t>
            </w:r>
            <w:r>
              <w:rPr>
                <w:rFonts w:hint="eastAsia" w:ascii="CESI仿宋-GB2312" w:hAnsi="CESI仿宋-GB2312" w:eastAsia="CESI仿宋-GB2312" w:cs="CESI仿宋-GB2312"/>
                <w:color w:val="auto"/>
                <w:sz w:val="15"/>
                <w:szCs w:val="15"/>
                <w:lang w:eastAsia="zh-CN"/>
              </w:rPr>
              <w:t>实施处罚</w:t>
            </w:r>
            <w:r>
              <w:rPr>
                <w:rFonts w:hint="eastAsia" w:ascii="CESI仿宋-GB2312" w:hAnsi="CESI仿宋-GB2312" w:eastAsia="CESI仿宋-GB2312" w:cs="CESI仿宋-GB2312"/>
                <w:color w:val="auto"/>
                <w:sz w:val="15"/>
                <w:szCs w:val="15"/>
              </w:rPr>
              <w:t>。</w:t>
            </w:r>
            <w:r>
              <w:rPr>
                <w:rFonts w:hint="eastAsia" w:ascii="CESI仿宋-GB2312" w:hAnsi="CESI仿宋-GB2312" w:eastAsia="CESI仿宋-GB2312" w:cs="CESI仿宋-GB2312"/>
                <w:sz w:val="15"/>
                <w:szCs w:val="15"/>
                <w:lang w:val="en-US" w:eastAsia="zh-CN"/>
              </w:rPr>
              <w:t>8</w:t>
            </w:r>
            <w:r>
              <w:rPr>
                <w:rFonts w:hint="eastAsia" w:ascii="CESI仿宋-GB2312" w:hAnsi="CESI仿宋-GB2312" w:eastAsia="CESI仿宋-GB2312" w:cs="CESI仿宋-GB2312"/>
                <w:sz w:val="15"/>
                <w:szCs w:val="15"/>
              </w:rPr>
              <w:t>、其他法律法规规章文件规定应履行的责任。</w:t>
            </w:r>
          </w:p>
        </w:tc>
        <w:tc>
          <w:tcPr>
            <w:tcW w:w="2550" w:type="dxa"/>
            <w:vAlign w:val="top"/>
          </w:tcPr>
          <w:p>
            <w:pPr>
              <w:keepNext w:val="0"/>
              <w:keepLines w:val="0"/>
              <w:pageBreakBefore w:val="0"/>
              <w:tabs>
                <w:tab w:val="left" w:pos="7937"/>
              </w:tabs>
              <w:kinsoku/>
              <w:wordWrap/>
              <w:overflowPunct/>
              <w:topLinePunct w:val="0"/>
              <w:autoSpaceDE/>
              <w:bidi w:val="0"/>
              <w:adjustRightInd/>
              <w:snapToGrid/>
              <w:spacing w:line="220" w:lineRule="exact"/>
              <w:jc w:val="left"/>
              <w:rPr>
                <w:rFonts w:hint="eastAsia" w:ascii="CESI仿宋-GB2312" w:hAnsi="CESI仿宋-GB2312" w:eastAsia="CESI仿宋-GB2312" w:cs="CESI仿宋-GB2312"/>
                <w:sz w:val="15"/>
                <w:szCs w:val="15"/>
              </w:rPr>
            </w:pPr>
          </w:p>
          <w:p>
            <w:pPr>
              <w:keepNext w:val="0"/>
              <w:keepLines w:val="0"/>
              <w:pageBreakBefore w:val="0"/>
              <w:tabs>
                <w:tab w:val="left" w:pos="7937"/>
              </w:tabs>
              <w:kinsoku/>
              <w:wordWrap/>
              <w:overflowPunct/>
              <w:topLinePunct w:val="0"/>
              <w:autoSpaceDE/>
              <w:bidi w:val="0"/>
              <w:adjustRightInd/>
              <w:snapToGrid/>
              <w:spacing w:line="220" w:lineRule="exact"/>
              <w:jc w:val="left"/>
              <w:rPr>
                <w:rFonts w:hint="eastAsia" w:ascii="CESI仿宋-GB2312" w:hAnsi="CESI仿宋-GB2312" w:eastAsia="CESI仿宋-GB2312" w:cs="CESI仿宋-GB2312"/>
                <w:sz w:val="15"/>
                <w:szCs w:val="15"/>
              </w:rPr>
            </w:pPr>
          </w:p>
          <w:p>
            <w:pPr>
              <w:keepNext w:val="0"/>
              <w:keepLines w:val="0"/>
              <w:pageBreakBefore w:val="0"/>
              <w:tabs>
                <w:tab w:val="left" w:pos="7937"/>
              </w:tabs>
              <w:kinsoku/>
              <w:wordWrap/>
              <w:overflowPunct/>
              <w:topLinePunct w:val="0"/>
              <w:autoSpaceDE/>
              <w:bidi w:val="0"/>
              <w:adjustRightInd/>
              <w:snapToGrid/>
              <w:spacing w:line="220" w:lineRule="exact"/>
              <w:jc w:val="left"/>
              <w:rPr>
                <w:rFonts w:hint="eastAsia" w:ascii="CESI仿宋-GB2312" w:hAnsi="CESI仿宋-GB2312" w:eastAsia="CESI仿宋-GB2312" w:cs="CESI仿宋-GB2312"/>
                <w:sz w:val="15"/>
                <w:szCs w:val="15"/>
              </w:rPr>
            </w:pPr>
          </w:p>
          <w:p>
            <w:pPr>
              <w:keepNext w:val="0"/>
              <w:keepLines w:val="0"/>
              <w:pageBreakBefore w:val="0"/>
              <w:tabs>
                <w:tab w:val="left" w:pos="7937"/>
              </w:tabs>
              <w:kinsoku/>
              <w:wordWrap/>
              <w:overflowPunct/>
              <w:topLinePunct w:val="0"/>
              <w:autoSpaceDE/>
              <w:bidi w:val="0"/>
              <w:adjustRightInd/>
              <w:snapToGrid/>
              <w:spacing w:line="220" w:lineRule="exact"/>
              <w:jc w:val="left"/>
              <w:rPr>
                <w:rFonts w:hint="eastAsia" w:ascii="CESI仿宋-GB2312" w:hAnsi="CESI仿宋-GB2312" w:eastAsia="CESI仿宋-GB2312" w:cs="CESI仿宋-GB2312"/>
                <w:sz w:val="15"/>
                <w:szCs w:val="15"/>
              </w:rPr>
            </w:pPr>
          </w:p>
          <w:p>
            <w:pPr>
              <w:keepNext w:val="0"/>
              <w:keepLines w:val="0"/>
              <w:pageBreakBefore w:val="0"/>
              <w:tabs>
                <w:tab w:val="left" w:pos="7937"/>
              </w:tabs>
              <w:kinsoku/>
              <w:wordWrap/>
              <w:overflowPunct/>
              <w:topLinePunct w:val="0"/>
              <w:autoSpaceDE/>
              <w:bidi w:val="0"/>
              <w:adjustRightInd/>
              <w:snapToGrid/>
              <w:spacing w:line="220" w:lineRule="exact"/>
              <w:jc w:val="left"/>
              <w:rPr>
                <w:rFonts w:hint="eastAsia" w:ascii="CESI仿宋-GB2312" w:hAnsi="CESI仿宋-GB2312" w:eastAsia="CESI仿宋-GB2312" w:cs="CESI仿宋-GB2312"/>
                <w:sz w:val="15"/>
                <w:szCs w:val="15"/>
              </w:rPr>
            </w:pPr>
          </w:p>
          <w:p>
            <w:pPr>
              <w:keepNext w:val="0"/>
              <w:keepLines w:val="0"/>
              <w:pageBreakBefore w:val="0"/>
              <w:tabs>
                <w:tab w:val="left" w:pos="7937"/>
              </w:tabs>
              <w:kinsoku/>
              <w:wordWrap/>
              <w:overflowPunct/>
              <w:topLinePunct w:val="0"/>
              <w:autoSpaceDE/>
              <w:bidi w:val="0"/>
              <w:adjustRightInd/>
              <w:snapToGrid/>
              <w:spacing w:line="220" w:lineRule="exact"/>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rPr>
              <w:t>因不履行或不正确履行行政职责，有下列情形的，行政机关及相关工作人员应承担相应责任：</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rPr>
              <w:t>1、没有法律和事实依据实施行政处罚的；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rPr>
              <w:t>2、行政处罚显失公正的；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rPr>
              <w:t>3、执法人员玩忽职守，对应当予以制止和处罚的违法行为不予制止、处罚；</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rPr>
              <w:t>4、不具备行政执法资格实施行政处罚的；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5、在制止以及查处违法案件中受阻，依照有关规定应当向本级人民政府或者上级主管部门报告而未报告的；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6、应当依法移送追究刑事责任，而未依法移送有权机关的；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lang w:val="en-US" w:eastAsia="zh-CN"/>
              </w:rPr>
              <w:t>7</w:t>
            </w:r>
            <w:r>
              <w:rPr>
                <w:rFonts w:hint="eastAsia" w:ascii="CESI仿宋-GB2312" w:hAnsi="CESI仿宋-GB2312" w:eastAsia="CESI仿宋-GB2312" w:cs="CESI仿宋-GB2312"/>
                <w:sz w:val="15"/>
                <w:szCs w:val="15"/>
              </w:rPr>
              <w:t>、擅自改变行政处罚种类、幅度的；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lang w:val="en-US" w:eastAsia="zh-CN"/>
              </w:rPr>
              <w:t>8</w:t>
            </w:r>
            <w:r>
              <w:rPr>
                <w:rFonts w:hint="eastAsia" w:ascii="CESI仿宋-GB2312" w:hAnsi="CESI仿宋-GB2312" w:eastAsia="CESI仿宋-GB2312" w:cs="CESI仿宋-GB2312"/>
                <w:sz w:val="15"/>
                <w:szCs w:val="15"/>
              </w:rPr>
              <w:t>、违反法定的行政处罚程序的；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lang w:val="en-US" w:eastAsia="zh-CN"/>
              </w:rPr>
              <w:t>9</w:t>
            </w:r>
            <w:r>
              <w:rPr>
                <w:rFonts w:hint="eastAsia" w:ascii="CESI仿宋-GB2312" w:hAnsi="CESI仿宋-GB2312" w:eastAsia="CESI仿宋-GB2312" w:cs="CESI仿宋-GB2312"/>
                <w:sz w:val="15"/>
                <w:szCs w:val="15"/>
              </w:rPr>
              <w:t>、符合听证条件、行政管理相对人要求听证，应予组织听证而不组织听证的；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sz w:val="15"/>
                <w:szCs w:val="15"/>
              </w:rPr>
            </w:pPr>
            <w:r>
              <w:rPr>
                <w:rFonts w:hint="eastAsia" w:ascii="CESI仿宋-GB2312" w:hAnsi="CESI仿宋-GB2312" w:eastAsia="CESI仿宋-GB2312" w:cs="CESI仿宋-GB2312"/>
                <w:sz w:val="15"/>
                <w:szCs w:val="15"/>
                <w:lang w:val="en-US" w:eastAsia="zh-CN"/>
              </w:rPr>
              <w:t>10</w:t>
            </w:r>
            <w:r>
              <w:rPr>
                <w:rFonts w:hint="eastAsia" w:ascii="CESI仿宋-GB2312" w:hAnsi="CESI仿宋-GB2312" w:eastAsia="CESI仿宋-GB2312" w:cs="CESI仿宋-GB2312"/>
                <w:sz w:val="15"/>
                <w:szCs w:val="15"/>
              </w:rPr>
              <w:t>、在行政处罚过程中发生腐败行为的；</w:t>
            </w:r>
          </w:p>
          <w:p>
            <w:pPr>
              <w:keepNext w:val="0"/>
              <w:keepLines w:val="0"/>
              <w:pageBreakBefore w:val="0"/>
              <w:widowControl w:val="0"/>
              <w:kinsoku/>
              <w:wordWrap/>
              <w:overflowPunct/>
              <w:topLinePunct w:val="0"/>
              <w:autoSpaceDE/>
              <w:autoSpaceDN w:val="0"/>
              <w:bidi w:val="0"/>
              <w:adjustRightInd/>
              <w:snapToGrid/>
              <w:spacing w:before="0" w:after="0" w:line="220" w:lineRule="exact"/>
              <w:ind w:left="0" w:leftChars="0" w:right="0" w:rightChars="0" w:firstLine="0" w:firstLineChars="0"/>
              <w:jc w:val="left"/>
              <w:textAlignment w:val="center"/>
              <w:outlineLvl w:val="9"/>
              <w:rPr>
                <w:rFonts w:hint="eastAsia" w:ascii="CESI仿宋-GB2312" w:hAnsi="CESI仿宋-GB2312" w:eastAsia="CESI仿宋-GB2312" w:cs="CESI仿宋-GB2312"/>
                <w:kern w:val="2"/>
                <w:sz w:val="15"/>
                <w:szCs w:val="15"/>
                <w:vertAlign w:val="baseline"/>
                <w:lang w:val="en" w:eastAsia="zh-CN" w:bidi="ar-SA"/>
              </w:rPr>
            </w:pPr>
            <w:r>
              <w:rPr>
                <w:rFonts w:hint="eastAsia" w:ascii="CESI仿宋-GB2312" w:hAnsi="CESI仿宋-GB2312" w:eastAsia="CESI仿宋-GB2312" w:cs="CESI仿宋-GB2312"/>
                <w:sz w:val="15"/>
                <w:szCs w:val="15"/>
                <w:lang w:val="en-US" w:eastAsia="zh-CN"/>
              </w:rPr>
              <w:t>11</w:t>
            </w:r>
            <w:r>
              <w:rPr>
                <w:rFonts w:hint="eastAsia" w:ascii="CESI仿宋-GB2312" w:hAnsi="CESI仿宋-GB2312" w:eastAsia="CESI仿宋-GB2312" w:cs="CESI仿宋-GB2312"/>
                <w:sz w:val="15"/>
                <w:szCs w:val="15"/>
              </w:rPr>
              <w:t>、其他违反法律法规规章文件规定的行为。</w:t>
            </w: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both"/>
              <w:textAlignment w:val="auto"/>
              <w:outlineLvl w:val="9"/>
              <w:rPr>
                <w:rFonts w:hint="eastAsia" w:ascii="华文仿宋" w:hAnsi="华文仿宋" w:eastAsia="华文仿宋" w:cs="华文仿宋"/>
                <w:kern w:val="2"/>
                <w:sz w:val="15"/>
                <w:szCs w:val="15"/>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5</w:t>
            </w:r>
          </w:p>
        </w:tc>
        <w:tc>
          <w:tcPr>
            <w:tcW w:w="92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kern w:val="2"/>
                <w:sz w:val="15"/>
                <w:szCs w:val="15"/>
                <w:vertAlign w:val="baseline"/>
                <w:lang w:val="en-US" w:eastAsia="zh-CN" w:bidi="ar-SA"/>
              </w:rPr>
            </w:pPr>
            <w:r>
              <w:rPr>
                <w:rFonts w:hint="eastAsia" w:ascii="华文仿宋" w:hAnsi="华文仿宋" w:eastAsia="华文仿宋" w:cs="华文仿宋"/>
                <w:sz w:val="15"/>
                <w:szCs w:val="15"/>
                <w:vertAlign w:val="baseline"/>
                <w:lang w:eastAsia="zh-CN"/>
              </w:rPr>
              <w:t>行政处罚</w:t>
            </w:r>
          </w:p>
        </w:tc>
        <w:tc>
          <w:tcPr>
            <w:tcW w:w="1684"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0" w:firstLineChars="0"/>
              <w:jc w:val="both"/>
              <w:textAlignment w:val="center"/>
              <w:rPr>
                <w:rFonts w:hint="eastAsia" w:ascii="华文仿宋" w:hAnsi="华文仿宋" w:eastAsia="华文仿宋" w:cs="华文仿宋"/>
                <w:i w:val="0"/>
                <w:iCs w:val="0"/>
                <w:color w:val="auto"/>
                <w:kern w:val="0"/>
                <w:sz w:val="15"/>
                <w:szCs w:val="15"/>
                <w:u w:val="none"/>
                <w:lang w:val="en-US" w:eastAsia="zh-CN" w:bidi="ar"/>
              </w:rPr>
            </w:pPr>
            <w:r>
              <w:rPr>
                <w:rFonts w:hint="eastAsia" w:ascii="华文仿宋" w:hAnsi="华文仿宋" w:eastAsia="华文仿宋" w:cs="华文仿宋"/>
                <w:i w:val="0"/>
                <w:iCs w:val="0"/>
                <w:color w:val="auto"/>
                <w:kern w:val="0"/>
                <w:sz w:val="15"/>
                <w:szCs w:val="15"/>
                <w:u w:val="none"/>
                <w:lang w:val="en-US" w:eastAsia="zh-CN" w:bidi="ar"/>
              </w:rPr>
              <w:t>对基层法律服务工作者超越业务范围和诉讼代理执业区域执业等行为的行政处罚</w:t>
            </w:r>
          </w:p>
        </w:tc>
        <w:tc>
          <w:tcPr>
            <w:tcW w:w="1776" w:type="dxa"/>
            <w:vAlign w:val="center"/>
          </w:tcPr>
          <w:p>
            <w:pPr>
              <w:keepNext w:val="0"/>
              <w:keepLines w:val="0"/>
              <w:pageBreakBefore w:val="0"/>
              <w:widowControl/>
              <w:suppressLineNumbers w:val="0"/>
              <w:kinsoku/>
              <w:wordWrap/>
              <w:overflowPunct/>
              <w:topLinePunct w:val="0"/>
              <w:autoSpaceDE/>
              <w:autoSpaceDN/>
              <w:bidi w:val="0"/>
              <w:adjustRightInd/>
              <w:snapToGrid/>
              <w:spacing w:line="162" w:lineRule="exact"/>
              <w:ind w:firstLine="300" w:firstLineChars="200"/>
              <w:jc w:val="both"/>
              <w:textAlignment w:val="center"/>
              <w:rPr>
                <w:rFonts w:hint="eastAsia" w:ascii="华文仿宋" w:hAnsi="华文仿宋" w:eastAsia="华文仿宋" w:cs="华文仿宋"/>
                <w:i w:val="0"/>
                <w:iCs w:val="0"/>
                <w:color w:val="auto"/>
                <w:kern w:val="0"/>
                <w:sz w:val="15"/>
                <w:szCs w:val="15"/>
                <w:u w:val="none"/>
                <w:lang w:val="en-US" w:eastAsia="zh-CN" w:bidi="ar"/>
              </w:rPr>
            </w:pPr>
            <w:r>
              <w:rPr>
                <w:rFonts w:hint="eastAsia" w:ascii="华文仿宋" w:hAnsi="华文仿宋" w:eastAsia="华文仿宋" w:cs="华文仿宋"/>
                <w:i w:val="0"/>
                <w:iCs w:val="0"/>
                <w:color w:val="auto"/>
                <w:kern w:val="0"/>
                <w:sz w:val="15"/>
                <w:szCs w:val="15"/>
                <w:u w:val="none"/>
                <w:lang w:val="en-US" w:eastAsia="zh-CN" w:bidi="ar"/>
              </w:rPr>
              <w:t>区司法局</w:t>
            </w:r>
          </w:p>
        </w:tc>
        <w:tc>
          <w:tcPr>
            <w:tcW w:w="2487" w:type="dxa"/>
            <w:vAlign w:val="center"/>
          </w:tcPr>
          <w:p>
            <w:pPr>
              <w:keepNext w:val="0"/>
              <w:keepLines w:val="0"/>
              <w:pageBreakBefore w:val="0"/>
              <w:widowControl/>
              <w:suppressLineNumbers w:val="0"/>
              <w:kinsoku/>
              <w:wordWrap/>
              <w:overflowPunct/>
              <w:topLinePunct w:val="0"/>
              <w:autoSpaceDE/>
              <w:autoSpaceDN/>
              <w:bidi w:val="0"/>
              <w:adjustRightInd/>
              <w:snapToGrid/>
              <w:spacing w:line="162" w:lineRule="exact"/>
              <w:ind w:firstLine="300" w:firstLineChars="200"/>
              <w:jc w:val="both"/>
              <w:textAlignment w:val="center"/>
              <w:rPr>
                <w:rFonts w:hint="eastAsia" w:ascii="华文仿宋" w:hAnsi="华文仿宋" w:eastAsia="华文仿宋" w:cs="华文仿宋"/>
                <w:i w:val="0"/>
                <w:iCs w:val="0"/>
                <w:color w:val="auto"/>
                <w:kern w:val="0"/>
                <w:sz w:val="15"/>
                <w:szCs w:val="15"/>
                <w:u w:val="none"/>
                <w:lang w:val="en-US" w:eastAsia="zh-CN" w:bidi="ar"/>
              </w:rPr>
            </w:pPr>
            <w:r>
              <w:rPr>
                <w:rFonts w:hint="eastAsia" w:ascii="华文仿宋" w:hAnsi="华文仿宋" w:eastAsia="华文仿宋" w:cs="华文仿宋"/>
                <w:i w:val="0"/>
                <w:iCs w:val="0"/>
                <w:color w:val="auto"/>
                <w:kern w:val="0"/>
                <w:sz w:val="15"/>
                <w:szCs w:val="15"/>
                <w:u w:val="none"/>
                <w:lang w:val="en-US" w:eastAsia="zh-CN" w:bidi="ar"/>
              </w:rPr>
              <w:t>《基层法律服务工作者管理办法》第四十六条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一）超越业务范围和诉讼代理执业区域的；（二）以贬损他人、抬高自己、虚假承诺或者支付介绍费等不正当手段争揽业务的；（三）曾担任法官的基层法律服务工作者，担任原任职法院办理案件的诉讼代理人的；（四）冒用律师名义执业的；（五）同时在基层法律服务所和律师事务所或者公证机构执业，或者同时在两个以上基层法律服务所执业的；（六）无正当理由拒绝履行法律援助义务的；（七）明知委托人的要求是非法的、欺诈性的，仍为其提供帮助的；（八）在代理活动中超越代理权限或者滥用代理权，侵犯被代理人合法利益的；（九）在同一诉讼、仲裁、行政裁决中，为双方当事人或者有利害关系的第三人代理的；（十）不遵守与当事人订立的委托合同，拒绝或者疏怠履行法律服务义务，损害委托人合法权益的；（十一）在调解、代理、法律顾问等执业活动中压制、侮辱、报复当事人，造成恶劣影响的；（十二）不按规定接受年度考核，或者在年度考核中弄虚作假的；（十三）泄露在执业活动中知悉的商业秘密或者个人隐私的；（十四）以影响案件审判、仲裁或者行政裁定结果为目的，违反规定会见有关司法、仲裁或者行政执法人员，或者向其请客送礼的；（十五）私自接受委托承办法律事务，或者私自收取费用，或者向委托人索要额外报酬的；（十六）在代理活动中收受对方当事人、利害关系人财物或者与其恶意串通，损害委托人合法权益的；（十七）违反司法、仲裁、行政执法工作有关制度规定，干扰或者阻碍司法、仲裁、行政执法工作正常进行的；（十八）泄露在执业活动中知悉的国家秘密的；（十九）伪造、隐匿、毁灭证据或者故意协助委托人伪造、隐匿、毁灭证据的；（二十）向有关司法人员、仲裁员或者行政执法人员行贿、介绍贿赂，或者指使、诱导委托人向其行贿的；（二十一）法律、法规、规章规定应予处罚的其他行为。司法行政机关对基层法律服务工作者实施上述行政处罚的同时，应当责令其改正。</w:t>
            </w:r>
          </w:p>
        </w:tc>
        <w:tc>
          <w:tcPr>
            <w:tcW w:w="2388" w:type="dxa"/>
            <w:vAlign w:val="center"/>
          </w:tcPr>
          <w:p>
            <w:pPr>
              <w:keepNext w:val="0"/>
              <w:keepLines w:val="0"/>
              <w:pageBreakBefore w:val="0"/>
              <w:widowControl/>
              <w:suppressLineNumbers w:val="0"/>
              <w:kinsoku/>
              <w:wordWrap/>
              <w:overflowPunct/>
              <w:topLinePunct w:val="0"/>
              <w:autoSpaceDE/>
              <w:bidi w:val="0"/>
              <w:adjustRightInd/>
              <w:snapToGrid/>
              <w:spacing w:line="220" w:lineRule="exact"/>
              <w:ind w:firstLine="300" w:firstLineChars="200"/>
              <w:jc w:val="left"/>
              <w:textAlignment w:val="center"/>
              <w:rPr>
                <w:rFonts w:hint="eastAsia" w:ascii="CESI仿宋-GB2312" w:hAnsi="CESI仿宋-GB2312" w:eastAsia="CESI仿宋-GB2312" w:cs="CESI仿宋-GB2312"/>
                <w:kern w:val="2"/>
                <w:sz w:val="15"/>
                <w:szCs w:val="15"/>
                <w:lang w:val="en-US" w:eastAsia="zh-CN" w:bidi="ar-SA"/>
              </w:rPr>
            </w:pPr>
            <w:r>
              <w:rPr>
                <w:rFonts w:hint="eastAsia" w:ascii="CESI仿宋-GB2312" w:hAnsi="CESI仿宋-GB2312" w:eastAsia="CESI仿宋-GB2312" w:cs="CESI仿宋-GB2312"/>
                <w:sz w:val="15"/>
                <w:szCs w:val="15"/>
              </w:rPr>
              <w:t>1</w:t>
            </w:r>
            <w:r>
              <w:rPr>
                <w:rFonts w:hint="eastAsia" w:ascii="CESI仿宋-GB2312" w:hAnsi="CESI仿宋-GB2312" w:eastAsia="CESI仿宋-GB2312" w:cs="CESI仿宋-GB2312"/>
                <w:sz w:val="15"/>
                <w:szCs w:val="15"/>
                <w:lang w:val="en-US" w:eastAsia="zh-CN"/>
              </w:rPr>
              <w:t>.</w:t>
            </w:r>
            <w:r>
              <w:rPr>
                <w:rFonts w:hint="eastAsia" w:ascii="CESI仿宋-GB2312" w:hAnsi="CESI仿宋-GB2312" w:eastAsia="CESI仿宋-GB2312" w:cs="CESI仿宋-GB2312"/>
                <w:b w:val="0"/>
                <w:i w:val="0"/>
                <w:snapToGrid/>
                <w:color w:val="auto"/>
                <w:sz w:val="15"/>
                <w:szCs w:val="15"/>
                <w:u w:val="none"/>
                <w:lang w:eastAsia="zh-CN"/>
              </w:rPr>
              <w:t>《基层法律服务工作者管理办法》 （</w:t>
            </w:r>
            <w:r>
              <w:rPr>
                <w:rFonts w:hint="eastAsia" w:ascii="CESI仿宋-GB2312" w:hAnsi="CESI仿宋-GB2312" w:eastAsia="CESI仿宋-GB2312" w:cs="CESI仿宋-GB2312"/>
                <w:i w:val="0"/>
                <w:caps w:val="0"/>
                <w:color w:val="auto"/>
                <w:spacing w:val="0"/>
                <w:sz w:val="15"/>
                <w:szCs w:val="15"/>
                <w:shd w:val="clear" w:color="070000" w:fill="FFFFFF"/>
              </w:rPr>
              <w:t>2000年3月30日司法部令第60号公布，根据2017年12月25日司法部令第138号修订</w:t>
            </w:r>
            <w:r>
              <w:rPr>
                <w:rFonts w:hint="eastAsia" w:ascii="CESI仿宋-GB2312" w:hAnsi="CESI仿宋-GB2312" w:eastAsia="CESI仿宋-GB2312" w:cs="CESI仿宋-GB2312"/>
                <w:b w:val="0"/>
                <w:i w:val="0"/>
                <w:snapToGrid/>
                <w:color w:val="auto"/>
                <w:sz w:val="15"/>
                <w:szCs w:val="15"/>
                <w:u w:val="none"/>
                <w:lang w:eastAsia="zh-CN"/>
              </w:rPr>
              <w:t>）第四十六条规定：</w:t>
            </w:r>
            <w:r>
              <w:rPr>
                <w:rFonts w:hint="eastAsia" w:ascii="CESI仿宋-GB2312" w:hAnsi="CESI仿宋-GB2312" w:eastAsia="CESI仿宋-GB2312" w:cs="CESI仿宋-GB2312"/>
                <w:sz w:val="15"/>
                <w:szCs w:val="15"/>
              </w:rPr>
              <w:t>予以审查，决定是否立案。2</w:t>
            </w:r>
            <w:r>
              <w:rPr>
                <w:rFonts w:hint="eastAsia" w:ascii="CESI仿宋-GB2312" w:hAnsi="CESI仿宋-GB2312" w:eastAsia="CESI仿宋-GB2312" w:cs="CESI仿宋-GB2312"/>
                <w:sz w:val="15"/>
                <w:szCs w:val="15"/>
                <w:lang w:val="en-US" w:eastAsia="zh-CN"/>
              </w:rPr>
              <w:t>.</w:t>
            </w:r>
            <w:r>
              <w:rPr>
                <w:rFonts w:hint="eastAsia" w:ascii="CESI仿宋-GB2312" w:hAnsi="CESI仿宋-GB2312" w:eastAsia="CESI仿宋-GB2312" w:cs="CESI仿宋-GB2312"/>
                <w:sz w:val="15"/>
                <w:szCs w:val="15"/>
              </w:rPr>
              <w:t>调查责任：指定专人负责，及时组织调查取证，与当事人有直接利害关系的应当回避。执法人员不得少于两人，调查时应出示执法证件，允许当事人辩解陈述。执法人员应保守有关秘密。3</w:t>
            </w:r>
            <w:r>
              <w:rPr>
                <w:rFonts w:hint="eastAsia" w:ascii="CESI仿宋-GB2312" w:hAnsi="CESI仿宋-GB2312" w:eastAsia="CESI仿宋-GB2312" w:cs="CESI仿宋-GB2312"/>
                <w:sz w:val="15"/>
                <w:szCs w:val="15"/>
                <w:lang w:val="en-US" w:eastAsia="zh-CN"/>
              </w:rPr>
              <w:t>.</w:t>
            </w:r>
            <w:r>
              <w:rPr>
                <w:rFonts w:hint="eastAsia" w:ascii="CESI仿宋-GB2312" w:hAnsi="CESI仿宋-GB2312" w:eastAsia="CESI仿宋-GB2312" w:cs="CESI仿宋-GB2312"/>
                <w:sz w:val="15"/>
                <w:szCs w:val="15"/>
              </w:rPr>
              <w:t>审查责任：审理案件调查报告，对案件违法事实、证据、调查取证程序、法律适用、处罚种类和幅度、当事人陈述和申辩理由等方面进行审查，提出处理意见（主要证据不足时，以适当的方式补充调查）。4</w:t>
            </w:r>
            <w:r>
              <w:rPr>
                <w:rFonts w:hint="eastAsia" w:ascii="CESI仿宋-GB2312" w:hAnsi="CESI仿宋-GB2312" w:eastAsia="CESI仿宋-GB2312" w:cs="CESI仿宋-GB2312"/>
                <w:sz w:val="15"/>
                <w:szCs w:val="15"/>
                <w:lang w:val="en-US" w:eastAsia="zh-CN"/>
              </w:rPr>
              <w:t>.</w:t>
            </w:r>
            <w:r>
              <w:rPr>
                <w:rFonts w:hint="eastAsia" w:ascii="CESI仿宋-GB2312" w:hAnsi="CESI仿宋-GB2312" w:eastAsia="CESI仿宋-GB2312" w:cs="CESI仿宋-GB2312"/>
                <w:sz w:val="15"/>
                <w:szCs w:val="15"/>
              </w:rPr>
              <w:t>告知责任：作出行政处罚决定前，应制作《行政处罚告知书》送达当事人，告知违法事实及其享有的陈述、申辩等权利。符合听证规定的，制作并送达《行政处罚听证告知书》。5</w:t>
            </w:r>
            <w:r>
              <w:rPr>
                <w:rFonts w:hint="eastAsia" w:ascii="CESI仿宋-GB2312" w:hAnsi="CESI仿宋-GB2312" w:eastAsia="CESI仿宋-GB2312" w:cs="CESI仿宋-GB2312"/>
                <w:sz w:val="15"/>
                <w:szCs w:val="15"/>
                <w:lang w:val="en-US" w:eastAsia="zh-CN"/>
              </w:rPr>
              <w:t>.</w:t>
            </w:r>
            <w:r>
              <w:rPr>
                <w:rFonts w:hint="eastAsia" w:ascii="CESI仿宋-GB2312" w:hAnsi="CESI仿宋-GB2312" w:eastAsia="CESI仿宋-GB2312" w:cs="CESI仿宋-GB2312"/>
                <w:sz w:val="15"/>
                <w:szCs w:val="15"/>
              </w:rPr>
              <w:t>决定责任：制作行政处罚决定书，载明行政处罚告知、当事人陈述申辩或者听证情况等内容。6</w:t>
            </w:r>
            <w:r>
              <w:rPr>
                <w:rFonts w:hint="eastAsia" w:ascii="CESI仿宋-GB2312" w:hAnsi="CESI仿宋-GB2312" w:eastAsia="CESI仿宋-GB2312" w:cs="CESI仿宋-GB2312"/>
                <w:sz w:val="15"/>
                <w:szCs w:val="15"/>
                <w:lang w:val="en-US" w:eastAsia="zh-CN"/>
              </w:rPr>
              <w:t>.</w:t>
            </w:r>
            <w:r>
              <w:rPr>
                <w:rFonts w:hint="eastAsia" w:ascii="CESI仿宋-GB2312" w:hAnsi="CESI仿宋-GB2312" w:eastAsia="CESI仿宋-GB2312" w:cs="CESI仿宋-GB2312"/>
                <w:sz w:val="15"/>
                <w:szCs w:val="15"/>
              </w:rPr>
              <w:t>送达责任：行政处罚决定书按法律规定的方式送达当事人</w:t>
            </w:r>
            <w:r>
              <w:rPr>
                <w:rFonts w:hint="eastAsia" w:ascii="CESI仿宋-GB2312" w:hAnsi="CESI仿宋-GB2312" w:eastAsia="CESI仿宋-GB2312" w:cs="CESI仿宋-GB2312"/>
                <w:color w:val="auto"/>
                <w:sz w:val="15"/>
                <w:szCs w:val="15"/>
              </w:rPr>
              <w:t>。7</w:t>
            </w:r>
            <w:r>
              <w:rPr>
                <w:rFonts w:hint="eastAsia" w:ascii="CESI仿宋-GB2312" w:hAnsi="CESI仿宋-GB2312" w:eastAsia="CESI仿宋-GB2312" w:cs="CESI仿宋-GB2312"/>
                <w:color w:val="auto"/>
                <w:sz w:val="15"/>
                <w:szCs w:val="15"/>
                <w:lang w:val="en-US" w:eastAsia="zh-CN"/>
              </w:rPr>
              <w:t>.</w:t>
            </w:r>
            <w:r>
              <w:rPr>
                <w:rFonts w:hint="eastAsia" w:ascii="CESI仿宋-GB2312" w:hAnsi="CESI仿宋-GB2312" w:eastAsia="CESI仿宋-GB2312" w:cs="CESI仿宋-GB2312"/>
                <w:color w:val="auto"/>
                <w:sz w:val="15"/>
                <w:szCs w:val="15"/>
              </w:rPr>
              <w:t>执行责任：依照生效的行政处罚决定</w:t>
            </w:r>
            <w:r>
              <w:rPr>
                <w:rFonts w:hint="eastAsia" w:ascii="CESI仿宋-GB2312" w:hAnsi="CESI仿宋-GB2312" w:eastAsia="CESI仿宋-GB2312" w:cs="CESI仿宋-GB2312"/>
                <w:color w:val="auto"/>
                <w:sz w:val="15"/>
                <w:szCs w:val="15"/>
                <w:lang w:eastAsia="zh-CN"/>
              </w:rPr>
              <w:t>实施处罚</w:t>
            </w:r>
            <w:r>
              <w:rPr>
                <w:rFonts w:hint="eastAsia" w:ascii="CESI仿宋-GB2312" w:hAnsi="CESI仿宋-GB2312" w:eastAsia="CESI仿宋-GB2312" w:cs="CESI仿宋-GB2312"/>
                <w:color w:val="auto"/>
                <w:sz w:val="15"/>
                <w:szCs w:val="15"/>
              </w:rPr>
              <w:t>。</w:t>
            </w:r>
            <w:r>
              <w:rPr>
                <w:rFonts w:hint="eastAsia" w:ascii="CESI仿宋-GB2312" w:hAnsi="CESI仿宋-GB2312" w:eastAsia="CESI仿宋-GB2312" w:cs="CESI仿宋-GB2312"/>
                <w:sz w:val="15"/>
                <w:szCs w:val="15"/>
                <w:lang w:val="en-US" w:eastAsia="zh-CN"/>
              </w:rPr>
              <w:t>8.</w:t>
            </w:r>
            <w:r>
              <w:rPr>
                <w:rFonts w:hint="eastAsia" w:ascii="CESI仿宋-GB2312" w:hAnsi="CESI仿宋-GB2312" w:eastAsia="CESI仿宋-GB2312" w:cs="CESI仿宋-GB2312"/>
                <w:sz w:val="15"/>
                <w:szCs w:val="15"/>
              </w:rPr>
              <w:t>其他法律法规规章文件规定应履行的责任。</w:t>
            </w:r>
          </w:p>
        </w:tc>
        <w:tc>
          <w:tcPr>
            <w:tcW w:w="2550" w:type="dxa"/>
            <w:vAlign w:val="center"/>
          </w:tcPr>
          <w:p>
            <w:pPr>
              <w:keepNext w:val="0"/>
              <w:keepLines w:val="0"/>
              <w:pageBreakBefore w:val="0"/>
              <w:tabs>
                <w:tab w:val="left" w:pos="7937"/>
              </w:tabs>
              <w:kinsoku/>
              <w:wordWrap/>
              <w:overflowPunct/>
              <w:topLinePunct w:val="0"/>
              <w:autoSpaceDE/>
              <w:bidi w:val="0"/>
              <w:adjustRightInd/>
              <w:snapToGrid/>
              <w:spacing w:line="220" w:lineRule="exact"/>
              <w:ind w:firstLine="300" w:firstLineChars="20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因不履行或不正确履行行政职责，有下列情形的，行政机关及相关工作人员应承担相应责任：</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1、没有法律和事实依据实施行政处罚的；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2、行政处罚显失公正的；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3、执法人员玩忽职守，对应当予以制止和处罚的违法行为不予制止、处罚；</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4、不具备行政执法资格实施行政处罚的；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5、在制止以及查处违法案件中受阻，依照有关规定应当向本级人民政府或者上级主管部门报告而未报告的；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6、应当依法移送追究刑事责任，而未依法移送有权机关的；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7</w:t>
            </w:r>
            <w:r>
              <w:rPr>
                <w:rFonts w:hint="eastAsia" w:ascii="CESI仿宋-GB2312" w:hAnsi="CESI仿宋-GB2312" w:eastAsia="CESI仿宋-GB2312" w:cs="CESI仿宋-GB2312"/>
                <w:color w:val="auto"/>
                <w:sz w:val="15"/>
                <w:szCs w:val="15"/>
              </w:rPr>
              <w:t>、擅自改变行政处罚种类、幅度的；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8</w:t>
            </w:r>
            <w:r>
              <w:rPr>
                <w:rFonts w:hint="eastAsia" w:ascii="CESI仿宋-GB2312" w:hAnsi="CESI仿宋-GB2312" w:eastAsia="CESI仿宋-GB2312" w:cs="CESI仿宋-GB2312"/>
                <w:color w:val="auto"/>
                <w:sz w:val="15"/>
                <w:szCs w:val="15"/>
              </w:rPr>
              <w:t>、违反法定的行政处罚程序的；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9</w:t>
            </w:r>
            <w:r>
              <w:rPr>
                <w:rFonts w:hint="eastAsia" w:ascii="CESI仿宋-GB2312" w:hAnsi="CESI仿宋-GB2312" w:eastAsia="CESI仿宋-GB2312" w:cs="CESI仿宋-GB2312"/>
                <w:color w:val="auto"/>
                <w:sz w:val="15"/>
                <w:szCs w:val="15"/>
              </w:rPr>
              <w:t>、符合听证条件、行政管理相对人要求听证，应予组织听证而不组织听证的；</w:t>
            </w:r>
          </w:p>
          <w:p>
            <w:pPr>
              <w:keepNext w:val="0"/>
              <w:keepLines w:val="0"/>
              <w:pageBreakBefore w:val="0"/>
              <w:tabs>
                <w:tab w:val="left" w:pos="7937"/>
              </w:tabs>
              <w:kinsoku/>
              <w:wordWrap/>
              <w:overflowPunct/>
              <w:topLinePunct w:val="0"/>
              <w:autoSpaceDE/>
              <w:bidi w:val="0"/>
              <w:adjustRightInd/>
              <w:snapToGrid/>
              <w:spacing w:line="22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10</w:t>
            </w:r>
            <w:r>
              <w:rPr>
                <w:rFonts w:hint="eastAsia" w:ascii="CESI仿宋-GB2312" w:hAnsi="CESI仿宋-GB2312" w:eastAsia="CESI仿宋-GB2312" w:cs="CESI仿宋-GB2312"/>
                <w:color w:val="auto"/>
                <w:sz w:val="15"/>
                <w:szCs w:val="15"/>
              </w:rPr>
              <w:t>、在行政处罚过程中发生腐败行为的；</w:t>
            </w:r>
          </w:p>
          <w:p>
            <w:pPr>
              <w:keepNext w:val="0"/>
              <w:keepLines w:val="0"/>
              <w:pageBreakBefore w:val="0"/>
              <w:widowControl w:val="0"/>
              <w:kinsoku/>
              <w:wordWrap/>
              <w:overflowPunct/>
              <w:topLinePunct w:val="0"/>
              <w:autoSpaceDE/>
              <w:autoSpaceDN w:val="0"/>
              <w:bidi w:val="0"/>
              <w:adjustRightInd/>
              <w:snapToGrid/>
              <w:spacing w:before="0" w:after="0" w:line="220" w:lineRule="exact"/>
              <w:ind w:left="0" w:leftChars="0" w:right="0" w:rightChars="0" w:firstLine="0" w:firstLineChars="0"/>
              <w:jc w:val="center"/>
              <w:textAlignment w:val="center"/>
              <w:outlineLvl w:val="9"/>
              <w:rPr>
                <w:rFonts w:hint="eastAsia" w:ascii="CESI仿宋-GB2312" w:hAnsi="CESI仿宋-GB2312" w:eastAsia="CESI仿宋-GB2312" w:cs="CESI仿宋-GB2312"/>
                <w:b w:val="0"/>
                <w:bCs w:val="0"/>
                <w:i w:val="0"/>
                <w:snapToGrid/>
                <w:color w:val="auto"/>
                <w:sz w:val="15"/>
                <w:szCs w:val="15"/>
                <w:highlight w:val="none"/>
                <w:u w:val="none"/>
                <w:lang w:eastAsia="zh-CN"/>
              </w:rPr>
            </w:pPr>
            <w:r>
              <w:rPr>
                <w:rFonts w:hint="eastAsia" w:ascii="CESI仿宋-GB2312" w:hAnsi="CESI仿宋-GB2312" w:eastAsia="CESI仿宋-GB2312" w:cs="CESI仿宋-GB2312"/>
                <w:color w:val="auto"/>
                <w:sz w:val="15"/>
                <w:szCs w:val="15"/>
                <w:lang w:val="en-US" w:eastAsia="zh-CN"/>
              </w:rPr>
              <w:t>11</w:t>
            </w:r>
            <w:r>
              <w:rPr>
                <w:rFonts w:hint="eastAsia" w:ascii="CESI仿宋-GB2312" w:hAnsi="CESI仿宋-GB2312" w:eastAsia="CESI仿宋-GB2312" w:cs="CESI仿宋-GB2312"/>
                <w:color w:val="auto"/>
                <w:sz w:val="15"/>
                <w:szCs w:val="15"/>
              </w:rPr>
              <w:t>、其他违反法律法规规章文件规定的行为。</w:t>
            </w:r>
          </w:p>
          <w:p>
            <w:pPr>
              <w:keepNext w:val="0"/>
              <w:keepLines w:val="0"/>
              <w:pageBreakBefore w:val="0"/>
              <w:widowControl w:val="0"/>
              <w:kinsoku/>
              <w:wordWrap/>
              <w:overflowPunct/>
              <w:topLinePunct w:val="0"/>
              <w:autoSpaceDE/>
              <w:autoSpaceDN w:val="0"/>
              <w:bidi w:val="0"/>
              <w:adjustRightInd/>
              <w:snapToGrid/>
              <w:spacing w:before="0" w:after="0" w:line="220" w:lineRule="exact"/>
              <w:ind w:left="0" w:leftChars="0" w:right="0" w:rightChars="0" w:firstLine="0" w:firstLineChars="0"/>
              <w:jc w:val="center"/>
              <w:textAlignment w:val="center"/>
              <w:outlineLvl w:val="9"/>
              <w:rPr>
                <w:rFonts w:hint="eastAsia" w:ascii="CESI仿宋-GB2312" w:hAnsi="CESI仿宋-GB2312" w:eastAsia="CESI仿宋-GB2312" w:cs="CESI仿宋-GB2312"/>
                <w:kern w:val="2"/>
                <w:sz w:val="15"/>
                <w:szCs w:val="15"/>
                <w:lang w:val="en-US" w:eastAsia="zh-CN" w:bidi="ar-SA"/>
              </w:rPr>
            </w:pP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both"/>
              <w:textAlignment w:val="auto"/>
              <w:outlineLvl w:val="9"/>
              <w:rPr>
                <w:rFonts w:hint="eastAsia" w:ascii="华文仿宋" w:hAnsi="华文仿宋" w:eastAsia="华文仿宋" w:cs="华文仿宋"/>
                <w:kern w:val="2"/>
                <w:sz w:val="15"/>
                <w:szCs w:val="15"/>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6</w:t>
            </w:r>
          </w:p>
        </w:tc>
        <w:tc>
          <w:tcPr>
            <w:tcW w:w="92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kern w:val="2"/>
                <w:sz w:val="15"/>
                <w:szCs w:val="15"/>
                <w:vertAlign w:val="baseline"/>
                <w:lang w:val="en-US" w:eastAsia="zh-CN" w:bidi="ar-SA"/>
              </w:rPr>
            </w:pPr>
            <w:r>
              <w:rPr>
                <w:rFonts w:hint="eastAsia" w:ascii="华文仿宋" w:hAnsi="华文仿宋" w:eastAsia="华文仿宋" w:cs="华文仿宋"/>
                <w:sz w:val="15"/>
                <w:szCs w:val="15"/>
                <w:vertAlign w:val="baseline"/>
                <w:lang w:eastAsia="zh-CN"/>
              </w:rPr>
              <w:t>行政处罚</w:t>
            </w:r>
          </w:p>
        </w:tc>
        <w:tc>
          <w:tcPr>
            <w:tcW w:w="1684"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0" w:firstLineChars="0"/>
              <w:jc w:val="both"/>
              <w:textAlignment w:val="center"/>
              <w:rPr>
                <w:rFonts w:hint="eastAsia" w:ascii="华文仿宋" w:hAnsi="华文仿宋" w:eastAsia="华文仿宋" w:cs="华文仿宋"/>
                <w:i w:val="0"/>
                <w:iCs w:val="0"/>
                <w:color w:val="auto"/>
                <w:kern w:val="0"/>
                <w:sz w:val="15"/>
                <w:szCs w:val="15"/>
                <w:u w:val="none"/>
                <w:lang w:val="en-US" w:eastAsia="zh-CN" w:bidi="ar"/>
              </w:rPr>
            </w:pPr>
            <w:r>
              <w:rPr>
                <w:rFonts w:hint="eastAsia" w:ascii="华文仿宋" w:hAnsi="华文仿宋" w:eastAsia="华文仿宋" w:cs="华文仿宋"/>
                <w:i w:val="0"/>
                <w:iCs w:val="0"/>
                <w:color w:val="auto"/>
                <w:kern w:val="0"/>
                <w:sz w:val="15"/>
                <w:szCs w:val="15"/>
                <w:u w:val="none"/>
                <w:lang w:val="en-US" w:eastAsia="zh-CN" w:bidi="ar"/>
              </w:rPr>
              <w:t>对没有取得律师执业证书的人员以律师名义从事法律服务业务行为的行政处罚</w:t>
            </w:r>
          </w:p>
        </w:tc>
        <w:tc>
          <w:tcPr>
            <w:tcW w:w="1776"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300" w:firstLineChars="200"/>
              <w:jc w:val="left"/>
              <w:textAlignment w:val="center"/>
              <w:rPr>
                <w:rFonts w:hint="eastAsia" w:ascii="华文仿宋" w:hAnsi="华文仿宋" w:eastAsia="华文仿宋" w:cs="华文仿宋"/>
                <w:i w:val="0"/>
                <w:iCs w:val="0"/>
                <w:color w:val="auto"/>
                <w:kern w:val="0"/>
                <w:sz w:val="15"/>
                <w:szCs w:val="15"/>
                <w:u w:val="none"/>
                <w:lang w:val="en-US" w:eastAsia="zh-CN" w:bidi="ar"/>
              </w:rPr>
            </w:pPr>
            <w:r>
              <w:rPr>
                <w:rFonts w:hint="eastAsia" w:ascii="华文仿宋" w:hAnsi="华文仿宋" w:eastAsia="华文仿宋" w:cs="华文仿宋"/>
                <w:i w:val="0"/>
                <w:iCs w:val="0"/>
                <w:color w:val="auto"/>
                <w:kern w:val="0"/>
                <w:sz w:val="15"/>
                <w:szCs w:val="15"/>
                <w:u w:val="none"/>
                <w:lang w:val="en-US" w:eastAsia="zh-CN" w:bidi="ar"/>
              </w:rPr>
              <w:t>区司法局</w:t>
            </w:r>
          </w:p>
        </w:tc>
        <w:tc>
          <w:tcPr>
            <w:tcW w:w="2487"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300" w:firstLineChars="200"/>
              <w:jc w:val="left"/>
              <w:textAlignment w:val="center"/>
              <w:rPr>
                <w:rFonts w:hint="eastAsia" w:ascii="华文仿宋" w:hAnsi="华文仿宋" w:eastAsia="华文仿宋" w:cs="华文仿宋"/>
                <w:i w:val="0"/>
                <w:iCs w:val="0"/>
                <w:color w:val="auto"/>
                <w:kern w:val="0"/>
                <w:sz w:val="15"/>
                <w:szCs w:val="15"/>
                <w:u w:val="none"/>
                <w:lang w:val="en-US" w:eastAsia="zh-CN" w:bidi="ar"/>
              </w:rPr>
            </w:pPr>
            <w:r>
              <w:rPr>
                <w:rFonts w:hint="eastAsia" w:ascii="华文仿宋" w:hAnsi="华文仿宋" w:eastAsia="华文仿宋" w:cs="华文仿宋"/>
                <w:i w:val="0"/>
                <w:iCs w:val="0"/>
                <w:color w:val="auto"/>
                <w:kern w:val="0"/>
                <w:sz w:val="15"/>
                <w:szCs w:val="15"/>
                <w:u w:val="none"/>
                <w:lang w:val="en-US" w:eastAsia="zh-CN" w:bidi="ar"/>
              </w:rPr>
              <w:t>《中华人民共和国律师法》第五十五条 没有取得律师执业证书的人员以律师名义从事法律服务业务的，由所在地的县级以上地方人民政府司法行政部门责令停止非法执业，没收违法所得，处违法所得一倍以上五倍以下的罚款。</w:t>
            </w:r>
          </w:p>
        </w:tc>
        <w:tc>
          <w:tcPr>
            <w:tcW w:w="2388" w:type="dxa"/>
            <w:vAlign w:val="center"/>
          </w:tcPr>
          <w:p>
            <w:pPr>
              <w:keepNext w:val="0"/>
              <w:keepLines w:val="0"/>
              <w:pageBreakBefore w:val="0"/>
              <w:widowControl/>
              <w:suppressLineNumbers w:val="0"/>
              <w:kinsoku/>
              <w:wordWrap/>
              <w:overflowPunct/>
              <w:topLinePunct w:val="0"/>
              <w:autoSpaceDE/>
              <w:autoSpaceDN/>
              <w:bidi w:val="0"/>
              <w:adjustRightInd/>
              <w:snapToGrid/>
              <w:spacing w:line="230" w:lineRule="exact"/>
              <w:ind w:firstLine="300" w:firstLineChars="200"/>
              <w:jc w:val="both"/>
              <w:textAlignment w:val="center"/>
              <w:rPr>
                <w:rFonts w:hint="eastAsia" w:ascii="CESI仿宋-GB2312" w:hAnsi="CESI仿宋-GB2312" w:eastAsia="CESI仿宋-GB2312" w:cs="CESI仿宋-GB2312"/>
                <w:kern w:val="2"/>
                <w:sz w:val="15"/>
                <w:szCs w:val="15"/>
                <w:lang w:val="en-US" w:eastAsia="zh-CN" w:bidi="ar-SA"/>
              </w:rPr>
            </w:pPr>
            <w:r>
              <w:rPr>
                <w:rFonts w:hint="eastAsia" w:ascii="CESI仿宋-GB2312" w:hAnsi="CESI仿宋-GB2312" w:eastAsia="CESI仿宋-GB2312" w:cs="CESI仿宋-GB2312"/>
                <w:sz w:val="15"/>
                <w:szCs w:val="15"/>
              </w:rPr>
              <w:t>1、立案责任：发现</w:t>
            </w:r>
            <w:r>
              <w:rPr>
                <w:rFonts w:hint="eastAsia" w:ascii="CESI仿宋-GB2312" w:hAnsi="CESI仿宋-GB2312" w:eastAsia="CESI仿宋-GB2312" w:cs="CESI仿宋-GB2312"/>
                <w:sz w:val="15"/>
                <w:szCs w:val="15"/>
                <w:lang w:val="en-US" w:eastAsia="zh-CN"/>
              </w:rPr>
              <w:t>涉嫌</w:t>
            </w:r>
            <w:r>
              <w:rPr>
                <w:rFonts w:hint="eastAsia" w:ascii="CESI仿宋-GB2312" w:hAnsi="CESI仿宋-GB2312" w:eastAsia="CESI仿宋-GB2312" w:cs="CESI仿宋-GB2312"/>
                <w:b w:val="0"/>
                <w:i w:val="0"/>
                <w:snapToGrid/>
                <w:color w:val="auto"/>
                <w:sz w:val="15"/>
                <w:szCs w:val="15"/>
                <w:u w:val="none"/>
                <w:lang w:eastAsia="zh-CN"/>
              </w:rPr>
              <w:t>《基层法律服务工作者管理办法》 （</w:t>
            </w:r>
            <w:r>
              <w:rPr>
                <w:rFonts w:hint="eastAsia" w:ascii="CESI仿宋-GB2312" w:hAnsi="CESI仿宋-GB2312" w:eastAsia="CESI仿宋-GB2312" w:cs="CESI仿宋-GB2312"/>
                <w:i w:val="0"/>
                <w:caps w:val="0"/>
                <w:color w:val="auto"/>
                <w:spacing w:val="0"/>
                <w:sz w:val="15"/>
                <w:szCs w:val="15"/>
                <w:shd w:val="clear" w:color="070000" w:fill="FFFFFF"/>
              </w:rPr>
              <w:t>2000年3月30日司法部令第60号公布，根据2017年12月25日司法部令第138号修订</w:t>
            </w:r>
            <w:r>
              <w:rPr>
                <w:rFonts w:hint="eastAsia" w:ascii="CESI仿宋-GB2312" w:hAnsi="CESI仿宋-GB2312" w:eastAsia="CESI仿宋-GB2312" w:cs="CESI仿宋-GB2312"/>
                <w:b w:val="0"/>
                <w:i w:val="0"/>
                <w:snapToGrid/>
                <w:color w:val="auto"/>
                <w:sz w:val="15"/>
                <w:szCs w:val="15"/>
                <w:u w:val="none"/>
                <w:lang w:eastAsia="zh-CN"/>
              </w:rPr>
              <w:t>）第四十六条</w:t>
            </w:r>
            <w:r>
              <w:rPr>
                <w:rFonts w:hint="eastAsia" w:ascii="CESI仿宋-GB2312" w:hAnsi="CESI仿宋-GB2312" w:eastAsia="CESI仿宋-GB2312" w:cs="CESI仿宋-GB2312"/>
                <w:sz w:val="15"/>
                <w:szCs w:val="15"/>
                <w:lang w:val="en-US" w:eastAsia="zh-CN"/>
              </w:rPr>
              <w:t>情形的</w:t>
            </w:r>
            <w:r>
              <w:rPr>
                <w:rFonts w:hint="eastAsia" w:ascii="CESI仿宋-GB2312" w:hAnsi="CESI仿宋-GB2312" w:eastAsia="CESI仿宋-GB2312" w:cs="CESI仿宋-GB2312"/>
                <w:sz w:val="15"/>
                <w:szCs w:val="15"/>
              </w:rPr>
              <w:t>，予以审查，决定是否立案。2、调查责任：指定专人负责，及时组织调查取证，与当事人有直接利害关系的应当回避。执法人员不得少于两人，调查时应出示执法证件，允许当事人辩解陈述。执法人员应保守有关秘密。3、审查责任：审理案件调查报告，对案件违法事实、证据、调查取证程序、法律适用、处罚种类和幅度、当事人陈述和申辩理由等方面进行审查，提出处理意见（主要证据不足时，以适当的方式补充调查）。4、告知责任：作出行政处罚决定前，应制作《行政处罚告知书》送达当事人，告知违法事实及其享有的陈述、申辩等权利。符合听证规定的，制作并送达《行政处罚听证告知书》。5、决定责任：制作行政处罚决定书，载明行政处罚告知、当事人陈述申辩或者听证情况等内容。6、送达责任：行政处罚决定书按法律规定的方式送达当事人</w:t>
            </w:r>
            <w:r>
              <w:rPr>
                <w:rFonts w:hint="eastAsia" w:ascii="CESI仿宋-GB2312" w:hAnsi="CESI仿宋-GB2312" w:eastAsia="CESI仿宋-GB2312" w:cs="CESI仿宋-GB2312"/>
                <w:color w:val="auto"/>
                <w:sz w:val="15"/>
                <w:szCs w:val="15"/>
              </w:rPr>
              <w:t>。7、执行责任：依照生效的行政处罚决定</w:t>
            </w:r>
            <w:r>
              <w:rPr>
                <w:rFonts w:hint="eastAsia" w:ascii="CESI仿宋-GB2312" w:hAnsi="CESI仿宋-GB2312" w:eastAsia="CESI仿宋-GB2312" w:cs="CESI仿宋-GB2312"/>
                <w:color w:val="auto"/>
                <w:sz w:val="15"/>
                <w:szCs w:val="15"/>
                <w:lang w:eastAsia="zh-CN"/>
              </w:rPr>
              <w:t>实施处罚</w:t>
            </w:r>
            <w:r>
              <w:rPr>
                <w:rFonts w:hint="eastAsia" w:ascii="CESI仿宋-GB2312" w:hAnsi="CESI仿宋-GB2312" w:eastAsia="CESI仿宋-GB2312" w:cs="CESI仿宋-GB2312"/>
                <w:color w:val="auto"/>
                <w:sz w:val="15"/>
                <w:szCs w:val="15"/>
              </w:rPr>
              <w:t>。</w:t>
            </w:r>
            <w:r>
              <w:rPr>
                <w:rFonts w:hint="eastAsia" w:ascii="CESI仿宋-GB2312" w:hAnsi="CESI仿宋-GB2312" w:eastAsia="CESI仿宋-GB2312" w:cs="CESI仿宋-GB2312"/>
                <w:sz w:val="15"/>
                <w:szCs w:val="15"/>
                <w:lang w:val="en-US" w:eastAsia="zh-CN"/>
              </w:rPr>
              <w:t>8</w:t>
            </w:r>
            <w:r>
              <w:rPr>
                <w:rFonts w:hint="eastAsia" w:ascii="CESI仿宋-GB2312" w:hAnsi="CESI仿宋-GB2312" w:eastAsia="CESI仿宋-GB2312" w:cs="CESI仿宋-GB2312"/>
                <w:sz w:val="15"/>
                <w:szCs w:val="15"/>
              </w:rPr>
              <w:t>、其他法律法规规章文件规定应履行的责任。</w:t>
            </w:r>
          </w:p>
        </w:tc>
        <w:tc>
          <w:tcPr>
            <w:tcW w:w="2550" w:type="dxa"/>
            <w:vAlign w:val="center"/>
          </w:tcPr>
          <w:p>
            <w:pPr>
              <w:keepNext w:val="0"/>
              <w:keepLines w:val="0"/>
              <w:pageBreakBefore w:val="0"/>
              <w:tabs>
                <w:tab w:val="left" w:pos="7937"/>
              </w:tabs>
              <w:kinsoku/>
              <w:wordWrap/>
              <w:overflowPunct/>
              <w:topLinePunct w:val="0"/>
              <w:autoSpaceDE/>
              <w:bidi w:val="0"/>
              <w:adjustRightInd/>
              <w:snapToGrid/>
              <w:spacing w:line="240" w:lineRule="exact"/>
              <w:ind w:firstLine="300" w:firstLineChars="20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因不履行或不正确履行行政职责，有下列情形的，行政机关及相关工作人员应承担相应责任：</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1、没有法律和事实依据实施行政处罚的；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2、行政处罚显失公正的；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3、执法人员玩忽职守，对应当予以制止和处罚的违法行为不予制止、处罚；</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4、不具备行政执法资格实施行政处罚的；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5、在制止以及查处违法案件中受阻，依照有关规定应当向本级人民政府或者上级主管部门报告而未报告的；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rPr>
              <w:t>6、应当依法移送追究刑事责任，而未依法移送有权机关的；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7</w:t>
            </w:r>
            <w:r>
              <w:rPr>
                <w:rFonts w:hint="eastAsia" w:ascii="CESI仿宋-GB2312" w:hAnsi="CESI仿宋-GB2312" w:eastAsia="CESI仿宋-GB2312" w:cs="CESI仿宋-GB2312"/>
                <w:color w:val="auto"/>
                <w:sz w:val="15"/>
                <w:szCs w:val="15"/>
              </w:rPr>
              <w:t>、擅自改变行政处罚种类、幅度的；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8</w:t>
            </w:r>
            <w:r>
              <w:rPr>
                <w:rFonts w:hint="eastAsia" w:ascii="CESI仿宋-GB2312" w:hAnsi="CESI仿宋-GB2312" w:eastAsia="CESI仿宋-GB2312" w:cs="CESI仿宋-GB2312"/>
                <w:color w:val="auto"/>
                <w:sz w:val="15"/>
                <w:szCs w:val="15"/>
              </w:rPr>
              <w:t>、违反法定的行政处罚程序的；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9</w:t>
            </w:r>
            <w:r>
              <w:rPr>
                <w:rFonts w:hint="eastAsia" w:ascii="CESI仿宋-GB2312" w:hAnsi="CESI仿宋-GB2312" w:eastAsia="CESI仿宋-GB2312" w:cs="CESI仿宋-GB2312"/>
                <w:color w:val="auto"/>
                <w:sz w:val="15"/>
                <w:szCs w:val="15"/>
              </w:rPr>
              <w:t>、符合听证条件、行政管理相对人要求听证，应予组织听证而不组织听证的；</w:t>
            </w:r>
          </w:p>
          <w:p>
            <w:pPr>
              <w:keepNext w:val="0"/>
              <w:keepLines w:val="0"/>
              <w:pageBreakBefore w:val="0"/>
              <w:tabs>
                <w:tab w:val="left" w:pos="7937"/>
              </w:tabs>
              <w:kinsoku/>
              <w:wordWrap/>
              <w:overflowPunct/>
              <w:topLinePunct w:val="0"/>
              <w:autoSpaceDE/>
              <w:bidi w:val="0"/>
              <w:adjustRightInd/>
              <w:snapToGrid/>
              <w:spacing w:line="240" w:lineRule="exact"/>
              <w:ind w:firstLine="0" w:firstLineChars="0"/>
              <w:jc w:val="left"/>
              <w:rPr>
                <w:rFonts w:hint="eastAsia" w:ascii="CESI仿宋-GB2312" w:hAnsi="CESI仿宋-GB2312" w:eastAsia="CESI仿宋-GB2312" w:cs="CESI仿宋-GB2312"/>
                <w:color w:val="auto"/>
                <w:sz w:val="15"/>
                <w:szCs w:val="15"/>
              </w:rPr>
            </w:pPr>
            <w:r>
              <w:rPr>
                <w:rFonts w:hint="eastAsia" w:ascii="CESI仿宋-GB2312" w:hAnsi="CESI仿宋-GB2312" w:eastAsia="CESI仿宋-GB2312" w:cs="CESI仿宋-GB2312"/>
                <w:color w:val="auto"/>
                <w:sz w:val="15"/>
                <w:szCs w:val="15"/>
                <w:lang w:val="en-US" w:eastAsia="zh-CN"/>
              </w:rPr>
              <w:t>10</w:t>
            </w:r>
            <w:r>
              <w:rPr>
                <w:rFonts w:hint="eastAsia" w:ascii="CESI仿宋-GB2312" w:hAnsi="CESI仿宋-GB2312" w:eastAsia="CESI仿宋-GB2312" w:cs="CESI仿宋-GB2312"/>
                <w:color w:val="auto"/>
                <w:sz w:val="15"/>
                <w:szCs w:val="15"/>
              </w:rPr>
              <w:t>、在行政处罚过程中发生腐败行为的；</w:t>
            </w:r>
          </w:p>
          <w:p>
            <w:pPr>
              <w:keepNext w:val="0"/>
              <w:keepLines w:val="0"/>
              <w:pageBreakBefore w:val="0"/>
              <w:widowControl w:val="0"/>
              <w:kinsoku/>
              <w:wordWrap/>
              <w:overflowPunct/>
              <w:topLinePunct w:val="0"/>
              <w:autoSpaceDE/>
              <w:autoSpaceDN w:val="0"/>
              <w:bidi w:val="0"/>
              <w:adjustRightInd/>
              <w:snapToGrid/>
              <w:spacing w:before="0" w:after="0" w:line="240" w:lineRule="exact"/>
              <w:ind w:left="0" w:leftChars="0" w:right="0" w:rightChars="0" w:firstLine="0" w:firstLineChars="0"/>
              <w:jc w:val="center"/>
              <w:textAlignment w:val="center"/>
              <w:outlineLvl w:val="9"/>
              <w:rPr>
                <w:rFonts w:hint="eastAsia" w:ascii="CESI仿宋-GB2312" w:hAnsi="CESI仿宋-GB2312" w:eastAsia="CESI仿宋-GB2312" w:cs="CESI仿宋-GB2312"/>
                <w:b w:val="0"/>
                <w:bCs w:val="0"/>
                <w:i w:val="0"/>
                <w:snapToGrid/>
                <w:color w:val="auto"/>
                <w:sz w:val="15"/>
                <w:szCs w:val="15"/>
                <w:highlight w:val="none"/>
                <w:u w:val="none"/>
                <w:lang w:eastAsia="zh-CN"/>
              </w:rPr>
            </w:pPr>
            <w:r>
              <w:rPr>
                <w:rFonts w:hint="eastAsia" w:ascii="CESI仿宋-GB2312" w:hAnsi="CESI仿宋-GB2312" w:eastAsia="CESI仿宋-GB2312" w:cs="CESI仿宋-GB2312"/>
                <w:color w:val="auto"/>
                <w:sz w:val="15"/>
                <w:szCs w:val="15"/>
                <w:lang w:val="en-US" w:eastAsia="zh-CN"/>
              </w:rPr>
              <w:t>11</w:t>
            </w:r>
            <w:r>
              <w:rPr>
                <w:rFonts w:hint="eastAsia" w:ascii="CESI仿宋-GB2312" w:hAnsi="CESI仿宋-GB2312" w:eastAsia="CESI仿宋-GB2312" w:cs="CESI仿宋-GB2312"/>
                <w:color w:val="auto"/>
                <w:sz w:val="15"/>
                <w:szCs w:val="15"/>
              </w:rPr>
              <w:t>、其他违反法律法规规章文件规定的行为。</w:t>
            </w:r>
          </w:p>
          <w:p>
            <w:pPr>
              <w:keepNext w:val="0"/>
              <w:keepLines w:val="0"/>
              <w:pageBreakBefore w:val="0"/>
              <w:widowControl/>
              <w:suppressLineNumbers w:val="0"/>
              <w:shd w:val="clear" w:color="auto" w:fill="FFFFFF"/>
              <w:kinsoku/>
              <w:wordWrap/>
              <w:overflowPunct/>
              <w:topLinePunct w:val="0"/>
              <w:autoSpaceDE/>
              <w:bidi w:val="0"/>
              <w:adjustRightInd/>
              <w:snapToGrid/>
              <w:spacing w:line="240" w:lineRule="exact"/>
              <w:ind w:left="0" w:firstLine="0" w:firstLineChars="0"/>
              <w:jc w:val="left"/>
              <w:rPr>
                <w:rFonts w:hint="eastAsia" w:ascii="CESI仿宋-GB2312" w:hAnsi="CESI仿宋-GB2312" w:eastAsia="CESI仿宋-GB2312" w:cs="CESI仿宋-GB2312"/>
                <w:b w:val="0"/>
                <w:bCs w:val="0"/>
                <w:i w:val="0"/>
                <w:snapToGrid/>
                <w:color w:val="auto"/>
                <w:sz w:val="15"/>
                <w:szCs w:val="15"/>
                <w:highlight w:val="none"/>
                <w:u w:val="none"/>
                <w:lang w:eastAsia="zh-CN"/>
              </w:rPr>
            </w:pPr>
          </w:p>
          <w:p>
            <w:pPr>
              <w:keepNext w:val="0"/>
              <w:keepLines w:val="0"/>
              <w:pageBreakBefore w:val="0"/>
              <w:widowControl/>
              <w:suppressLineNumbers w:val="0"/>
              <w:shd w:val="clear" w:color="auto" w:fill="FFFFFF"/>
              <w:kinsoku/>
              <w:wordWrap/>
              <w:overflowPunct/>
              <w:topLinePunct w:val="0"/>
              <w:autoSpaceDE/>
              <w:bidi w:val="0"/>
              <w:adjustRightInd/>
              <w:snapToGrid/>
              <w:spacing w:line="240" w:lineRule="exact"/>
              <w:ind w:left="0" w:firstLine="0" w:firstLineChars="0"/>
              <w:jc w:val="left"/>
              <w:rPr>
                <w:rFonts w:hint="eastAsia" w:ascii="CESI仿宋-GB2312" w:hAnsi="CESI仿宋-GB2312" w:eastAsia="CESI仿宋-GB2312" w:cs="CESI仿宋-GB2312"/>
                <w:b w:val="0"/>
                <w:bCs w:val="0"/>
                <w:i w:val="0"/>
                <w:snapToGrid/>
                <w:color w:val="0070C0"/>
                <w:sz w:val="15"/>
                <w:szCs w:val="15"/>
                <w:highlight w:val="none"/>
                <w:u w:val="none"/>
                <w:lang w:eastAsia="zh-CN"/>
              </w:rPr>
            </w:pPr>
          </w:p>
          <w:p>
            <w:pPr>
              <w:pStyle w:val="2"/>
              <w:keepNext w:val="0"/>
              <w:keepLines w:val="0"/>
              <w:pageBreakBefore w:val="0"/>
              <w:kinsoku/>
              <w:wordWrap/>
              <w:overflowPunct/>
              <w:topLinePunct w:val="0"/>
              <w:autoSpaceDE/>
              <w:bidi w:val="0"/>
              <w:adjustRightInd/>
              <w:snapToGrid/>
              <w:spacing w:line="240" w:lineRule="exact"/>
              <w:ind w:firstLine="0" w:firstLineChars="0"/>
              <w:rPr>
                <w:rFonts w:hint="eastAsia" w:ascii="CESI仿宋-GB2312" w:hAnsi="CESI仿宋-GB2312" w:eastAsia="CESI仿宋-GB2312" w:cs="CESI仿宋-GB2312"/>
                <w:sz w:val="15"/>
                <w:szCs w:val="15"/>
                <w:lang w:eastAsia="zh-CN"/>
              </w:rPr>
            </w:pPr>
          </w:p>
          <w:p>
            <w:pPr>
              <w:pStyle w:val="2"/>
              <w:keepNext w:val="0"/>
              <w:keepLines w:val="0"/>
              <w:pageBreakBefore w:val="0"/>
              <w:kinsoku/>
              <w:wordWrap/>
              <w:overflowPunct/>
              <w:topLinePunct w:val="0"/>
              <w:autoSpaceDE/>
              <w:bidi w:val="0"/>
              <w:adjustRightInd/>
              <w:snapToGrid/>
              <w:spacing w:line="240" w:lineRule="exact"/>
              <w:ind w:firstLine="0" w:firstLineChars="0"/>
              <w:rPr>
                <w:rFonts w:hint="eastAsia" w:ascii="CESI仿宋-GB2312" w:hAnsi="CESI仿宋-GB2312" w:eastAsia="CESI仿宋-GB2312" w:cs="CESI仿宋-GB2312"/>
                <w:b w:val="0"/>
                <w:bCs w:val="0"/>
                <w:i w:val="0"/>
                <w:snapToGrid/>
                <w:color w:val="0070C0"/>
                <w:sz w:val="15"/>
                <w:szCs w:val="15"/>
                <w:highlight w:val="none"/>
                <w:u w:val="none"/>
                <w:lang w:eastAsia="zh-CN"/>
              </w:rPr>
            </w:pPr>
          </w:p>
          <w:p>
            <w:pPr>
              <w:pStyle w:val="2"/>
              <w:keepNext w:val="0"/>
              <w:keepLines w:val="0"/>
              <w:pageBreakBefore w:val="0"/>
              <w:kinsoku/>
              <w:wordWrap/>
              <w:overflowPunct/>
              <w:topLinePunct w:val="0"/>
              <w:autoSpaceDE/>
              <w:bidi w:val="0"/>
              <w:adjustRightInd/>
              <w:snapToGrid/>
              <w:spacing w:line="240" w:lineRule="exact"/>
              <w:ind w:firstLine="0" w:firstLineChars="0"/>
              <w:rPr>
                <w:rFonts w:hint="eastAsia" w:ascii="CESI仿宋-GB2312" w:hAnsi="CESI仿宋-GB2312" w:eastAsia="CESI仿宋-GB2312" w:cs="CESI仿宋-GB2312"/>
                <w:b w:val="0"/>
                <w:bCs w:val="0"/>
                <w:i w:val="0"/>
                <w:snapToGrid/>
                <w:color w:val="0070C0"/>
                <w:sz w:val="15"/>
                <w:szCs w:val="15"/>
                <w:highlight w:val="none"/>
                <w:u w:val="none"/>
                <w:lang w:eastAsia="zh-CN"/>
              </w:rPr>
            </w:pPr>
          </w:p>
          <w:p>
            <w:pPr>
              <w:pStyle w:val="2"/>
              <w:keepNext w:val="0"/>
              <w:keepLines w:val="0"/>
              <w:pageBreakBefore w:val="0"/>
              <w:kinsoku/>
              <w:wordWrap/>
              <w:overflowPunct/>
              <w:topLinePunct w:val="0"/>
              <w:autoSpaceDE/>
              <w:bidi w:val="0"/>
              <w:adjustRightInd/>
              <w:snapToGrid/>
              <w:spacing w:line="240" w:lineRule="exact"/>
              <w:ind w:firstLine="0" w:firstLineChars="0"/>
              <w:rPr>
                <w:rFonts w:hint="eastAsia" w:ascii="CESI仿宋-GB2312" w:hAnsi="CESI仿宋-GB2312" w:eastAsia="CESI仿宋-GB2312" w:cs="CESI仿宋-GB2312"/>
                <w:sz w:val="15"/>
                <w:szCs w:val="15"/>
              </w:rPr>
            </w:pPr>
          </w:p>
          <w:p>
            <w:pPr>
              <w:keepNext w:val="0"/>
              <w:keepLines w:val="0"/>
              <w:pageBreakBefore w:val="0"/>
              <w:widowControl w:val="0"/>
              <w:kinsoku/>
              <w:wordWrap/>
              <w:overflowPunct/>
              <w:topLinePunct w:val="0"/>
              <w:autoSpaceDE/>
              <w:autoSpaceDN w:val="0"/>
              <w:bidi w:val="0"/>
              <w:adjustRightInd/>
              <w:snapToGrid/>
              <w:spacing w:before="0" w:after="0" w:line="240" w:lineRule="exact"/>
              <w:ind w:left="0" w:leftChars="0" w:right="0" w:rightChars="0" w:firstLine="0" w:firstLineChars="0"/>
              <w:jc w:val="both"/>
              <w:textAlignment w:val="center"/>
              <w:outlineLvl w:val="9"/>
              <w:rPr>
                <w:rFonts w:hint="eastAsia" w:ascii="CESI仿宋-GB2312" w:hAnsi="CESI仿宋-GB2312" w:eastAsia="CESI仿宋-GB2312" w:cs="CESI仿宋-GB2312"/>
                <w:kern w:val="2"/>
                <w:sz w:val="15"/>
                <w:szCs w:val="15"/>
                <w:lang w:val="en-US" w:eastAsia="zh-CN" w:bidi="ar-SA"/>
              </w:rPr>
            </w:pP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both"/>
              <w:textAlignment w:val="auto"/>
              <w:outlineLvl w:val="9"/>
              <w:rPr>
                <w:rFonts w:hint="eastAsia" w:ascii="华文仿宋" w:hAnsi="华文仿宋" w:eastAsia="华文仿宋" w:cs="华文仿宋"/>
                <w:kern w:val="2"/>
                <w:sz w:val="15"/>
                <w:szCs w:val="15"/>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7</w:t>
            </w:r>
          </w:p>
        </w:tc>
        <w:tc>
          <w:tcPr>
            <w:tcW w:w="92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行政处罚</w:t>
            </w:r>
          </w:p>
        </w:tc>
        <w:tc>
          <w:tcPr>
            <w:tcW w:w="1684"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color w:val="auto"/>
                <w:kern w:val="2"/>
                <w:sz w:val="15"/>
                <w:szCs w:val="15"/>
                <w:vertAlign w:val="baseline"/>
                <w:lang w:val="en-US" w:eastAsia="zh-CN"/>
              </w:rPr>
            </w:pPr>
            <w:r>
              <w:rPr>
                <w:rFonts w:hint="eastAsia" w:ascii="华文仿宋" w:hAnsi="华文仿宋" w:eastAsia="华文仿宋" w:cs="华文仿宋"/>
                <w:color w:val="auto"/>
                <w:sz w:val="15"/>
                <w:szCs w:val="15"/>
                <w:lang w:val="en-US" w:eastAsia="zh-CN"/>
              </w:rPr>
              <w:t>对司法鉴定机构超出其职责范围从事司法鉴定或从事与其技术能力不相称的司法鉴定的处罚</w:t>
            </w:r>
          </w:p>
        </w:tc>
        <w:tc>
          <w:tcPr>
            <w:tcW w:w="1776"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区司法局</w:t>
            </w:r>
          </w:p>
        </w:tc>
        <w:tc>
          <w:tcPr>
            <w:tcW w:w="2487"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color w:val="auto"/>
                <w:kern w:val="2"/>
                <w:sz w:val="15"/>
                <w:szCs w:val="15"/>
                <w:lang w:val="en-US" w:eastAsia="zh-CN"/>
              </w:rPr>
            </w:pPr>
            <w:r>
              <w:rPr>
                <w:rFonts w:hint="eastAsia" w:ascii="华文仿宋" w:hAnsi="华文仿宋" w:eastAsia="华文仿宋" w:cs="华文仿宋"/>
                <w:color w:val="auto"/>
                <w:sz w:val="15"/>
                <w:szCs w:val="15"/>
                <w:lang w:val="en-US" w:eastAsia="zh-CN"/>
              </w:rPr>
              <w:t>《河北省司法鉴定管理条例》（2002年11月25日河北省第九届人民代表大会常务委员会第三十次会议通过2015年7月24日河北省第十二届人民代表大会常务委员会第十六次会议修正）第十一条：“司法鉴定机构不得超出其职责范围从事司法鉴定，不得从事与其技术能力不相称的司法鉴定。”第三十二条：“司法鉴定机构违反本条例第十一条规定，由县级以上人民政府司法行政部门责令其撤销司法鉴定结论，返还鉴定费用，并可处以鉴定费用一至三倍的罚款；拒不执行的，责令其停业整顿；情节严重的，由省人民政府司法行政部门吊销其《司法鉴定许可证》， 取消有关责任人的司法鉴定资格。”</w:t>
            </w:r>
          </w:p>
        </w:tc>
        <w:tc>
          <w:tcPr>
            <w:tcW w:w="2388" w:type="dxa"/>
            <w:vAlign w:val="center"/>
          </w:tcPr>
          <w:p>
            <w:pPr>
              <w:rPr>
                <w:rFonts w:hint="eastAsia" w:ascii="华文仿宋" w:hAnsi="华文仿宋" w:eastAsia="华文仿宋" w:cs="华文仿宋"/>
                <w:color w:val="auto"/>
                <w:kern w:val="2"/>
                <w:sz w:val="15"/>
                <w:szCs w:val="15"/>
                <w:lang w:val="en-US" w:eastAsia="zh-CN"/>
              </w:rPr>
            </w:pPr>
            <w:r>
              <w:rPr>
                <w:rFonts w:hint="eastAsia" w:ascii="华文仿宋" w:hAnsi="华文仿宋" w:eastAsia="华文仿宋" w:cs="华文仿宋"/>
                <w:color w:val="auto"/>
                <w:sz w:val="15"/>
                <w:szCs w:val="15"/>
              </w:rPr>
              <w:t>1、立案责任：发现</w:t>
            </w:r>
            <w:r>
              <w:rPr>
                <w:rFonts w:hint="eastAsia" w:ascii="华文仿宋" w:hAnsi="华文仿宋" w:eastAsia="华文仿宋" w:cs="华文仿宋"/>
                <w:color w:val="auto"/>
                <w:sz w:val="15"/>
                <w:szCs w:val="15"/>
                <w:lang w:val="en-US" w:eastAsia="zh-CN"/>
              </w:rPr>
              <w:t>涉嫌</w:t>
            </w:r>
            <w:r>
              <w:rPr>
                <w:rFonts w:hint="eastAsia" w:ascii="华文仿宋" w:hAnsi="华文仿宋" w:eastAsia="华文仿宋" w:cs="华文仿宋"/>
                <w:b w:val="0"/>
                <w:bCs w:val="0"/>
                <w:i w:val="0"/>
                <w:snapToGrid/>
                <w:color w:val="auto"/>
                <w:sz w:val="15"/>
                <w:szCs w:val="15"/>
                <w:u w:val="none"/>
                <w:lang w:eastAsia="zh-CN"/>
              </w:rPr>
              <w:t>《</w:t>
            </w:r>
            <w:r>
              <w:rPr>
                <w:rFonts w:hint="eastAsia" w:ascii="华文仿宋" w:hAnsi="华文仿宋" w:eastAsia="华文仿宋" w:cs="华文仿宋"/>
                <w:b w:val="0"/>
                <w:bCs w:val="0"/>
                <w:i w:val="0"/>
                <w:snapToGrid/>
                <w:color w:val="auto"/>
                <w:sz w:val="15"/>
                <w:szCs w:val="15"/>
                <w:u w:val="none"/>
                <w:lang w:val="en-US" w:eastAsia="zh-CN"/>
              </w:rPr>
              <w:t>河北省司法鉴定管理条例</w:t>
            </w:r>
            <w:r>
              <w:rPr>
                <w:rFonts w:hint="eastAsia" w:ascii="华文仿宋" w:hAnsi="华文仿宋" w:eastAsia="华文仿宋" w:cs="华文仿宋"/>
                <w:b w:val="0"/>
                <w:bCs w:val="0"/>
                <w:i w:val="0"/>
                <w:snapToGrid/>
                <w:color w:val="auto"/>
                <w:sz w:val="15"/>
                <w:szCs w:val="15"/>
                <w:u w:val="none"/>
                <w:lang w:eastAsia="zh-CN"/>
              </w:rPr>
              <w:t>》（</w:t>
            </w:r>
            <w:r>
              <w:rPr>
                <w:rFonts w:hint="eastAsia" w:ascii="华文仿宋" w:hAnsi="华文仿宋" w:eastAsia="华文仿宋" w:cs="华文仿宋"/>
                <w:color w:val="auto"/>
                <w:sz w:val="15"/>
                <w:szCs w:val="15"/>
              </w:rPr>
              <w:t>2002年11月25日河北省第九届人民代表大会常务委员会第三十次会议通过</w:t>
            </w:r>
            <w:r>
              <w:rPr>
                <w:rFonts w:hint="eastAsia" w:ascii="华文仿宋" w:hAnsi="华文仿宋" w:eastAsia="华文仿宋" w:cs="华文仿宋"/>
                <w:color w:val="auto"/>
                <w:sz w:val="15"/>
                <w:szCs w:val="15"/>
                <w:lang w:val="en-US" w:eastAsia="zh-CN"/>
              </w:rPr>
              <w:t xml:space="preserve"> </w:t>
            </w:r>
            <w:r>
              <w:rPr>
                <w:rFonts w:hint="eastAsia" w:ascii="华文仿宋" w:hAnsi="华文仿宋" w:eastAsia="华文仿宋" w:cs="华文仿宋"/>
                <w:color w:val="auto"/>
                <w:sz w:val="15"/>
                <w:szCs w:val="15"/>
              </w:rPr>
              <w:t> 2015年7月24日河北省第十二届人民代表大会常务委员会第十六次会议修正</w:t>
            </w:r>
            <w:r>
              <w:rPr>
                <w:rFonts w:hint="eastAsia" w:ascii="华文仿宋" w:hAnsi="华文仿宋" w:eastAsia="华文仿宋" w:cs="华文仿宋"/>
                <w:b w:val="0"/>
                <w:bCs w:val="0"/>
                <w:i w:val="0"/>
                <w:snapToGrid/>
                <w:color w:val="auto"/>
                <w:sz w:val="15"/>
                <w:szCs w:val="15"/>
                <w:u w:val="none"/>
                <w:lang w:eastAsia="zh-CN"/>
              </w:rPr>
              <w:t>）</w:t>
            </w:r>
            <w:r>
              <w:rPr>
                <w:rFonts w:hint="eastAsia" w:ascii="华文仿宋" w:hAnsi="华文仿宋" w:eastAsia="华文仿宋" w:cs="华文仿宋"/>
                <w:b w:val="0"/>
                <w:bCs w:val="0"/>
                <w:i w:val="0"/>
                <w:snapToGrid/>
                <w:color w:val="auto"/>
                <w:sz w:val="15"/>
                <w:szCs w:val="15"/>
                <w:u w:val="none"/>
                <w:lang w:val="en-US" w:eastAsia="zh-CN"/>
              </w:rPr>
              <w:t>第三十二条</w:t>
            </w:r>
            <w:r>
              <w:rPr>
                <w:rFonts w:hint="eastAsia" w:ascii="华文仿宋" w:hAnsi="华文仿宋" w:eastAsia="华文仿宋" w:cs="华文仿宋"/>
                <w:color w:val="auto"/>
                <w:sz w:val="15"/>
                <w:szCs w:val="15"/>
                <w:lang w:val="en-US" w:eastAsia="zh-CN"/>
              </w:rPr>
              <w:t>情形的</w:t>
            </w:r>
            <w:r>
              <w:rPr>
                <w:rFonts w:hint="eastAsia" w:ascii="华文仿宋" w:hAnsi="华文仿宋" w:eastAsia="华文仿宋" w:cs="华文仿宋"/>
                <w:color w:val="auto"/>
                <w:sz w:val="15"/>
                <w:szCs w:val="15"/>
              </w:rPr>
              <w:t>，予以审查，决定是否立案。2、调查责任：指定专人负责，及时组织调查取证，与当事人有直接利害关系的应当回避。执法人员不得少于两人，调查时应出示执法证件，允许当事人辩解陈述。执法人员应保守有关秘密。3、审查责任：审理案件调查报告，对案件违法事实、证据、调查取证程序、法律适用、处罚种类和幅度、当事人陈述和申辩理由等方面进行审查，提出处理意见（主要证据不足时，以适当的方式补充调查）。4、告知责任：作出行政处罚决定前，应制作《行政处罚告知书》送达当事人，告知违法事实及其享有的陈述、申辩等权利。符合听证规定的，制作并送达《行政处罚听证告知书》。5、决定责任：制作行政处罚决定书，载明行政处罚告知、当事人陈述申辩或者听证情况等内容。6、送达责任：行政处罚决定书按法律规定的方式送达当事人。</w:t>
            </w:r>
            <w:r>
              <w:rPr>
                <w:rFonts w:hint="eastAsia" w:ascii="华文仿宋" w:hAnsi="华文仿宋" w:eastAsia="华文仿宋" w:cs="华文仿宋"/>
                <w:color w:val="auto"/>
                <w:sz w:val="15"/>
                <w:szCs w:val="15"/>
              </w:rPr>
              <w:t>7、执行责任：依照生效的行政处罚决定</w:t>
            </w:r>
            <w:r>
              <w:rPr>
                <w:rFonts w:hint="eastAsia" w:ascii="华文仿宋" w:hAnsi="华文仿宋" w:eastAsia="华文仿宋" w:cs="华文仿宋"/>
                <w:color w:val="auto"/>
                <w:sz w:val="15"/>
                <w:szCs w:val="15"/>
                <w:lang w:eastAsia="zh-CN"/>
              </w:rPr>
              <w:t>实施处罚</w:t>
            </w:r>
            <w:r>
              <w:rPr>
                <w:rFonts w:hint="eastAsia" w:ascii="华文仿宋" w:hAnsi="华文仿宋" w:eastAsia="华文仿宋" w:cs="华文仿宋"/>
                <w:color w:val="auto"/>
                <w:sz w:val="15"/>
                <w:szCs w:val="15"/>
              </w:rPr>
              <w:t>。</w:t>
            </w:r>
            <w:r>
              <w:rPr>
                <w:rFonts w:hint="eastAsia" w:ascii="华文仿宋" w:hAnsi="华文仿宋" w:eastAsia="华文仿宋" w:cs="华文仿宋"/>
                <w:color w:val="auto"/>
                <w:sz w:val="15"/>
                <w:szCs w:val="15"/>
                <w:lang w:val="en-US" w:eastAsia="zh-CN"/>
              </w:rPr>
              <w:t>8</w:t>
            </w:r>
            <w:r>
              <w:rPr>
                <w:rFonts w:hint="eastAsia" w:ascii="华文仿宋" w:hAnsi="华文仿宋" w:eastAsia="华文仿宋" w:cs="华文仿宋"/>
                <w:color w:val="auto"/>
                <w:sz w:val="15"/>
                <w:szCs w:val="15"/>
              </w:rPr>
              <w:t>、其他法律法规规章文件规定应履行的责任。</w:t>
            </w:r>
          </w:p>
        </w:tc>
        <w:tc>
          <w:tcPr>
            <w:tcW w:w="2550" w:type="dxa"/>
            <w:vAlign w:val="center"/>
          </w:tcPr>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因不履行或不正确履行行政职责，有下列情形的，行政机关及相关工作人员应承担相应责任：</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1、没有法律和事实依据实施行政处罚的；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2、行政处罚显失公正的；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3、执法人员玩忽职守，对应当予以制止和处罚的违法行为不予制止、处罚；</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4、不具备行政执法资格实施行政处罚的；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5、在制止以及查处违法案件中受阻，依照有关规定应当向本级人民政府或者上级主管部门报告而未报告的；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6、应当依法移送追究刑事责任，而未依法移送有权机关的；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lang w:val="en-US" w:eastAsia="zh-CN"/>
              </w:rPr>
              <w:t>7</w:t>
            </w:r>
            <w:r>
              <w:rPr>
                <w:rFonts w:hint="eastAsia" w:ascii="华文仿宋" w:hAnsi="华文仿宋" w:eastAsia="华文仿宋" w:cs="华文仿宋"/>
                <w:color w:val="auto"/>
                <w:sz w:val="15"/>
                <w:szCs w:val="15"/>
              </w:rPr>
              <w:t>、擅自改变行政处罚种类、幅度的；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lang w:val="en-US" w:eastAsia="zh-CN"/>
              </w:rPr>
              <w:t>8</w:t>
            </w:r>
            <w:r>
              <w:rPr>
                <w:rFonts w:hint="eastAsia" w:ascii="华文仿宋" w:hAnsi="华文仿宋" w:eastAsia="华文仿宋" w:cs="华文仿宋"/>
                <w:color w:val="auto"/>
                <w:sz w:val="15"/>
                <w:szCs w:val="15"/>
              </w:rPr>
              <w:t>、违反法定的行政处罚程序的；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lang w:val="en-US" w:eastAsia="zh-CN"/>
              </w:rPr>
              <w:t>9</w:t>
            </w:r>
            <w:r>
              <w:rPr>
                <w:rFonts w:hint="eastAsia" w:ascii="华文仿宋" w:hAnsi="华文仿宋" w:eastAsia="华文仿宋" w:cs="华文仿宋"/>
                <w:color w:val="auto"/>
                <w:sz w:val="15"/>
                <w:szCs w:val="15"/>
              </w:rPr>
              <w:t>、符合听证条件、行政管理相对人要求听证，应予组织听证而不组织听证的；</w:t>
            </w:r>
          </w:p>
          <w:p>
            <w:pPr>
              <w:tabs>
                <w:tab w:val="left" w:pos="7937"/>
              </w:tabs>
              <w:spacing w:line="280" w:lineRule="exact"/>
              <w:jc w:val="left"/>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lang w:val="en-US" w:eastAsia="zh-CN"/>
              </w:rPr>
              <w:t>10</w:t>
            </w:r>
            <w:r>
              <w:rPr>
                <w:rFonts w:hint="eastAsia" w:ascii="华文仿宋" w:hAnsi="华文仿宋" w:eastAsia="华文仿宋" w:cs="华文仿宋"/>
                <w:color w:val="auto"/>
                <w:sz w:val="15"/>
                <w:szCs w:val="15"/>
              </w:rPr>
              <w:t>、在行政处罚过程中发生腐败行为的；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highlight w:val="none"/>
                <w:u w:val="none"/>
                <w:lang w:eastAsia="zh-CN"/>
              </w:rPr>
            </w:pPr>
            <w:r>
              <w:rPr>
                <w:rFonts w:hint="eastAsia" w:ascii="华文仿宋" w:hAnsi="华文仿宋" w:eastAsia="华文仿宋" w:cs="华文仿宋"/>
                <w:color w:val="auto"/>
                <w:sz w:val="15"/>
                <w:szCs w:val="15"/>
                <w:lang w:val="en-US" w:eastAsia="zh-CN"/>
              </w:rPr>
              <w:t>11</w:t>
            </w:r>
            <w:r>
              <w:rPr>
                <w:rFonts w:hint="eastAsia" w:ascii="华文仿宋" w:hAnsi="华文仿宋" w:eastAsia="华文仿宋" w:cs="华文仿宋"/>
                <w:color w:val="auto"/>
                <w:sz w:val="15"/>
                <w:szCs w:val="15"/>
              </w:rPr>
              <w:t>、其他违反法律法规规章文件规定的行为。</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highlight w:val="none"/>
                <w:u w:val="none"/>
                <w:lang w:eastAsia="zh-CN"/>
              </w:rPr>
            </w:pP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FF0000"/>
                <w:sz w:val="15"/>
                <w:szCs w:val="15"/>
                <w:u w:val="none"/>
                <w:lang w:eastAsia="zh-CN"/>
              </w:rPr>
            </w:pP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kern w:val="2"/>
                <w:sz w:val="15"/>
                <w:szCs w:val="15"/>
                <w:lang w:val="en-US" w:eastAsia="zh-CN"/>
              </w:rPr>
            </w:pPr>
          </w:p>
        </w:tc>
        <w:tc>
          <w:tcPr>
            <w:tcW w:w="1250" w:type="dxa"/>
            <w:vAlign w:val="center"/>
          </w:tcPr>
          <w:p>
            <w:pPr>
              <w:keepNext w:val="0"/>
              <w:keepLines w:val="0"/>
              <w:pageBreakBefore w:val="0"/>
              <w:widowControl w:val="0"/>
              <w:kinsoku/>
              <w:wordWrap/>
              <w:overflowPunct/>
              <w:topLinePunct w:val="0"/>
              <w:autoSpaceDE/>
              <w:bidi w:val="0"/>
              <w:adjustRightInd/>
              <w:snapToGrid/>
              <w:spacing w:line="240" w:lineRule="exact"/>
              <w:jc w:val="both"/>
              <w:rPr>
                <w:rFonts w:hint="eastAsia" w:ascii="华文仿宋" w:hAnsi="华文仿宋" w:eastAsia="华文仿宋" w:cs="华文仿宋"/>
                <w:kern w:val="2"/>
                <w:sz w:val="15"/>
                <w:szCs w:val="15"/>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8</w:t>
            </w:r>
          </w:p>
        </w:tc>
        <w:tc>
          <w:tcPr>
            <w:tcW w:w="92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color w:val="000000" w:themeColor="text1"/>
                <w:kern w:val="2"/>
                <w:sz w:val="15"/>
                <w:szCs w:val="15"/>
                <w:shd w:val="clear" w:color="auto" w:fill="auto"/>
                <w:vertAlign w:val="baseline"/>
                <w:lang w:val="en-US" w:eastAsia="zh-CN" w:bidi="ar-SA"/>
                <w14:textFill>
                  <w14:solidFill>
                    <w14:schemeClr w14:val="tx1"/>
                  </w14:solidFill>
                </w14:textFill>
              </w:rPr>
            </w:pPr>
            <w:r>
              <w:rPr>
                <w:rFonts w:hint="eastAsia" w:ascii="华文仿宋" w:hAnsi="华文仿宋" w:eastAsia="华文仿宋" w:cs="华文仿宋"/>
                <w:color w:val="000000" w:themeColor="text1"/>
                <w:kern w:val="2"/>
                <w:sz w:val="15"/>
                <w:szCs w:val="15"/>
                <w:shd w:val="clear" w:color="auto" w:fill="auto"/>
                <w:vertAlign w:val="baseline"/>
                <w:lang w:val="en-US" w:eastAsia="zh-CN" w:bidi="ar-SA"/>
                <w14:textFill>
                  <w14:solidFill>
                    <w14:schemeClr w14:val="tx1"/>
                  </w14:solidFill>
                </w14:textFill>
              </w:rPr>
              <w:t>行政检查</w:t>
            </w:r>
          </w:p>
        </w:tc>
        <w:tc>
          <w:tcPr>
            <w:tcW w:w="1684"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jc w:val="both"/>
              <w:textAlignment w:val="cente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pPr>
            <w: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t>对律师事务所及其律师的行政检查</w:t>
            </w:r>
          </w:p>
        </w:tc>
        <w:tc>
          <w:tcPr>
            <w:tcW w:w="1776"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300" w:firstLineChars="200"/>
              <w:jc w:val="both"/>
              <w:textAlignment w:val="cente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pPr>
            <w: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t>区司法局</w:t>
            </w:r>
          </w:p>
        </w:tc>
        <w:tc>
          <w:tcPr>
            <w:tcW w:w="2487"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300" w:firstLineChars="200"/>
              <w:jc w:val="left"/>
              <w:textAlignment w:val="cente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pPr>
            <w: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t>《律师事务所管理办法》（2008年7月18日司法部令第111号发布，2012年11月30日司法部令第125号修正，2016年9月6日司法部令第133号修订，2018年12月5日司法部令第142号修正）第七章第六十四条。县级司法行政机关对本行政区域内的律师事务所的执业活动进行日常监督管理，履行下列职责：（一）监督律师事务所在开展业务活动过程中遵守法律、法规、规章的情况；（二）监督律师事务所执业和内部管理制度的建立和实施情况；（三）监督律师事务所保持法定设立条件以及变更报批或者备案的执行情况；（四）监督律师事务所进行清算、申请注销的情况；（五）监督律师事务所开展律师执业年度考核和上报年度执业总结的情况；（六）受理对律师事务所的举报和投诉；（七）监督律师事务所履行行政处罚和实行整改的情况；（八）司法部和省、自治区、直辖市司法行政机关规定的其他职责。</w:t>
            </w:r>
          </w:p>
          <w:p>
            <w:pPr>
              <w:keepNext w:val="0"/>
              <w:keepLines w:val="0"/>
              <w:pageBreakBefore w:val="0"/>
              <w:widowControl/>
              <w:suppressLineNumbers w:val="0"/>
              <w:kinsoku/>
              <w:wordWrap/>
              <w:overflowPunct/>
              <w:topLinePunct w:val="0"/>
              <w:autoSpaceDE/>
              <w:bidi w:val="0"/>
              <w:adjustRightInd/>
              <w:snapToGrid/>
              <w:spacing w:line="240" w:lineRule="exact"/>
              <w:ind w:firstLine="300" w:firstLineChars="200"/>
              <w:jc w:val="both"/>
              <w:textAlignment w:val="cente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pPr>
            <w: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t>《律师执业管理办法》（2008年7月18日司法部令第112号发布，2016年9月18日司法部令第134号修订）第五章第五十条。县级司法行政机关对其执业机构在本行政区域的律师的执业活动进行日常监督管理，履行下列职责：（一）检查、监督律师在执业活动中遵守法律、法规、规章和职业道德、执业纪律的情况；（二）受理对律师的举报和投诉；（三）监督律师履行行政处罚和实行整改的情况；（四）掌握律师事务所对律师执业年度考核的情况；（五）司法部和省、自治区、直辖市司法行政机关规定的其他职责。</w:t>
            </w:r>
          </w:p>
          <w:p>
            <w:pPr>
              <w:keepNext w:val="0"/>
              <w:keepLines w:val="0"/>
              <w:pageBreakBefore w:val="0"/>
              <w:widowControl/>
              <w:suppressLineNumbers w:val="0"/>
              <w:kinsoku/>
              <w:wordWrap/>
              <w:overflowPunct/>
              <w:topLinePunct w:val="0"/>
              <w:autoSpaceDE/>
              <w:bidi w:val="0"/>
              <w:adjustRightInd/>
              <w:snapToGrid/>
              <w:spacing w:line="240" w:lineRule="exact"/>
              <w:ind w:firstLine="300" w:firstLineChars="200"/>
              <w:jc w:val="both"/>
              <w:textAlignment w:val="cente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pPr>
            <w:r>
              <w:rPr>
                <w:rFonts w:hint="eastAsia" w:ascii="华文仿宋" w:hAnsi="华文仿宋" w:eastAsia="华文仿宋" w:cs="华文仿宋"/>
                <w:i w:val="0"/>
                <w:iCs w:val="0"/>
                <w:color w:val="000000" w:themeColor="text1"/>
                <w:kern w:val="0"/>
                <w:sz w:val="15"/>
                <w:szCs w:val="15"/>
                <w:u w:val="none"/>
                <w:shd w:val="clear" w:color="auto" w:fill="auto"/>
                <w:lang w:val="en-US" w:eastAsia="zh-CN" w:bidi="ar"/>
                <w14:textFill>
                  <w14:solidFill>
                    <w14:schemeClr w14:val="tx1"/>
                  </w14:solidFill>
                </w14:textFill>
              </w:rPr>
              <w:t>《律师事务所年度检查考核办法》（中华人民共和国司法部令第121号）第四条 县级司法行政机关负责年度检查考核的初审工作。第十七条 县级司法行政机关收到律师事务所报送的材料后，应当依照本办法的规定进行审查，发现报送的执业情况报告及有关材料不齐全或者有疑义的，应当要求律师事务所予以补充或者作出说明，必要时可以进行调查核实。县级司法行政机关应当在规定的时间内完成审查，出具初审意见和考核等次评定建议，连同律师事务所报送的材料，一并报设区的市级司法行政机关。</w:t>
            </w:r>
          </w:p>
        </w:tc>
        <w:tc>
          <w:tcPr>
            <w:tcW w:w="2388" w:type="dxa"/>
            <w:vAlign w:val="center"/>
          </w:tcPr>
          <w:p>
            <w:pPr>
              <w:keepNext w:val="0"/>
              <w:keepLines w:val="0"/>
              <w:pageBreakBefore w:val="0"/>
              <w:widowControl w:val="0"/>
              <w:kinsoku/>
              <w:wordWrap/>
              <w:overflowPunct/>
              <w:topLinePunct w:val="0"/>
              <w:autoSpaceDE/>
              <w:autoSpaceDN/>
              <w:bidi w:val="0"/>
              <w:adjustRightInd/>
              <w:snapToGrid/>
              <w:spacing w:line="240" w:lineRule="exact"/>
              <w:ind w:firstLine="300" w:firstLineChars="200"/>
              <w:jc w:val="both"/>
              <w:textAlignment w:val="auto"/>
              <w:rPr>
                <w:rFonts w:hint="eastAsia" w:ascii="华文仿宋" w:hAnsi="华文仿宋" w:eastAsia="华文仿宋" w:cs="华文仿宋"/>
                <w:sz w:val="15"/>
                <w:szCs w:val="15"/>
                <w:lang w:val="en-US" w:eastAsia="zh-CN"/>
              </w:rPr>
            </w:pPr>
            <w:r>
              <w:rPr>
                <w:rFonts w:hint="eastAsia" w:ascii="华文仿宋" w:hAnsi="华文仿宋" w:eastAsia="华文仿宋" w:cs="华文仿宋"/>
                <w:sz w:val="15"/>
                <w:szCs w:val="15"/>
                <w:lang w:val="en-US" w:eastAsia="zh-CN"/>
              </w:rPr>
              <w:t>1.检查责任：对本辖区律师事务所工作情况组织监督检查；</w:t>
            </w:r>
          </w:p>
          <w:p>
            <w:pPr>
              <w:keepNext w:val="0"/>
              <w:keepLines w:val="0"/>
              <w:pageBreakBefore w:val="0"/>
              <w:widowControl w:val="0"/>
              <w:kinsoku/>
              <w:wordWrap/>
              <w:overflowPunct/>
              <w:topLinePunct w:val="0"/>
              <w:autoSpaceDE/>
              <w:autoSpaceDN/>
              <w:bidi w:val="0"/>
              <w:adjustRightInd/>
              <w:snapToGrid/>
              <w:spacing w:line="240" w:lineRule="exact"/>
              <w:ind w:firstLine="300" w:firstLineChars="200"/>
              <w:jc w:val="both"/>
              <w:textAlignment w:val="auto"/>
              <w:rPr>
                <w:rFonts w:hint="eastAsia" w:ascii="华文仿宋" w:hAnsi="华文仿宋" w:eastAsia="华文仿宋" w:cs="华文仿宋"/>
                <w:sz w:val="15"/>
                <w:szCs w:val="15"/>
                <w:lang w:val="en-US" w:eastAsia="zh-CN"/>
              </w:rPr>
            </w:pPr>
            <w:r>
              <w:rPr>
                <w:rFonts w:hint="eastAsia" w:ascii="华文仿宋" w:hAnsi="华文仿宋" w:eastAsia="华文仿宋" w:cs="华文仿宋"/>
                <w:sz w:val="15"/>
                <w:szCs w:val="15"/>
                <w:lang w:val="en-US" w:eastAsia="zh-CN"/>
              </w:rPr>
              <w:t>2.处置责任：对监督检查发现的问题，责令限期整改；</w:t>
            </w:r>
          </w:p>
          <w:p>
            <w:pPr>
              <w:keepNext w:val="0"/>
              <w:keepLines w:val="0"/>
              <w:pageBreakBefore w:val="0"/>
              <w:widowControl w:val="0"/>
              <w:kinsoku/>
              <w:wordWrap/>
              <w:overflowPunct/>
              <w:topLinePunct w:val="0"/>
              <w:autoSpaceDE/>
              <w:autoSpaceDN/>
              <w:bidi w:val="0"/>
              <w:adjustRightInd/>
              <w:snapToGrid/>
              <w:spacing w:line="240" w:lineRule="exact"/>
              <w:ind w:firstLine="300" w:firstLineChars="200"/>
              <w:jc w:val="both"/>
              <w:textAlignment w:val="auto"/>
              <w:rPr>
                <w:rFonts w:hint="eastAsia" w:ascii="华文仿宋" w:hAnsi="华文仿宋" w:eastAsia="华文仿宋" w:cs="华文仿宋"/>
                <w:sz w:val="15"/>
                <w:szCs w:val="15"/>
                <w:lang w:val="en-US" w:eastAsia="zh-CN"/>
              </w:rPr>
            </w:pPr>
            <w:r>
              <w:rPr>
                <w:rFonts w:hint="eastAsia" w:ascii="华文仿宋" w:hAnsi="华文仿宋" w:eastAsia="华文仿宋" w:cs="华文仿宋"/>
                <w:sz w:val="15"/>
                <w:szCs w:val="15"/>
                <w:lang w:val="en-US" w:eastAsia="zh-CN"/>
              </w:rPr>
              <w:t>3.移送责任：对构成违法犯罪的移交司法机关；</w:t>
            </w:r>
          </w:p>
          <w:p>
            <w:pPr>
              <w:keepNext w:val="0"/>
              <w:keepLines w:val="0"/>
              <w:pageBreakBefore w:val="0"/>
              <w:widowControl w:val="0"/>
              <w:kinsoku/>
              <w:wordWrap/>
              <w:overflowPunct/>
              <w:topLinePunct w:val="0"/>
              <w:autoSpaceDE/>
              <w:autoSpaceDN/>
              <w:bidi w:val="0"/>
              <w:adjustRightInd/>
              <w:snapToGrid/>
              <w:spacing w:line="240" w:lineRule="exact"/>
              <w:ind w:firstLine="300" w:firstLineChars="200"/>
              <w:jc w:val="both"/>
              <w:textAlignment w:val="auto"/>
              <w:rPr>
                <w:rFonts w:hint="eastAsia" w:ascii="华文仿宋" w:hAnsi="华文仿宋" w:eastAsia="华文仿宋" w:cs="华文仿宋"/>
                <w:sz w:val="15"/>
                <w:szCs w:val="15"/>
                <w:lang w:val="en-US" w:eastAsia="zh-CN"/>
              </w:rPr>
            </w:pPr>
            <w:r>
              <w:rPr>
                <w:rFonts w:hint="eastAsia" w:ascii="华文仿宋" w:hAnsi="华文仿宋" w:eastAsia="华文仿宋" w:cs="华文仿宋"/>
                <w:sz w:val="15"/>
                <w:szCs w:val="15"/>
                <w:lang w:val="en-US" w:eastAsia="zh-CN"/>
              </w:rPr>
              <w:t>4.事后管理责任：对监督检查发现的问题，整改完成后，对整改情况组织进行核查；</w:t>
            </w:r>
          </w:p>
          <w:p>
            <w:pPr>
              <w:keepNext w:val="0"/>
              <w:keepLines w:val="0"/>
              <w:pageBreakBefore w:val="0"/>
              <w:widowControl w:val="0"/>
              <w:kinsoku/>
              <w:wordWrap/>
              <w:overflowPunct/>
              <w:topLinePunct w:val="0"/>
              <w:autoSpaceDE/>
              <w:autoSpaceDN/>
              <w:bidi w:val="0"/>
              <w:adjustRightInd/>
              <w:snapToGrid/>
              <w:spacing w:line="240" w:lineRule="exact"/>
              <w:ind w:firstLine="300" w:firstLineChars="200"/>
              <w:jc w:val="both"/>
              <w:textAlignment w:val="auto"/>
              <w:rPr>
                <w:rFonts w:hint="eastAsia" w:ascii="华文仿宋" w:hAnsi="华文仿宋" w:eastAsia="华文仿宋" w:cs="华文仿宋"/>
                <w:sz w:val="15"/>
                <w:szCs w:val="15"/>
                <w:lang w:val="en-US" w:eastAsia="zh-CN"/>
              </w:rPr>
            </w:pPr>
            <w:r>
              <w:rPr>
                <w:rFonts w:hint="eastAsia" w:ascii="华文仿宋" w:hAnsi="华文仿宋" w:eastAsia="华文仿宋" w:cs="华文仿宋"/>
                <w:sz w:val="15"/>
                <w:szCs w:val="15"/>
                <w:lang w:val="en-US" w:eastAsia="zh-CN"/>
              </w:rPr>
              <w:t>5.其他责任：法律法规规章等规定应履行的责任。</w:t>
            </w:r>
          </w:p>
          <w:p>
            <w:pPr>
              <w:pStyle w:val="2"/>
              <w:ind w:firstLine="300" w:firstLineChars="200"/>
              <w:rPr>
                <w:rFonts w:hint="eastAsia" w:ascii="华文仿宋" w:hAnsi="华文仿宋" w:eastAsia="华文仿宋" w:cs="华文仿宋"/>
                <w:kern w:val="2"/>
                <w:sz w:val="15"/>
                <w:szCs w:val="15"/>
                <w:lang w:val="en-US" w:eastAsia="zh-CN"/>
              </w:rPr>
            </w:pPr>
          </w:p>
        </w:tc>
        <w:tc>
          <w:tcPr>
            <w:tcW w:w="2550" w:type="dxa"/>
            <w:vAlign w:val="center"/>
          </w:tcPr>
          <w:p>
            <w:pPr>
              <w:keepNext w:val="0"/>
              <w:keepLines w:val="0"/>
              <w:pageBreakBefore w:val="0"/>
              <w:widowControl/>
              <w:suppressLineNumbers w:val="0"/>
              <w:kinsoku/>
              <w:wordWrap/>
              <w:overflowPunct/>
              <w:topLinePunct w:val="0"/>
              <w:autoSpaceDE/>
              <w:bidi w:val="0"/>
              <w:adjustRightInd/>
              <w:snapToGrid/>
              <w:spacing w:line="240" w:lineRule="exact"/>
              <w:ind w:firstLine="300" w:firstLineChars="200"/>
              <w:jc w:val="both"/>
              <w:rPr>
                <w:rFonts w:hint="eastAsia" w:ascii="华文仿宋" w:hAnsi="华文仿宋" w:eastAsia="华文仿宋" w:cs="华文仿宋"/>
                <w:color w:val="000000" w:themeColor="text1"/>
                <w:sz w:val="15"/>
                <w:szCs w:val="15"/>
                <w:shd w:val="clear" w:color="auto" w:fill="auto"/>
                <w14:textFill>
                  <w14:solidFill>
                    <w14:schemeClr w14:val="tx1"/>
                  </w14:solidFill>
                </w14:textFill>
              </w:rPr>
            </w:pPr>
            <w:r>
              <w:rPr>
                <w:rFonts w:hint="eastAsia" w:ascii="华文仿宋" w:hAnsi="华文仿宋" w:eastAsia="华文仿宋" w:cs="华文仿宋"/>
                <w:color w:val="000000" w:themeColor="text1"/>
                <w:sz w:val="15"/>
                <w:szCs w:val="15"/>
                <w:shd w:val="clear" w:color="auto" w:fill="auto"/>
                <w14:textFill>
                  <w14:solidFill>
                    <w14:schemeClr w14:val="tx1"/>
                  </w14:solidFill>
                </w14:textFill>
              </w:rPr>
              <w:t>司法行政机关工作人员在律师事务所设立许可和实施监督管理活动中，滥用职权、玩忽职守，构成犯罪的，依法追究刑事责任；尚不构成犯罪的，依法给予行政处分。</w:t>
            </w:r>
          </w:p>
          <w:p>
            <w:pPr>
              <w:keepNext w:val="0"/>
              <w:keepLines w:val="0"/>
              <w:pageBreakBefore w:val="0"/>
              <w:widowControl w:val="0"/>
              <w:kinsoku/>
              <w:wordWrap/>
              <w:overflowPunct/>
              <w:topLinePunct w:val="0"/>
              <w:autoSpaceDE/>
              <w:autoSpaceDN w:val="0"/>
              <w:bidi w:val="0"/>
              <w:adjustRightInd/>
              <w:snapToGrid/>
              <w:spacing w:before="0" w:after="0" w:line="240" w:lineRule="exact"/>
              <w:ind w:left="0" w:leftChars="0" w:right="0" w:rightChars="0" w:firstLine="0" w:firstLineChars="0"/>
              <w:jc w:val="center"/>
              <w:textAlignment w:val="center"/>
              <w:outlineLvl w:val="9"/>
              <w:rPr>
                <w:rFonts w:hint="eastAsia" w:ascii="华文仿宋" w:hAnsi="华文仿宋" w:eastAsia="华文仿宋" w:cs="华文仿宋"/>
                <w:color w:val="000000" w:themeColor="text1"/>
                <w:kern w:val="2"/>
                <w:sz w:val="15"/>
                <w:szCs w:val="15"/>
                <w:shd w:val="clear" w:color="auto" w:fill="auto"/>
                <w:lang w:val="en-US" w:eastAsia="zh-CN" w:bidi="ar-SA"/>
                <w14:textFill>
                  <w14:solidFill>
                    <w14:schemeClr w14:val="tx1"/>
                  </w14:solidFill>
                </w14:textFill>
              </w:rPr>
            </w:pP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both"/>
              <w:textAlignment w:val="auto"/>
              <w:outlineLvl w:val="9"/>
              <w:rPr>
                <w:rFonts w:hint="eastAsia" w:ascii="华文仿宋" w:hAnsi="华文仿宋" w:eastAsia="华文仿宋" w:cs="华文仿宋"/>
                <w:color w:val="000000" w:themeColor="text1"/>
                <w:kern w:val="2"/>
                <w:sz w:val="15"/>
                <w:szCs w:val="15"/>
                <w:shd w:val="clear" w:color="auto" w:fill="auto"/>
                <w:vertAlign w:val="baseline"/>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default"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9</w:t>
            </w:r>
          </w:p>
        </w:tc>
        <w:tc>
          <w:tcPr>
            <w:tcW w:w="92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行政检查</w:t>
            </w:r>
          </w:p>
        </w:tc>
        <w:tc>
          <w:tcPr>
            <w:tcW w:w="1684"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sz w:val="15"/>
                <w:szCs w:val="15"/>
                <w:vertAlign w:val="baseline"/>
                <w:lang w:val="en-US" w:eastAsia="zh-CN"/>
              </w:rPr>
              <w:t>对基层法律服务所年检初审的检查</w:t>
            </w:r>
          </w:p>
        </w:tc>
        <w:tc>
          <w:tcPr>
            <w:tcW w:w="1776"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区司法局</w:t>
            </w:r>
          </w:p>
        </w:tc>
        <w:tc>
          <w:tcPr>
            <w:tcW w:w="2487" w:type="dxa"/>
            <w:vAlign w:val="top"/>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sz w:val="15"/>
                <w:szCs w:val="15"/>
                <w:u w:val="none"/>
                <w:lang w:eastAsia="zh-CN"/>
              </w:rPr>
            </w:pPr>
            <w:r>
              <w:rPr>
                <w:rFonts w:hint="eastAsia" w:ascii="华文仿宋" w:hAnsi="华文仿宋" w:eastAsia="华文仿宋" w:cs="华文仿宋"/>
                <w:b w:val="0"/>
                <w:bCs w:val="0"/>
                <w:i w:val="0"/>
                <w:snapToGrid/>
                <w:color w:val="auto"/>
                <w:sz w:val="15"/>
                <w:szCs w:val="15"/>
                <w:highlight w:val="none"/>
                <w:u w:val="none"/>
                <w:lang w:eastAsia="zh-CN"/>
              </w:rPr>
              <w:t>《基层法律服务所管理办法》（2000年3月司法部令第59号公布，2017年12月司法部令第137号修订）</w:t>
            </w:r>
            <w:r>
              <w:rPr>
                <w:rFonts w:hint="eastAsia" w:ascii="华文仿宋" w:hAnsi="华文仿宋" w:eastAsia="华文仿宋" w:cs="华文仿宋"/>
                <w:b w:val="0"/>
                <w:bCs w:val="0"/>
                <w:i w:val="0"/>
                <w:snapToGrid/>
                <w:color w:val="auto"/>
                <w:sz w:val="15"/>
                <w:szCs w:val="15"/>
                <w:u w:val="none"/>
                <w:lang w:eastAsia="zh-CN"/>
              </w:rPr>
              <w:t>第二十九条：“设区的市级或者直辖市的区（县）司法行政机关应当每年对基层法律服务所进行年度考核。第三十一条 基层法律服务所的年度考核材料，经所在地县级司法行政机关审查后报送设区的市级司法行政机关审核，或者由直辖市的区（县）司法行政机关审核。”</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b w:val="0"/>
                <w:bCs w:val="0"/>
                <w:i w:val="0"/>
                <w:snapToGrid/>
                <w:color w:val="auto"/>
                <w:sz w:val="15"/>
                <w:szCs w:val="15"/>
                <w:highlight w:val="none"/>
                <w:u w:val="none"/>
                <w:lang w:eastAsia="zh-CN"/>
              </w:rPr>
              <w:t>《基层法律服务所管理办法》第三十四条县级司法行政机关或者直辖市的区（县）司法行政机关对基层法律服务所的日常执业活动和内部管理工作进行指导和监督，可以按照有关规定对基层法律服务所进行检查，要求基层法律服务所报告工作、说明情况、提交有关材料。司法所可以根据县级司法行政机关或者直辖市的区（县）司法行政机关要求，承担对基层法律服务所进行指导监督的具体工作。</w:t>
            </w:r>
          </w:p>
        </w:tc>
        <w:tc>
          <w:tcPr>
            <w:tcW w:w="2388"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sz w:val="15"/>
                <w:szCs w:val="15"/>
              </w:rPr>
            </w:pPr>
            <w:r>
              <w:rPr>
                <w:rFonts w:hint="eastAsia" w:ascii="华文仿宋" w:hAnsi="华文仿宋" w:eastAsia="华文仿宋" w:cs="华文仿宋"/>
                <w:sz w:val="15"/>
                <w:szCs w:val="15"/>
              </w:rPr>
              <w:t>1.检查责任：对本辖区内</w:t>
            </w:r>
            <w:r>
              <w:rPr>
                <w:rFonts w:hint="eastAsia" w:ascii="华文仿宋" w:hAnsi="华文仿宋" w:eastAsia="华文仿宋" w:cs="华文仿宋"/>
                <w:sz w:val="15"/>
                <w:szCs w:val="15"/>
                <w:lang w:val="en-US" w:eastAsia="zh-CN"/>
              </w:rPr>
              <w:t>基层法律服务所</w:t>
            </w:r>
            <w:r>
              <w:rPr>
                <w:rFonts w:hint="eastAsia" w:ascii="华文仿宋" w:hAnsi="华文仿宋" w:eastAsia="华文仿宋" w:cs="华文仿宋"/>
                <w:sz w:val="15"/>
                <w:szCs w:val="15"/>
              </w:rPr>
              <w:t>工作情况组织监督检查；</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sz w:val="15"/>
                <w:szCs w:val="15"/>
              </w:rPr>
            </w:pPr>
            <w:r>
              <w:rPr>
                <w:rFonts w:hint="eastAsia" w:ascii="华文仿宋" w:hAnsi="华文仿宋" w:eastAsia="华文仿宋" w:cs="华文仿宋"/>
                <w:sz w:val="15"/>
                <w:szCs w:val="15"/>
              </w:rPr>
              <w:t>2.处置责任：对监督检查发现的问题，责令限期整改；</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sz w:val="15"/>
                <w:szCs w:val="15"/>
              </w:rPr>
            </w:pPr>
            <w:r>
              <w:rPr>
                <w:rFonts w:hint="eastAsia" w:ascii="华文仿宋" w:hAnsi="华文仿宋" w:eastAsia="华文仿宋" w:cs="华文仿宋"/>
                <w:sz w:val="15"/>
                <w:szCs w:val="15"/>
              </w:rPr>
              <w:t>3.移送责任：对构成违法犯罪的移交司法机关；</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sz w:val="15"/>
                <w:szCs w:val="15"/>
              </w:rPr>
            </w:pPr>
            <w:r>
              <w:rPr>
                <w:rFonts w:hint="eastAsia" w:ascii="华文仿宋" w:hAnsi="华文仿宋" w:eastAsia="华文仿宋" w:cs="华文仿宋"/>
                <w:sz w:val="15"/>
                <w:szCs w:val="15"/>
              </w:rPr>
              <w:t>4.事后管理责任：对监督检查发现的问题，整改完成后，对整改情况组织进行核查；</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sz w:val="15"/>
                <w:szCs w:val="15"/>
              </w:rPr>
            </w:pPr>
            <w:r>
              <w:rPr>
                <w:rFonts w:hint="eastAsia" w:ascii="华文仿宋" w:hAnsi="华文仿宋" w:eastAsia="华文仿宋" w:cs="华文仿宋"/>
                <w:sz w:val="15"/>
                <w:szCs w:val="15"/>
              </w:rPr>
              <w:t>5.其他责任：法律法规规章等规定应履行的责任。</w:t>
            </w:r>
          </w:p>
          <w:p>
            <w:pPr>
              <w:keepNext w:val="0"/>
              <w:keepLines w:val="0"/>
              <w:pageBreakBefore w:val="0"/>
              <w:widowControl/>
              <w:suppressLineNumbers w:val="0"/>
              <w:kinsoku/>
              <w:wordWrap/>
              <w:overflowPunct/>
              <w:topLinePunct w:val="0"/>
              <w:autoSpaceDE/>
              <w:bidi w:val="0"/>
              <w:adjustRightInd/>
              <w:snapToGrid/>
              <w:spacing w:line="360" w:lineRule="exact"/>
              <w:jc w:val="both"/>
              <w:textAlignment w:val="center"/>
              <w:rPr>
                <w:rFonts w:hint="eastAsia" w:ascii="华文仿宋" w:hAnsi="华文仿宋" w:eastAsia="华文仿宋" w:cs="华文仿宋"/>
                <w:b w:val="0"/>
                <w:bCs w:val="0"/>
                <w:i w:val="0"/>
                <w:color w:val="auto"/>
                <w:kern w:val="2"/>
                <w:sz w:val="15"/>
                <w:szCs w:val="15"/>
                <w:u w:val="none"/>
                <w:lang w:val="en-US" w:eastAsia="zh-CN"/>
              </w:rPr>
            </w:pPr>
          </w:p>
        </w:tc>
        <w:tc>
          <w:tcPr>
            <w:tcW w:w="2550" w:type="dxa"/>
            <w:vAlign w:val="center"/>
          </w:tcPr>
          <w:p>
            <w:pPr>
              <w:tabs>
                <w:tab w:val="left" w:pos="7937"/>
              </w:tabs>
              <w:spacing w:line="260" w:lineRule="exact"/>
              <w:rPr>
                <w:rFonts w:hint="eastAsia" w:ascii="华文仿宋" w:hAnsi="华文仿宋" w:eastAsia="华文仿宋" w:cs="华文仿宋"/>
                <w:b w:val="0"/>
                <w:bCs w:val="0"/>
                <w:i w:val="0"/>
                <w:snapToGrid/>
                <w:color w:val="auto"/>
                <w:sz w:val="15"/>
                <w:szCs w:val="15"/>
                <w:highlight w:val="green"/>
                <w:u w:val="none"/>
                <w:lang w:val="en-US" w:eastAsia="zh-CN"/>
              </w:rPr>
            </w:pPr>
            <w:r>
              <w:rPr>
                <w:rFonts w:hint="eastAsia" w:ascii="华文仿宋" w:hAnsi="华文仿宋" w:eastAsia="华文仿宋" w:cs="华文仿宋"/>
                <w:b w:val="0"/>
                <w:bCs w:val="0"/>
                <w:i w:val="0"/>
                <w:snapToGrid/>
                <w:color w:val="auto"/>
                <w:sz w:val="15"/>
                <w:szCs w:val="15"/>
                <w:highlight w:val="none"/>
                <w:u w:val="none"/>
                <w:lang w:eastAsia="zh-CN"/>
              </w:rPr>
              <w:t>《基层法律服务所管理办法》（2000年3月司法部令第59号公布，2017年12月司法部令第137号修订）</w:t>
            </w:r>
            <w:r>
              <w:rPr>
                <w:rFonts w:hint="eastAsia" w:ascii="华文仿宋" w:hAnsi="华文仿宋" w:eastAsia="华文仿宋" w:cs="华文仿宋"/>
                <w:b w:val="0"/>
                <w:bCs w:val="0"/>
                <w:i w:val="0"/>
                <w:snapToGrid/>
                <w:color w:val="auto"/>
                <w:sz w:val="15"/>
                <w:szCs w:val="15"/>
                <w:highlight w:val="none"/>
                <w:u w:val="none"/>
                <w:lang w:val="en-US" w:eastAsia="zh-CN"/>
              </w:rPr>
              <w:t>第四十二条：“</w:t>
            </w:r>
            <w:r>
              <w:rPr>
                <w:rFonts w:hint="eastAsia" w:ascii="华文仿宋" w:hAnsi="华文仿宋" w:eastAsia="华文仿宋" w:cs="华文仿宋"/>
                <w:sz w:val="15"/>
                <w:szCs w:val="15"/>
              </w:rPr>
              <w:t>上级司法行政机关认为下级司法行政机关在执业核准、年度考核和行政处罚工作中有错误或者不当的，应当及时责令其纠正。司法行政机关不履行管理职责或者干涉基层法律服务工作者执业、侵犯其合法权益的，应当追究主管人员和直接责任人员的行政责任。</w:t>
            </w:r>
            <w:r>
              <w:rPr>
                <w:rFonts w:hint="eastAsia" w:ascii="华文仿宋" w:hAnsi="华文仿宋" w:eastAsia="华文仿宋" w:cs="华文仿宋"/>
                <w:b w:val="0"/>
                <w:bCs w:val="0"/>
                <w:i w:val="0"/>
                <w:snapToGrid/>
                <w:color w:val="auto"/>
                <w:sz w:val="15"/>
                <w:szCs w:val="15"/>
                <w:highlight w:val="none"/>
                <w:u w:val="none"/>
                <w:lang w:val="en-US" w:eastAsia="zh-CN"/>
              </w:rPr>
              <w:t>”</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eastAsia="zh-CN"/>
              </w:rPr>
            </w:pP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eastAsia="zh-CN"/>
              </w:rPr>
            </w:pPr>
            <w:r>
              <w:rPr>
                <w:rFonts w:hint="eastAsia" w:ascii="华文仿宋" w:hAnsi="华文仿宋" w:eastAsia="华文仿宋" w:cs="华文仿宋"/>
                <w:b w:val="0"/>
                <w:bCs w:val="0"/>
                <w:i w:val="0"/>
                <w:snapToGrid/>
                <w:color w:val="auto"/>
                <w:sz w:val="15"/>
                <w:szCs w:val="15"/>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1.不对本辖区内</w:t>
            </w:r>
            <w:r>
              <w:rPr>
                <w:rFonts w:hint="eastAsia" w:ascii="华文仿宋" w:hAnsi="华文仿宋" w:eastAsia="华文仿宋" w:cs="华文仿宋"/>
                <w:color w:val="auto"/>
                <w:sz w:val="15"/>
                <w:szCs w:val="15"/>
                <w:vertAlign w:val="baseline"/>
                <w:lang w:val="en-US" w:eastAsia="zh-CN"/>
              </w:rPr>
              <w:t>基层法律服务所年检初审</w:t>
            </w:r>
            <w:r>
              <w:rPr>
                <w:rFonts w:hint="eastAsia" w:ascii="华文仿宋" w:hAnsi="华文仿宋" w:eastAsia="华文仿宋" w:cs="华文仿宋"/>
                <w:b w:val="0"/>
                <w:bCs w:val="0"/>
                <w:i w:val="0"/>
                <w:snapToGrid/>
                <w:color w:val="auto"/>
                <w:sz w:val="15"/>
                <w:szCs w:val="15"/>
                <w:u w:val="none"/>
                <w:lang w:val="en-US" w:eastAsia="zh-CN"/>
              </w:rPr>
              <w:t>组织监督检查；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2.对在检查中发现的问题，不责令限期整改、不依法实施处罚；</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3.不及时予以公告，对构成违法犯罪的不移交司法机关；</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4.对监督检查发现的问题，整改完成后，不对整改情况组织进行核查；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5.其他违反法律法规规章文件规定的行为。</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 w:eastAsia="zh-CN"/>
              </w:rPr>
            </w:pP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color w:val="000000" w:themeColor="text1"/>
                <w:kern w:val="2"/>
                <w:sz w:val="15"/>
                <w:szCs w:val="15"/>
                <w:shd w:val="clear" w:color="auto" w:fill="auto"/>
                <w:vertAlign w:val="baseline"/>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default"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10</w:t>
            </w:r>
          </w:p>
        </w:tc>
        <w:tc>
          <w:tcPr>
            <w:tcW w:w="92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行政检查</w:t>
            </w:r>
          </w:p>
        </w:tc>
        <w:tc>
          <w:tcPr>
            <w:tcW w:w="1684"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color w:val="auto"/>
                <w:kern w:val="2"/>
                <w:sz w:val="15"/>
                <w:szCs w:val="15"/>
                <w:vertAlign w:val="baseline"/>
                <w:lang w:val="en-US" w:eastAsia="zh-CN"/>
              </w:rPr>
            </w:pPr>
            <w:r>
              <w:rPr>
                <w:rFonts w:hint="eastAsia" w:ascii="华文仿宋" w:hAnsi="华文仿宋" w:eastAsia="华文仿宋" w:cs="华文仿宋"/>
                <w:color w:val="auto"/>
                <w:sz w:val="15"/>
                <w:szCs w:val="15"/>
                <w:vertAlign w:val="baseline"/>
                <w:lang w:val="en-US" w:eastAsia="zh-CN"/>
              </w:rPr>
              <w:t>对基层法律服务工作者检查</w:t>
            </w:r>
          </w:p>
        </w:tc>
        <w:tc>
          <w:tcPr>
            <w:tcW w:w="1776"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kern w:val="2"/>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区司法局</w:t>
            </w:r>
          </w:p>
        </w:tc>
        <w:tc>
          <w:tcPr>
            <w:tcW w:w="2487" w:type="dxa"/>
            <w:vAlign w:val="top"/>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kern w:val="2"/>
                <w:sz w:val="15"/>
                <w:szCs w:val="15"/>
                <w:highlight w:val="none"/>
                <w:u w:val="none"/>
                <w:lang w:val="en-US" w:eastAsia="zh-CN"/>
              </w:rPr>
            </w:pPr>
            <w:r>
              <w:rPr>
                <w:rFonts w:hint="eastAsia" w:ascii="华文仿宋" w:hAnsi="华文仿宋" w:eastAsia="华文仿宋" w:cs="华文仿宋"/>
                <w:b w:val="0"/>
                <w:bCs w:val="0"/>
                <w:i w:val="0"/>
                <w:snapToGrid/>
                <w:color w:val="auto"/>
                <w:sz w:val="15"/>
                <w:szCs w:val="15"/>
                <w:highlight w:val="none"/>
                <w:u w:val="none"/>
                <w:lang w:eastAsia="zh-CN"/>
              </w:rPr>
              <w:t>《基层法律服务</w:t>
            </w:r>
            <w:r>
              <w:rPr>
                <w:rFonts w:hint="eastAsia" w:ascii="华文仿宋" w:hAnsi="华文仿宋" w:eastAsia="华文仿宋" w:cs="华文仿宋"/>
                <w:b w:val="0"/>
                <w:bCs w:val="0"/>
                <w:i w:val="0"/>
                <w:snapToGrid/>
                <w:color w:val="auto"/>
                <w:sz w:val="15"/>
                <w:szCs w:val="15"/>
                <w:highlight w:val="none"/>
                <w:u w:val="none"/>
                <w:lang w:val="en-US" w:eastAsia="zh-CN"/>
              </w:rPr>
              <w:t>工作者</w:t>
            </w:r>
            <w:r>
              <w:rPr>
                <w:rFonts w:hint="eastAsia" w:ascii="华文仿宋" w:hAnsi="华文仿宋" w:eastAsia="华文仿宋" w:cs="华文仿宋"/>
                <w:b w:val="0"/>
                <w:bCs w:val="0"/>
                <w:i w:val="0"/>
                <w:snapToGrid/>
                <w:color w:val="auto"/>
                <w:sz w:val="15"/>
                <w:szCs w:val="15"/>
                <w:highlight w:val="none"/>
                <w:u w:val="none"/>
                <w:lang w:eastAsia="zh-CN"/>
              </w:rPr>
              <w:t>管理办法》（</w:t>
            </w:r>
            <w:r>
              <w:rPr>
                <w:rFonts w:hint="eastAsia" w:ascii="华文仿宋" w:hAnsi="华文仿宋" w:eastAsia="华文仿宋" w:cs="华文仿宋"/>
                <w:i w:val="0"/>
                <w:iCs w:val="0"/>
                <w:caps w:val="0"/>
                <w:color w:val="333333"/>
                <w:spacing w:val="0"/>
                <w:sz w:val="15"/>
                <w:szCs w:val="15"/>
                <w:shd w:val="clear" w:color="auto" w:fill="FFFFFF"/>
              </w:rPr>
              <w:t>2000年3月30日司法部令第60号公布，根据2017年12月25日司法部令第138号修订</w:t>
            </w:r>
            <w:r>
              <w:rPr>
                <w:rFonts w:hint="eastAsia" w:ascii="华文仿宋" w:hAnsi="华文仿宋" w:eastAsia="华文仿宋" w:cs="华文仿宋"/>
                <w:b w:val="0"/>
                <w:bCs w:val="0"/>
                <w:i w:val="0"/>
                <w:snapToGrid/>
                <w:color w:val="auto"/>
                <w:sz w:val="15"/>
                <w:szCs w:val="15"/>
                <w:highlight w:val="none"/>
                <w:u w:val="none"/>
                <w:lang w:eastAsia="zh-CN"/>
              </w:rPr>
              <w:t>）第四十四条　县级司法行政机关或者直辖市的区（县）司法行政机关对基层法律服务工作者的日常执业活动和遵守职业道德、执业纪律的情况进行指导和监督，可以按照有关规定对基层法律服务工作者的执业情况进行检查，要求有关人员报告工作、说明情况、提交有关材料。司法所可以根据县级司法行政机关或者直辖市的区（县）司法行政机关要求，承担对基层法律服务工作者进行指导监督的具体工作。</w:t>
            </w:r>
          </w:p>
        </w:tc>
        <w:tc>
          <w:tcPr>
            <w:tcW w:w="2388"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1.检查责任：对本辖区内</w:t>
            </w:r>
            <w:r>
              <w:rPr>
                <w:rFonts w:hint="eastAsia" w:ascii="华文仿宋" w:hAnsi="华文仿宋" w:eastAsia="华文仿宋" w:cs="华文仿宋"/>
                <w:color w:val="auto"/>
                <w:sz w:val="15"/>
                <w:szCs w:val="15"/>
                <w:lang w:val="en-US" w:eastAsia="zh-CN"/>
              </w:rPr>
              <w:t>基层法律服务所</w:t>
            </w:r>
            <w:r>
              <w:rPr>
                <w:rFonts w:hint="eastAsia" w:ascii="华文仿宋" w:hAnsi="华文仿宋" w:eastAsia="华文仿宋" w:cs="华文仿宋"/>
                <w:color w:val="auto"/>
                <w:sz w:val="15"/>
                <w:szCs w:val="15"/>
              </w:rPr>
              <w:t>工作情况组织监督检查；</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2.处置责任：对监督检查发现的问题，责令限期整改；</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3.移送责任：对构成违法犯罪的移交司法机关；</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4.事后管理责任：对监督检查发现的问题，整改完成后，对整改情况组织进行核查；</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both"/>
              <w:textAlignment w:val="auto"/>
              <w:outlineLvl w:val="9"/>
              <w:rPr>
                <w:rFonts w:hint="eastAsia" w:ascii="华文仿宋" w:hAnsi="华文仿宋" w:eastAsia="华文仿宋" w:cs="华文仿宋"/>
                <w:color w:val="auto"/>
                <w:sz w:val="15"/>
                <w:szCs w:val="15"/>
              </w:rPr>
            </w:pPr>
            <w:r>
              <w:rPr>
                <w:rFonts w:hint="eastAsia" w:ascii="华文仿宋" w:hAnsi="华文仿宋" w:eastAsia="华文仿宋" w:cs="华文仿宋"/>
                <w:color w:val="auto"/>
                <w:sz w:val="15"/>
                <w:szCs w:val="15"/>
              </w:rPr>
              <w:t>5.其他责任：法律法规规章等规定应履行的责任。</w:t>
            </w:r>
          </w:p>
          <w:p>
            <w:pPr>
              <w:keepNext w:val="0"/>
              <w:keepLines w:val="0"/>
              <w:pageBreakBefore w:val="0"/>
              <w:widowControl/>
              <w:suppressLineNumbers w:val="0"/>
              <w:kinsoku/>
              <w:wordWrap/>
              <w:overflowPunct/>
              <w:topLinePunct w:val="0"/>
              <w:autoSpaceDE/>
              <w:bidi w:val="0"/>
              <w:adjustRightInd/>
              <w:snapToGrid/>
              <w:spacing w:line="360" w:lineRule="exact"/>
              <w:jc w:val="both"/>
              <w:textAlignment w:val="center"/>
              <w:rPr>
                <w:rFonts w:hint="eastAsia" w:ascii="华文仿宋" w:hAnsi="华文仿宋" w:eastAsia="华文仿宋" w:cs="华文仿宋"/>
                <w:b w:val="0"/>
                <w:bCs w:val="0"/>
                <w:i w:val="0"/>
                <w:color w:val="auto"/>
                <w:kern w:val="2"/>
                <w:sz w:val="15"/>
                <w:szCs w:val="15"/>
                <w:u w:val="none"/>
                <w:lang w:val="en-US" w:eastAsia="zh-CN"/>
              </w:rPr>
            </w:pPr>
          </w:p>
        </w:tc>
        <w:tc>
          <w:tcPr>
            <w:tcW w:w="2550"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eastAsia="zh-CN"/>
              </w:rPr>
            </w:pPr>
            <w:r>
              <w:rPr>
                <w:rFonts w:hint="eastAsia" w:ascii="华文仿宋" w:hAnsi="华文仿宋" w:eastAsia="华文仿宋" w:cs="华文仿宋"/>
                <w:b w:val="0"/>
                <w:bCs w:val="0"/>
                <w:i w:val="0"/>
                <w:snapToGrid/>
                <w:color w:val="auto"/>
                <w:sz w:val="15"/>
                <w:szCs w:val="15"/>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1.不对本辖区内</w:t>
            </w:r>
            <w:r>
              <w:rPr>
                <w:rFonts w:hint="eastAsia" w:ascii="华文仿宋" w:hAnsi="华文仿宋" w:eastAsia="华文仿宋" w:cs="华文仿宋"/>
                <w:color w:val="auto"/>
                <w:sz w:val="15"/>
                <w:szCs w:val="15"/>
                <w:vertAlign w:val="baseline"/>
                <w:lang w:val="en-US" w:eastAsia="zh-CN"/>
              </w:rPr>
              <w:t>基层法律服务所年检初审</w:t>
            </w:r>
            <w:r>
              <w:rPr>
                <w:rFonts w:hint="eastAsia" w:ascii="华文仿宋" w:hAnsi="华文仿宋" w:eastAsia="华文仿宋" w:cs="华文仿宋"/>
                <w:b w:val="0"/>
                <w:bCs w:val="0"/>
                <w:i w:val="0"/>
                <w:snapToGrid/>
                <w:color w:val="auto"/>
                <w:sz w:val="15"/>
                <w:szCs w:val="15"/>
                <w:u w:val="none"/>
                <w:lang w:val="en-US" w:eastAsia="zh-CN"/>
              </w:rPr>
              <w:t>组织监督检查；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2.对在检查中发现的问题，不责令限期整改、不依法实施处罚；</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3.不及时予以公告，对构成违法犯罪的不移交司法机关；</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4.对监督检查发现的问题，整改完成后，不对整改情况组织进行核查；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华文仿宋" w:hAnsi="华文仿宋" w:eastAsia="华文仿宋" w:cs="华文仿宋"/>
                <w:b w:val="0"/>
                <w:bCs w:val="0"/>
                <w:i w:val="0"/>
                <w:snapToGrid/>
                <w:color w:val="auto"/>
                <w:sz w:val="15"/>
                <w:szCs w:val="15"/>
                <w:u w:val="none"/>
                <w:lang w:val="en-US" w:eastAsia="zh-CN"/>
              </w:rPr>
            </w:pPr>
            <w:r>
              <w:rPr>
                <w:rFonts w:hint="eastAsia" w:ascii="华文仿宋" w:hAnsi="华文仿宋" w:eastAsia="华文仿宋" w:cs="华文仿宋"/>
                <w:b w:val="0"/>
                <w:bCs w:val="0"/>
                <w:i w:val="0"/>
                <w:snapToGrid/>
                <w:color w:val="auto"/>
                <w:sz w:val="15"/>
                <w:szCs w:val="15"/>
                <w:u w:val="none"/>
                <w:lang w:val="en-US" w:eastAsia="zh-CN"/>
              </w:rPr>
              <w:t>5.其他违反法律法规规章文件规定的行为。</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300" w:firstLineChars="200"/>
              <w:jc w:val="both"/>
              <w:textAlignment w:val="center"/>
              <w:outlineLvl w:val="9"/>
              <w:rPr>
                <w:rFonts w:hint="eastAsia" w:ascii="华文仿宋" w:hAnsi="华文仿宋" w:eastAsia="华文仿宋" w:cs="华文仿宋"/>
                <w:b w:val="0"/>
                <w:bCs w:val="0"/>
                <w:i w:val="0"/>
                <w:snapToGrid/>
                <w:color w:val="auto"/>
                <w:kern w:val="2"/>
                <w:sz w:val="15"/>
                <w:szCs w:val="15"/>
                <w:highlight w:val="none"/>
                <w:u w:val="none"/>
                <w:lang w:val="en" w:eastAsia="zh-CN"/>
              </w:rPr>
            </w:pP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color w:val="000000" w:themeColor="text1"/>
                <w:kern w:val="2"/>
                <w:sz w:val="15"/>
                <w:szCs w:val="15"/>
                <w:shd w:val="clear" w:color="auto" w:fill="auto"/>
                <w:vertAlign w:val="baseline"/>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default"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11</w:t>
            </w:r>
          </w:p>
        </w:tc>
        <w:tc>
          <w:tcPr>
            <w:tcW w:w="92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44546A" w:themeColor="text2"/>
                <w:kern w:val="2"/>
                <w:sz w:val="15"/>
                <w:szCs w:val="15"/>
                <w:highlight w:val="none"/>
                <w:u w:val="none"/>
                <w:lang w:val="en-US" w:eastAsia="zh-CN"/>
                <w14:textFill>
                  <w14:solidFill>
                    <w14:schemeClr w14:val="tx2"/>
                  </w14:solidFill>
                </w14:textFill>
              </w:rPr>
            </w:pPr>
            <w:r>
              <w:rPr>
                <w:rFonts w:hint="eastAsia" w:ascii="华文仿宋" w:hAnsi="华文仿宋" w:eastAsia="华文仿宋" w:cs="华文仿宋"/>
                <w:b w:val="0"/>
                <w:bCs w:val="0"/>
                <w:i w:val="0"/>
                <w:snapToGrid/>
                <w:color w:val="44546A" w:themeColor="text2"/>
                <w:sz w:val="15"/>
                <w:szCs w:val="15"/>
                <w:highlight w:val="none"/>
                <w:u w:val="none"/>
                <w:lang w:val="en-US" w:eastAsia="zh-CN"/>
                <w14:textFill>
                  <w14:solidFill>
                    <w14:schemeClr w14:val="tx2"/>
                  </w14:solidFill>
                </w14:textFill>
              </w:rPr>
              <w:t>行政检查</w:t>
            </w:r>
          </w:p>
        </w:tc>
        <w:tc>
          <w:tcPr>
            <w:tcW w:w="1684"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kern w:val="2"/>
                <w:sz w:val="15"/>
                <w:szCs w:val="15"/>
                <w:highlight w:val="none"/>
                <w:u w:val="none"/>
                <w:lang w:val="en-US" w:eastAsia="zh-CN"/>
              </w:rPr>
            </w:pPr>
            <w:r>
              <w:rPr>
                <w:rFonts w:hint="eastAsia" w:ascii="华文仿宋" w:hAnsi="华文仿宋" w:eastAsia="华文仿宋" w:cs="华文仿宋"/>
                <w:b w:val="0"/>
                <w:bCs w:val="0"/>
                <w:i w:val="0"/>
                <w:snapToGrid/>
                <w:color w:val="auto"/>
                <w:sz w:val="15"/>
                <w:szCs w:val="15"/>
                <w:highlight w:val="none"/>
                <w:u w:val="none"/>
                <w:lang w:eastAsia="zh-CN"/>
              </w:rPr>
              <w:t>对司法鉴定机构及其鉴定人的检查</w:t>
            </w:r>
          </w:p>
        </w:tc>
        <w:tc>
          <w:tcPr>
            <w:tcW w:w="1776"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kern w:val="2"/>
                <w:sz w:val="15"/>
                <w:szCs w:val="15"/>
                <w:highlight w:val="none"/>
                <w:u w:val="none"/>
                <w:lang w:val="en-US" w:eastAsia="zh-CN"/>
              </w:rPr>
            </w:pPr>
            <w:r>
              <w:rPr>
                <w:rFonts w:hint="eastAsia" w:ascii="华文仿宋" w:hAnsi="华文仿宋" w:eastAsia="华文仿宋" w:cs="华文仿宋"/>
                <w:b w:val="0"/>
                <w:bCs w:val="0"/>
                <w:i w:val="0"/>
                <w:snapToGrid/>
                <w:color w:val="auto"/>
                <w:sz w:val="15"/>
                <w:szCs w:val="15"/>
                <w:highlight w:val="none"/>
                <w:u w:val="none"/>
                <w:lang w:val="en-US" w:eastAsia="zh-CN"/>
              </w:rPr>
              <w:t>区司法局</w:t>
            </w:r>
          </w:p>
        </w:tc>
        <w:tc>
          <w:tcPr>
            <w:tcW w:w="2487"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sz w:val="15"/>
                <w:szCs w:val="15"/>
                <w:highlight w:val="none"/>
                <w:u w:val="none"/>
                <w:lang w:eastAsia="zh-CN"/>
              </w:rPr>
            </w:pPr>
            <w:r>
              <w:rPr>
                <w:rFonts w:hint="eastAsia" w:ascii="华文仿宋" w:hAnsi="华文仿宋" w:eastAsia="华文仿宋" w:cs="华文仿宋"/>
                <w:b w:val="0"/>
                <w:bCs w:val="0"/>
                <w:i w:val="0"/>
                <w:snapToGrid/>
                <w:color w:val="auto"/>
                <w:sz w:val="15"/>
                <w:szCs w:val="15"/>
                <w:highlight w:val="none"/>
                <w:u w:val="none"/>
                <w:lang w:eastAsia="zh-CN"/>
              </w:rPr>
              <w:t>《河北省司法鉴定管理条例》（2002 年 11 月 25 日河北省第九届人民代表大会常务委员会第三十次会议通过，2015 年 7 月 24 日河北省第十二届人民代表大会常务委员会第十六次会议修正）第四条</w:t>
            </w:r>
            <w:r>
              <w:rPr>
                <w:rFonts w:hint="eastAsia" w:ascii="华文仿宋" w:hAnsi="华文仿宋" w:eastAsia="华文仿宋" w:cs="华文仿宋"/>
                <w:b w:val="0"/>
                <w:bCs w:val="0"/>
                <w:i w:val="0"/>
                <w:snapToGrid/>
                <w:color w:val="auto"/>
                <w:sz w:val="15"/>
                <w:szCs w:val="15"/>
                <w:highlight w:val="none"/>
                <w:u w:val="none"/>
                <w:lang w:val="en-US" w:eastAsia="zh-CN"/>
              </w:rPr>
              <w:t>第二款</w:t>
            </w:r>
            <w:r>
              <w:rPr>
                <w:rFonts w:hint="eastAsia" w:ascii="华文仿宋" w:hAnsi="华文仿宋" w:eastAsia="华文仿宋" w:cs="华文仿宋"/>
                <w:b w:val="0"/>
                <w:bCs w:val="0"/>
                <w:i w:val="0"/>
                <w:snapToGrid/>
                <w:color w:val="auto"/>
                <w:sz w:val="15"/>
                <w:szCs w:val="15"/>
                <w:highlight w:val="none"/>
                <w:u w:val="none"/>
                <w:lang w:eastAsia="zh-CN"/>
              </w:rPr>
              <w:t>“县级以上人民政府司法行政部门负责监督和管理本行政区域的司法鉴定机构及其鉴定活动。”</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sz w:val="15"/>
                <w:szCs w:val="15"/>
                <w:highlight w:val="none"/>
                <w:u w:val="none"/>
                <w:lang w:val="en-US" w:eastAsia="zh-CN"/>
              </w:rPr>
            </w:pPr>
            <w:r>
              <w:rPr>
                <w:rFonts w:hint="eastAsia" w:ascii="华文仿宋" w:hAnsi="华文仿宋" w:eastAsia="华文仿宋" w:cs="华文仿宋"/>
                <w:b w:val="0"/>
                <w:bCs w:val="0"/>
                <w:i w:val="0"/>
                <w:snapToGrid/>
                <w:color w:val="auto"/>
                <w:sz w:val="15"/>
                <w:szCs w:val="15"/>
                <w:highlight w:val="none"/>
                <w:u w:val="none"/>
                <w:lang w:eastAsia="zh-CN"/>
              </w:rPr>
              <w:t>《司法鉴定机构登记管理办法》（司法部令第 95 号，自 2005 年 9 月 30 日公布实施）第三十三条“司法行政机关应当按照统一部署，依法对司法鉴定机构进行监督、检查。公民、法人和其他组织对司法鉴定机构违反本办法规定的行为进行举报、投诉的，司法行政机关应当及时进行监督、检查，并根据调查结果进行处理。”</w:t>
            </w:r>
          </w:p>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kern w:val="2"/>
                <w:sz w:val="15"/>
                <w:szCs w:val="15"/>
                <w:highlight w:val="none"/>
                <w:u w:val="none"/>
                <w:lang w:val="en-US" w:eastAsia="zh-CN"/>
              </w:rPr>
            </w:pPr>
            <w:r>
              <w:rPr>
                <w:rFonts w:hint="eastAsia" w:ascii="华文仿宋" w:hAnsi="华文仿宋" w:eastAsia="华文仿宋" w:cs="华文仿宋"/>
                <w:b w:val="0"/>
                <w:bCs w:val="0"/>
                <w:i w:val="0"/>
                <w:snapToGrid/>
                <w:color w:val="auto"/>
                <w:sz w:val="15"/>
                <w:szCs w:val="15"/>
                <w:highlight w:val="none"/>
                <w:u w:val="none"/>
                <w:lang w:eastAsia="zh-CN"/>
              </w:rPr>
              <w:t>《司法鉴定机构</w:t>
            </w:r>
            <w:r>
              <w:rPr>
                <w:rFonts w:hint="eastAsia" w:ascii="华文仿宋" w:hAnsi="华文仿宋" w:eastAsia="华文仿宋" w:cs="华文仿宋"/>
                <w:b w:val="0"/>
                <w:bCs w:val="0"/>
                <w:i w:val="0"/>
                <w:snapToGrid/>
                <w:color w:val="auto"/>
                <w:sz w:val="15"/>
                <w:szCs w:val="15"/>
                <w:highlight w:val="none"/>
                <w:u w:val="none"/>
                <w:lang w:val="en-US" w:eastAsia="zh-CN"/>
              </w:rPr>
              <w:t>人</w:t>
            </w:r>
            <w:r>
              <w:rPr>
                <w:rFonts w:hint="eastAsia" w:ascii="华文仿宋" w:hAnsi="华文仿宋" w:eastAsia="华文仿宋" w:cs="华文仿宋"/>
                <w:b w:val="0"/>
                <w:bCs w:val="0"/>
                <w:i w:val="0"/>
                <w:snapToGrid/>
                <w:color w:val="auto"/>
                <w:sz w:val="15"/>
                <w:szCs w:val="15"/>
                <w:highlight w:val="none"/>
                <w:u w:val="none"/>
                <w:lang w:eastAsia="zh-CN"/>
              </w:rPr>
              <w:t>管理办法》（司法部令第9</w:t>
            </w:r>
            <w:r>
              <w:rPr>
                <w:rFonts w:hint="eastAsia" w:ascii="华文仿宋" w:hAnsi="华文仿宋" w:eastAsia="华文仿宋" w:cs="华文仿宋"/>
                <w:b w:val="0"/>
                <w:bCs w:val="0"/>
                <w:i w:val="0"/>
                <w:snapToGrid/>
                <w:color w:val="auto"/>
                <w:sz w:val="15"/>
                <w:szCs w:val="15"/>
                <w:highlight w:val="none"/>
                <w:u w:val="none"/>
                <w:lang w:val="en-US" w:eastAsia="zh-CN"/>
              </w:rPr>
              <w:t>6</w:t>
            </w:r>
            <w:r>
              <w:rPr>
                <w:rFonts w:hint="eastAsia" w:ascii="华文仿宋" w:hAnsi="华文仿宋" w:eastAsia="华文仿宋" w:cs="华文仿宋"/>
                <w:b w:val="0"/>
                <w:bCs w:val="0"/>
                <w:i w:val="0"/>
                <w:snapToGrid/>
                <w:color w:val="auto"/>
                <w:sz w:val="15"/>
                <w:szCs w:val="15"/>
                <w:highlight w:val="none"/>
                <w:u w:val="none"/>
                <w:lang w:eastAsia="zh-CN"/>
              </w:rPr>
              <w:t>号，自 2005年9月30日公布实施）第</w:t>
            </w:r>
            <w:r>
              <w:rPr>
                <w:rFonts w:hint="eastAsia" w:ascii="华文仿宋" w:hAnsi="华文仿宋" w:eastAsia="华文仿宋" w:cs="华文仿宋"/>
                <w:b w:val="0"/>
                <w:bCs w:val="0"/>
                <w:i w:val="0"/>
                <w:snapToGrid/>
                <w:color w:val="auto"/>
                <w:sz w:val="15"/>
                <w:szCs w:val="15"/>
                <w:highlight w:val="none"/>
                <w:u w:val="none"/>
                <w:lang w:val="en-US" w:eastAsia="zh-CN"/>
              </w:rPr>
              <w:t>二十六</w:t>
            </w:r>
            <w:r>
              <w:rPr>
                <w:rFonts w:hint="eastAsia" w:ascii="华文仿宋" w:hAnsi="华文仿宋" w:eastAsia="华文仿宋" w:cs="华文仿宋"/>
                <w:b w:val="0"/>
                <w:bCs w:val="0"/>
                <w:i w:val="0"/>
                <w:snapToGrid/>
                <w:color w:val="auto"/>
                <w:sz w:val="15"/>
                <w:szCs w:val="15"/>
                <w:highlight w:val="none"/>
                <w:u w:val="none"/>
                <w:lang w:eastAsia="zh-CN"/>
              </w:rPr>
              <w:t>条“司法行政机关对司法鉴定</w:t>
            </w:r>
            <w:r>
              <w:rPr>
                <w:rFonts w:hint="eastAsia" w:ascii="华文仿宋" w:hAnsi="华文仿宋" w:eastAsia="华文仿宋" w:cs="华文仿宋"/>
                <w:b w:val="0"/>
                <w:bCs w:val="0"/>
                <w:i w:val="0"/>
                <w:snapToGrid/>
                <w:color w:val="auto"/>
                <w:sz w:val="15"/>
                <w:szCs w:val="15"/>
                <w:highlight w:val="none"/>
                <w:u w:val="none"/>
                <w:lang w:val="en-US" w:eastAsia="zh-CN"/>
              </w:rPr>
              <w:t>人</w:t>
            </w:r>
            <w:r>
              <w:rPr>
                <w:rFonts w:hint="eastAsia" w:ascii="华文仿宋" w:hAnsi="华文仿宋" w:eastAsia="华文仿宋" w:cs="华文仿宋"/>
                <w:b w:val="0"/>
                <w:bCs w:val="0"/>
                <w:i w:val="0"/>
                <w:snapToGrid/>
                <w:color w:val="auto"/>
                <w:sz w:val="15"/>
                <w:szCs w:val="15"/>
                <w:highlight w:val="none"/>
                <w:u w:val="none"/>
                <w:lang w:eastAsia="zh-CN"/>
              </w:rPr>
              <w:t>进行监督、检查</w:t>
            </w:r>
            <w:r>
              <w:rPr>
                <w:rFonts w:hint="eastAsia" w:ascii="华文仿宋" w:hAnsi="华文仿宋" w:eastAsia="华文仿宋" w:cs="华文仿宋"/>
                <w:b w:val="0"/>
                <w:bCs w:val="0"/>
                <w:i w:val="0"/>
                <w:snapToGrid/>
                <w:color w:val="auto"/>
                <w:sz w:val="15"/>
                <w:szCs w:val="15"/>
                <w:highlight w:val="none"/>
                <w:u w:val="none"/>
                <w:lang w:val="en-US" w:eastAsia="zh-CN"/>
              </w:rPr>
              <w:t>或者根据举报、投诉进行调查时，可以依法查阅或者要求司法鉴定人报送有关材料</w:t>
            </w:r>
            <w:r>
              <w:rPr>
                <w:rFonts w:hint="eastAsia" w:ascii="华文仿宋" w:hAnsi="华文仿宋" w:eastAsia="华文仿宋" w:cs="华文仿宋"/>
                <w:b w:val="0"/>
                <w:bCs w:val="0"/>
                <w:i w:val="0"/>
                <w:snapToGrid/>
                <w:color w:val="auto"/>
                <w:sz w:val="15"/>
                <w:szCs w:val="15"/>
                <w:highlight w:val="none"/>
                <w:u w:val="none"/>
                <w:lang w:eastAsia="zh-CN"/>
              </w:rPr>
              <w:t>。</w:t>
            </w:r>
            <w:r>
              <w:rPr>
                <w:rFonts w:hint="eastAsia" w:ascii="华文仿宋" w:hAnsi="华文仿宋" w:eastAsia="华文仿宋" w:cs="华文仿宋"/>
                <w:b w:val="0"/>
                <w:bCs w:val="0"/>
                <w:i w:val="0"/>
                <w:snapToGrid/>
                <w:color w:val="auto"/>
                <w:sz w:val="15"/>
                <w:szCs w:val="15"/>
                <w:highlight w:val="none"/>
                <w:u w:val="none"/>
                <w:lang w:val="en-US" w:eastAsia="zh-CN"/>
              </w:rPr>
              <w:t>司法鉴定人应当如实提供有关情况和材料。</w:t>
            </w:r>
            <w:r>
              <w:rPr>
                <w:rFonts w:hint="eastAsia" w:ascii="华文仿宋" w:hAnsi="华文仿宋" w:eastAsia="华文仿宋" w:cs="华文仿宋"/>
                <w:b w:val="0"/>
                <w:bCs w:val="0"/>
                <w:i w:val="0"/>
                <w:snapToGrid/>
                <w:color w:val="auto"/>
                <w:sz w:val="15"/>
                <w:szCs w:val="15"/>
                <w:highlight w:val="none"/>
                <w:u w:val="none"/>
                <w:lang w:eastAsia="zh-CN"/>
              </w:rPr>
              <w:t>”</w:t>
            </w:r>
          </w:p>
        </w:tc>
        <w:tc>
          <w:tcPr>
            <w:tcW w:w="238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kern w:val="2"/>
                <w:sz w:val="15"/>
                <w:szCs w:val="15"/>
                <w:highlight w:val="none"/>
                <w:u w:val="none"/>
                <w:lang w:val="en-US" w:eastAsia="zh-CN"/>
              </w:rPr>
            </w:pPr>
            <w:r>
              <w:rPr>
                <w:rFonts w:hint="eastAsia" w:ascii="华文仿宋" w:hAnsi="华文仿宋" w:eastAsia="华文仿宋" w:cs="华文仿宋"/>
                <w:b w:val="0"/>
                <w:bCs w:val="0"/>
                <w:i w:val="0"/>
                <w:snapToGrid/>
                <w:color w:val="auto"/>
                <w:sz w:val="15"/>
                <w:szCs w:val="15"/>
                <w:highlight w:val="none"/>
                <w:u w:val="none"/>
                <w:lang w:eastAsia="zh-CN"/>
              </w:rPr>
              <w:t xml:space="preserve"> 1.检查责任：对本辖区内司法鉴定机构及其工作情况组织监督检查； 2.处置责任：对监督检查发现的问题，责令限期整改、依法实施处罚； 3.移送责任：对构成违法犯罪的移交司法机关； 4.事后管理责任：对监督检查发现的问题， 司法鉴定机构整改完成后，对整改情况组织进行核查； 5.其他责任：法律法规规章等规定应履行的责任。 </w:t>
            </w:r>
          </w:p>
        </w:tc>
        <w:tc>
          <w:tcPr>
            <w:tcW w:w="2550"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left"/>
              <w:textAlignment w:val="center"/>
              <w:outlineLvl w:val="9"/>
              <w:rPr>
                <w:rFonts w:hint="eastAsia" w:ascii="华文仿宋" w:hAnsi="华文仿宋" w:eastAsia="华文仿宋" w:cs="华文仿宋"/>
                <w:b w:val="0"/>
                <w:bCs w:val="0"/>
                <w:i w:val="0"/>
                <w:snapToGrid/>
                <w:color w:val="auto"/>
                <w:kern w:val="2"/>
                <w:sz w:val="15"/>
                <w:szCs w:val="15"/>
                <w:highlight w:val="none"/>
                <w:u w:val="none"/>
                <w:lang w:val="en" w:eastAsia="zh-CN"/>
              </w:rPr>
            </w:pPr>
            <w:r>
              <w:rPr>
                <w:rFonts w:hint="eastAsia" w:ascii="华文仿宋" w:hAnsi="华文仿宋" w:eastAsia="华文仿宋" w:cs="华文仿宋"/>
                <w:b w:val="0"/>
                <w:bCs w:val="0"/>
                <w:i w:val="0"/>
                <w:snapToGrid/>
                <w:color w:val="auto"/>
                <w:sz w:val="15"/>
                <w:szCs w:val="15"/>
                <w:highlight w:val="none"/>
                <w:u w:val="none"/>
                <w:lang w:eastAsia="zh-CN"/>
              </w:rPr>
              <w:t xml:space="preserve"> 因不履行或不正确履行行政职责，有下列情形的，行政机关及相关工作人员应承担相应责任： 1.不对本辖区内司法鉴定机构及其工作情况组织监督检查； 2.对在检查中发现的问题，不责令限期整改、不依法实施处罚； 3.对构成违法犯罪的不移交司法机关； 4.对监督检查发现的问题，司法鉴定机构整改完成后，不对整改情况组织进行核查； 5.其他违反法律法规规章文件规定的行为。</w:t>
            </w: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color w:val="000000" w:themeColor="text1"/>
                <w:kern w:val="2"/>
                <w:sz w:val="15"/>
                <w:szCs w:val="15"/>
                <w:shd w:val="clear" w:color="auto" w:fill="auto"/>
                <w:vertAlign w:val="baseline"/>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5" w:hRule="atLeast"/>
        </w:trPr>
        <w:tc>
          <w:tcPr>
            <w:tcW w:w="752"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default" w:ascii="华文仿宋" w:hAnsi="华文仿宋" w:eastAsia="华文仿宋" w:cs="华文仿宋"/>
                <w:b w:val="0"/>
                <w:i w:val="0"/>
                <w:snapToGrid/>
                <w:color w:val="000000"/>
                <w:sz w:val="15"/>
                <w:szCs w:val="15"/>
                <w:u w:val="none"/>
                <w:lang w:val="en-US" w:eastAsia="zh-CN"/>
              </w:rPr>
            </w:pPr>
            <w:r>
              <w:rPr>
                <w:rFonts w:hint="eastAsia" w:ascii="华文仿宋" w:hAnsi="华文仿宋" w:eastAsia="华文仿宋" w:cs="华文仿宋"/>
                <w:b w:val="0"/>
                <w:i w:val="0"/>
                <w:snapToGrid/>
                <w:color w:val="000000"/>
                <w:sz w:val="15"/>
                <w:szCs w:val="15"/>
                <w:u w:val="none"/>
                <w:lang w:val="en-US" w:eastAsia="zh-CN"/>
              </w:rPr>
              <w:t>12</w:t>
            </w:r>
          </w:p>
        </w:tc>
        <w:tc>
          <w:tcPr>
            <w:tcW w:w="928"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 w:hAnsi="仿宋" w:eastAsia="仿宋" w:cs="仿宋"/>
                <w:b w:val="0"/>
                <w:bCs w:val="0"/>
                <w:i w:val="0"/>
                <w:snapToGrid/>
                <w:color w:val="auto"/>
                <w:kern w:val="2"/>
                <w:sz w:val="15"/>
                <w:szCs w:val="15"/>
                <w:u w:val="none"/>
                <w:lang w:val="en-US" w:eastAsia="zh-CN"/>
              </w:rPr>
            </w:pPr>
            <w:r>
              <w:rPr>
                <w:rFonts w:hint="eastAsia" w:ascii="仿宋" w:hAnsi="仿宋" w:eastAsia="仿宋" w:cs="仿宋"/>
                <w:b w:val="0"/>
                <w:bCs w:val="0"/>
                <w:i w:val="0"/>
                <w:snapToGrid/>
                <w:color w:val="auto"/>
                <w:sz w:val="15"/>
                <w:szCs w:val="15"/>
                <w:u w:val="none"/>
                <w:lang w:val="en-US" w:eastAsia="zh-CN"/>
              </w:rPr>
              <w:t>其他类</w:t>
            </w:r>
          </w:p>
        </w:tc>
        <w:tc>
          <w:tcPr>
            <w:tcW w:w="168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20" w:lineRule="exact"/>
              <w:ind w:right="0" w:rightChars="0"/>
              <w:textAlignment w:val="auto"/>
              <w:rPr>
                <w:rFonts w:hint="eastAsia" w:ascii="仿宋_GB2312" w:hAnsi="Times New Roman" w:eastAsia="仿宋_GB2312" w:cs="Times New Roman"/>
                <w:color w:val="auto"/>
                <w:kern w:val="2"/>
                <w:sz w:val="15"/>
                <w:szCs w:val="15"/>
                <w:vertAlign w:val="baseline"/>
                <w:lang w:val="en-US" w:eastAsia="zh-CN"/>
              </w:rPr>
            </w:pPr>
            <w:r>
              <w:rPr>
                <w:rFonts w:hint="default" w:ascii="仿宋" w:hAnsi="仿宋" w:eastAsia="仿宋" w:cs="仿宋"/>
                <w:color w:val="auto"/>
                <w:sz w:val="15"/>
                <w:szCs w:val="15"/>
                <w:highlight w:val="none"/>
                <w:lang w:val="en-US" w:eastAsia="zh-CN"/>
              </w:rPr>
              <w:t>对公民法律援助申请的审批</w:t>
            </w:r>
          </w:p>
        </w:tc>
        <w:tc>
          <w:tcPr>
            <w:tcW w:w="1776" w:type="dxa"/>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仿宋" w:hAnsi="仿宋" w:eastAsia="仿宋" w:cs="仿宋"/>
                <w:b w:val="0"/>
                <w:bCs w:val="0"/>
                <w:i w:val="0"/>
                <w:snapToGrid/>
                <w:color w:val="auto"/>
                <w:kern w:val="2"/>
                <w:sz w:val="15"/>
                <w:szCs w:val="15"/>
                <w:u w:val="none"/>
                <w:lang w:val="en-US" w:eastAsia="zh-CN"/>
              </w:rPr>
            </w:pPr>
            <w:r>
              <w:rPr>
                <w:rFonts w:hint="eastAsia" w:ascii="仿宋" w:hAnsi="仿宋" w:eastAsia="仿宋" w:cs="仿宋"/>
                <w:b w:val="0"/>
                <w:bCs w:val="0"/>
                <w:i w:val="0"/>
                <w:snapToGrid/>
                <w:color w:val="auto"/>
                <w:sz w:val="15"/>
                <w:szCs w:val="15"/>
                <w:u w:val="none"/>
                <w:lang w:val="en-US" w:eastAsia="zh-CN"/>
              </w:rPr>
              <w:t>区司法</w:t>
            </w:r>
            <w:bookmarkStart w:id="0" w:name="_GoBack"/>
            <w:bookmarkEnd w:id="0"/>
            <w:r>
              <w:rPr>
                <w:rFonts w:hint="eastAsia" w:ascii="仿宋" w:hAnsi="仿宋" w:eastAsia="仿宋" w:cs="仿宋"/>
                <w:b w:val="0"/>
                <w:bCs w:val="0"/>
                <w:i w:val="0"/>
                <w:snapToGrid/>
                <w:color w:val="auto"/>
                <w:sz w:val="15"/>
                <w:szCs w:val="15"/>
                <w:u w:val="none"/>
                <w:lang w:val="en-US" w:eastAsia="zh-CN"/>
              </w:rPr>
              <w:t>局</w:t>
            </w:r>
          </w:p>
        </w:tc>
        <w:tc>
          <w:tcPr>
            <w:tcW w:w="2487"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20" w:lineRule="exact"/>
              <w:ind w:right="0" w:rightChars="0"/>
              <w:textAlignment w:val="auto"/>
              <w:rPr>
                <w:rFonts w:hint="eastAsia" w:ascii="仿宋" w:hAnsi="仿宋" w:eastAsia="仿宋" w:cs="仿宋"/>
                <w:b w:val="0"/>
                <w:bCs w:val="0"/>
                <w:i w:val="0"/>
                <w:snapToGrid/>
                <w:color w:val="auto"/>
                <w:kern w:val="2"/>
                <w:sz w:val="15"/>
                <w:szCs w:val="15"/>
                <w:highlight w:val="none"/>
                <w:u w:val="none"/>
                <w:shd w:val="clear" w:color="auto" w:fill="auto"/>
                <w:lang w:val="en-US" w:eastAsia="zh-CN"/>
              </w:rPr>
            </w:pPr>
            <w:r>
              <w:rPr>
                <w:rFonts w:hint="eastAsia" w:ascii="仿宋" w:hAnsi="仿宋" w:eastAsia="仿宋" w:cs="仿宋"/>
                <w:i w:val="0"/>
                <w:caps w:val="0"/>
                <w:color w:val="auto"/>
                <w:spacing w:val="0"/>
                <w:sz w:val="15"/>
                <w:szCs w:val="15"/>
                <w:shd w:val="clear" w:color="auto" w:fill="auto"/>
              </w:rPr>
              <w:t>《中华人民共和国法律援助法》（2022年1月1日起施行）第四十三条　法律援助机构应当自收到法律援助申请之日起七日内进行审查，作出是否给予法律援助的决定。决定给予法律援助的，应当自作出决定之日起三日内指派法律援助人员为受援人提供法律援助；决定不给予法律援助的，应当书面告知申请人，并说明理由。申请人提交的申请材料不齐全的，法律援助机构应当一次性告知申请人需要补充的材料或者要求申请人作出说明。申请人未按要求补充材料或者作出说明的，视为撤回申请。</w:t>
            </w:r>
          </w:p>
        </w:tc>
        <w:tc>
          <w:tcPr>
            <w:tcW w:w="2388" w:type="dxa"/>
            <w:vAlign w:val="center"/>
          </w:tcPr>
          <w:p>
            <w:pPr>
              <w:keepNext w:val="0"/>
              <w:keepLines w:val="0"/>
              <w:pageBreakBefore w:val="0"/>
              <w:widowControl/>
              <w:suppressLineNumbers w:val="0"/>
              <w:kinsoku/>
              <w:wordWrap/>
              <w:overflowPunct/>
              <w:topLinePunct w:val="0"/>
              <w:autoSpaceDE/>
              <w:bidi w:val="0"/>
              <w:adjustRightInd/>
              <w:snapToGrid/>
              <w:spacing w:line="240" w:lineRule="auto"/>
              <w:jc w:val="both"/>
              <w:textAlignment w:val="center"/>
              <w:rPr>
                <w:rFonts w:hint="eastAsia" w:ascii="仿宋" w:hAnsi="仿宋" w:eastAsia="仿宋" w:cs="仿宋"/>
                <w:b w:val="0"/>
                <w:bCs w:val="0"/>
                <w:i w:val="0"/>
                <w:color w:val="auto"/>
                <w:kern w:val="0"/>
                <w:sz w:val="15"/>
                <w:szCs w:val="15"/>
                <w:highlight w:val="none"/>
                <w:u w:val="none"/>
                <w:shd w:val="clear" w:color="auto" w:fill="auto"/>
                <w:lang w:val="en-US" w:eastAsia="zh-CN"/>
              </w:rPr>
            </w:pPr>
            <w:r>
              <w:rPr>
                <w:rFonts w:hint="eastAsia" w:ascii="仿宋" w:hAnsi="仿宋" w:eastAsia="仿宋" w:cs="仿宋"/>
                <w:i w:val="0"/>
                <w:caps w:val="0"/>
                <w:color w:val="auto"/>
                <w:spacing w:val="0"/>
                <w:sz w:val="15"/>
                <w:szCs w:val="15"/>
                <w:shd w:val="clear" w:color="auto" w:fill="auto"/>
              </w:rPr>
              <w:t>1、受理责任：依法受理或不予受理，并一次性告之不予受理理由或需补充提供的相关材料目录。 2、审查责任：认为申请人提交的证件、证明材料不齐全的，可以要求申请人作出必要的补充或者说明，申请人未按要求作出补充或者说明的，视为撤销申请；认为申请人提交的证件、证明材料需要查证的，由法律援助机构向有关机关、单位查证。 3、决定责任：对符合法律援助条件的，法律援助机构应当及时决定提供法律援助；对不符合法律援助条件的，应当书面告知申请人理由。 4、其他法律法规规章文件规定应履行的责任。</w:t>
            </w:r>
          </w:p>
          <w:p>
            <w:pPr>
              <w:keepNext w:val="0"/>
              <w:keepLines w:val="0"/>
              <w:pageBreakBefore w:val="0"/>
              <w:widowControl/>
              <w:suppressLineNumbers w:val="0"/>
              <w:kinsoku/>
              <w:wordWrap/>
              <w:overflowPunct/>
              <w:topLinePunct w:val="0"/>
              <w:autoSpaceDE/>
              <w:bidi w:val="0"/>
              <w:adjustRightInd/>
              <w:snapToGrid/>
              <w:spacing w:line="360" w:lineRule="exact"/>
              <w:jc w:val="both"/>
              <w:textAlignment w:val="center"/>
              <w:rPr>
                <w:rFonts w:hint="eastAsia" w:ascii="仿宋" w:hAnsi="仿宋" w:eastAsia="仿宋" w:cs="仿宋"/>
                <w:color w:val="auto"/>
                <w:kern w:val="2"/>
                <w:sz w:val="15"/>
                <w:szCs w:val="15"/>
                <w:highlight w:val="none"/>
                <w:shd w:val="clear" w:color="auto" w:fill="auto"/>
                <w:lang w:val="en-US" w:eastAsia="zh-CN"/>
              </w:rPr>
            </w:pPr>
          </w:p>
        </w:tc>
        <w:tc>
          <w:tcPr>
            <w:tcW w:w="255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20" w:lineRule="exact"/>
              <w:ind w:right="0" w:rightChars="0"/>
              <w:textAlignment w:val="auto"/>
              <w:rPr>
                <w:rFonts w:hint="eastAsia" w:ascii="仿宋" w:hAnsi="仿宋" w:eastAsia="仿宋" w:cs="仿宋"/>
                <w:b w:val="0"/>
                <w:i w:val="0"/>
                <w:snapToGrid/>
                <w:color w:val="auto"/>
                <w:sz w:val="15"/>
                <w:szCs w:val="15"/>
                <w:highlight w:val="none"/>
                <w:u w:val="none"/>
                <w:shd w:val="clear" w:color="auto" w:fill="auto"/>
                <w:lang w:val="en-US" w:eastAsia="zh-CN"/>
              </w:rPr>
            </w:pPr>
            <w:r>
              <w:rPr>
                <w:rFonts w:hint="eastAsia" w:ascii="仿宋" w:hAnsi="仿宋" w:eastAsia="仿宋" w:cs="仿宋"/>
                <w:i w:val="0"/>
                <w:caps w:val="0"/>
                <w:color w:val="auto"/>
                <w:spacing w:val="0"/>
                <w:sz w:val="15"/>
                <w:szCs w:val="15"/>
                <w:shd w:val="clear" w:color="auto" w:fill="auto"/>
              </w:rPr>
              <w:t>因不履行或不正确履行行政职责，有下列情形的，行政机关及其工作人员应当承担相应责任：</w:t>
            </w:r>
            <w:r>
              <w:rPr>
                <w:rFonts w:hint="eastAsia" w:ascii="仿宋" w:hAnsi="仿宋" w:eastAsia="仿宋" w:cs="仿宋"/>
                <w:i w:val="0"/>
                <w:caps w:val="0"/>
                <w:color w:val="auto"/>
                <w:spacing w:val="0"/>
                <w:sz w:val="15"/>
                <w:szCs w:val="15"/>
                <w:shd w:val="clear" w:color="auto" w:fill="auto"/>
              </w:rPr>
              <w:br w:type="textWrapping"/>
            </w:r>
            <w:r>
              <w:rPr>
                <w:rFonts w:hint="eastAsia" w:ascii="仿宋" w:hAnsi="仿宋" w:eastAsia="仿宋" w:cs="仿宋"/>
                <w:i w:val="0"/>
                <w:caps w:val="0"/>
                <w:color w:val="auto"/>
                <w:spacing w:val="0"/>
                <w:sz w:val="15"/>
                <w:szCs w:val="15"/>
                <w:shd w:val="clear" w:color="auto" w:fill="auto"/>
              </w:rPr>
              <w:t>1、为不符合法律援助条件的人员提供法律援助，或者拒绝为符合法律援助条件的人员提供法律援助的；</w:t>
            </w:r>
            <w:r>
              <w:rPr>
                <w:rFonts w:hint="eastAsia" w:ascii="仿宋" w:hAnsi="仿宋" w:eastAsia="仿宋" w:cs="仿宋"/>
                <w:i w:val="0"/>
                <w:caps w:val="0"/>
                <w:color w:val="auto"/>
                <w:spacing w:val="0"/>
                <w:sz w:val="15"/>
                <w:szCs w:val="15"/>
                <w:shd w:val="clear" w:color="auto" w:fill="auto"/>
              </w:rPr>
              <w:br w:type="textWrapping"/>
            </w:r>
            <w:r>
              <w:rPr>
                <w:rFonts w:hint="eastAsia" w:ascii="仿宋" w:hAnsi="仿宋" w:eastAsia="仿宋" w:cs="仿宋"/>
                <w:i w:val="0"/>
                <w:caps w:val="0"/>
                <w:color w:val="auto"/>
                <w:spacing w:val="0"/>
                <w:sz w:val="15"/>
                <w:szCs w:val="15"/>
                <w:shd w:val="clear" w:color="auto" w:fill="auto"/>
              </w:rPr>
              <w:t>2、办理法律援助案件收取财物的；</w:t>
            </w:r>
            <w:r>
              <w:rPr>
                <w:rFonts w:hint="eastAsia" w:ascii="仿宋" w:hAnsi="仿宋" w:eastAsia="仿宋" w:cs="仿宋"/>
                <w:i w:val="0"/>
                <w:caps w:val="0"/>
                <w:color w:val="auto"/>
                <w:spacing w:val="0"/>
                <w:sz w:val="15"/>
                <w:szCs w:val="15"/>
                <w:shd w:val="clear" w:color="auto" w:fill="auto"/>
              </w:rPr>
              <w:br w:type="textWrapping"/>
            </w:r>
            <w:r>
              <w:rPr>
                <w:rFonts w:hint="eastAsia" w:ascii="仿宋" w:hAnsi="仿宋" w:eastAsia="仿宋" w:cs="仿宋"/>
                <w:i w:val="0"/>
                <w:caps w:val="0"/>
                <w:color w:val="auto"/>
                <w:spacing w:val="0"/>
                <w:sz w:val="15"/>
                <w:szCs w:val="15"/>
                <w:shd w:val="clear" w:color="auto" w:fill="auto"/>
              </w:rPr>
              <w:t>3、从事有偿法律服务的；</w:t>
            </w:r>
            <w:r>
              <w:rPr>
                <w:rFonts w:hint="eastAsia" w:ascii="仿宋" w:hAnsi="仿宋" w:eastAsia="仿宋" w:cs="仿宋"/>
                <w:i w:val="0"/>
                <w:caps w:val="0"/>
                <w:color w:val="auto"/>
                <w:spacing w:val="0"/>
                <w:sz w:val="15"/>
                <w:szCs w:val="15"/>
                <w:shd w:val="clear" w:color="auto" w:fill="auto"/>
              </w:rPr>
              <w:br w:type="textWrapping"/>
            </w:r>
            <w:r>
              <w:rPr>
                <w:rFonts w:hint="eastAsia" w:ascii="仿宋" w:hAnsi="仿宋" w:eastAsia="仿宋" w:cs="仿宋"/>
                <w:i w:val="0"/>
                <w:caps w:val="0"/>
                <w:color w:val="auto"/>
                <w:spacing w:val="0"/>
                <w:sz w:val="15"/>
                <w:szCs w:val="15"/>
                <w:shd w:val="clear" w:color="auto" w:fill="auto"/>
              </w:rPr>
              <w:t>4、侵占、私分、挪用法律援助经费的；</w:t>
            </w:r>
            <w:r>
              <w:rPr>
                <w:rFonts w:hint="eastAsia" w:ascii="仿宋" w:hAnsi="仿宋" w:eastAsia="仿宋" w:cs="仿宋"/>
                <w:i w:val="0"/>
                <w:caps w:val="0"/>
                <w:color w:val="auto"/>
                <w:spacing w:val="0"/>
                <w:sz w:val="15"/>
                <w:szCs w:val="15"/>
                <w:shd w:val="clear" w:color="auto" w:fill="auto"/>
              </w:rPr>
              <w:br w:type="textWrapping"/>
            </w:r>
            <w:r>
              <w:rPr>
                <w:rFonts w:hint="eastAsia" w:ascii="仿宋" w:hAnsi="仿宋" w:eastAsia="仿宋" w:cs="仿宋"/>
                <w:i w:val="0"/>
                <w:caps w:val="0"/>
                <w:color w:val="auto"/>
                <w:spacing w:val="0"/>
                <w:sz w:val="15"/>
                <w:szCs w:val="15"/>
                <w:shd w:val="clear" w:color="auto" w:fill="auto"/>
              </w:rPr>
              <w:t>5、在法律援助的监督管理工作中，有滥用职权、玩忽职守行为的。</w:t>
            </w:r>
            <w:r>
              <w:rPr>
                <w:rFonts w:hint="eastAsia" w:ascii="仿宋" w:hAnsi="仿宋" w:eastAsia="仿宋" w:cs="仿宋"/>
                <w:i w:val="0"/>
                <w:caps w:val="0"/>
                <w:color w:val="auto"/>
                <w:spacing w:val="0"/>
                <w:sz w:val="15"/>
                <w:szCs w:val="15"/>
                <w:shd w:val="clear" w:color="auto" w:fill="auto"/>
              </w:rPr>
              <w:br w:type="textWrapping"/>
            </w:r>
            <w:r>
              <w:rPr>
                <w:rFonts w:hint="eastAsia" w:ascii="仿宋" w:hAnsi="仿宋" w:eastAsia="仿宋" w:cs="仿宋"/>
                <w:i w:val="0"/>
                <w:caps w:val="0"/>
                <w:color w:val="auto"/>
                <w:spacing w:val="0"/>
                <w:sz w:val="15"/>
                <w:szCs w:val="15"/>
                <w:shd w:val="clear" w:color="auto" w:fill="auto"/>
              </w:rPr>
              <w:t>6、其他违反法律法规规章规定的行为。</w:t>
            </w:r>
          </w:p>
          <w:p>
            <w:pPr>
              <w:keepNext w:val="0"/>
              <w:keepLines w:val="0"/>
              <w:pageBreakBefore w:val="0"/>
              <w:widowControl w:val="0"/>
              <w:kinsoku/>
              <w:wordWrap/>
              <w:overflowPunct/>
              <w:topLinePunct w:val="0"/>
              <w:autoSpaceDE/>
              <w:autoSpaceDN/>
              <w:bidi w:val="0"/>
              <w:adjustRightInd/>
              <w:snapToGrid/>
              <w:spacing w:before="0" w:beforeLines="0" w:after="0" w:afterLines="0" w:line="320" w:lineRule="exact"/>
              <w:ind w:right="0" w:rightChars="0"/>
              <w:textAlignment w:val="auto"/>
              <w:rPr>
                <w:rFonts w:hint="eastAsia" w:ascii="仿宋" w:hAnsi="仿宋" w:eastAsia="仿宋" w:cs="仿宋"/>
                <w:b w:val="0"/>
                <w:i w:val="0"/>
                <w:snapToGrid/>
                <w:color w:val="auto"/>
                <w:sz w:val="15"/>
                <w:szCs w:val="15"/>
                <w:highlight w:val="none"/>
                <w:u w:val="none"/>
                <w:shd w:val="clear" w:color="auto" w:fill="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textAlignment w:val="auto"/>
              <w:rPr>
                <w:rFonts w:hint="default" w:ascii="仿宋" w:hAnsi="仿宋" w:eastAsia="仿宋" w:cs="仿宋"/>
                <w:b w:val="0"/>
                <w:i w:val="0"/>
                <w:snapToGrid/>
                <w:color w:val="auto"/>
                <w:sz w:val="15"/>
                <w:szCs w:val="15"/>
                <w:highlight w:val="none"/>
                <w:u w:val="none"/>
                <w:shd w:val="clear" w:color="auto" w:fill="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320" w:lineRule="exact"/>
              <w:ind w:right="0" w:rightChars="0"/>
              <w:textAlignment w:val="auto"/>
              <w:rPr>
                <w:rFonts w:hint="eastAsia" w:ascii="仿宋" w:hAnsi="仿宋" w:eastAsia="仿宋" w:cs="仿宋"/>
                <w:color w:val="auto"/>
                <w:kern w:val="2"/>
                <w:sz w:val="15"/>
                <w:szCs w:val="15"/>
                <w:highlight w:val="none"/>
                <w:shd w:val="clear" w:color="auto" w:fill="auto"/>
                <w:lang w:val="en-US" w:eastAsia="zh-CN"/>
              </w:rPr>
            </w:pPr>
          </w:p>
        </w:tc>
        <w:tc>
          <w:tcPr>
            <w:tcW w:w="125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outlineLvl w:val="9"/>
              <w:rPr>
                <w:rFonts w:hint="eastAsia" w:ascii="华文仿宋" w:hAnsi="华文仿宋" w:eastAsia="华文仿宋" w:cs="华文仿宋"/>
                <w:color w:val="000000" w:themeColor="text1"/>
                <w:kern w:val="2"/>
                <w:sz w:val="15"/>
                <w:szCs w:val="15"/>
                <w:shd w:val="clear" w:color="auto" w:fill="auto"/>
                <w:vertAlign w:val="baseline"/>
                <w:lang w:val="en-US" w:eastAsia="zh-CN" w:bidi="ar-SA"/>
                <w14:textFill>
                  <w14:solidFill>
                    <w14:schemeClr w14:val="tx1"/>
                  </w14:solidFill>
                </w14:textFill>
              </w:rPr>
            </w:pPr>
          </w:p>
        </w:tc>
      </w:tr>
    </w:tbl>
    <w:p>
      <w:pPr>
        <w:rPr>
          <w:rFonts w:hint="eastAsia" w:ascii="华文仿宋" w:hAnsi="华文仿宋" w:eastAsia="华文仿宋" w:cs="华文仿宋"/>
          <w:color w:val="auto"/>
          <w:sz w:val="15"/>
          <w:szCs w:val="15"/>
          <w:lang w:val="en-US" w:eastAsia="zh-CN"/>
        </w:rPr>
      </w:pPr>
    </w:p>
    <w:sectPr>
      <w:pgSz w:w="16838" w:h="11906" w:orient="landscape"/>
      <w:pgMar w:top="720" w:right="720" w:bottom="720" w:left="72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华文仿宋">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RmYjNkMjM2YjIwOTc2ZTFjYTU5NTJmOTc4NmJkNTQifQ=="/>
  </w:docVars>
  <w:rsids>
    <w:rsidRoot w:val="00172A27"/>
    <w:rsid w:val="05CB19E7"/>
    <w:rsid w:val="06C91DC3"/>
    <w:rsid w:val="0C8D3486"/>
    <w:rsid w:val="0F7F7AD4"/>
    <w:rsid w:val="108B0320"/>
    <w:rsid w:val="1A7543DC"/>
    <w:rsid w:val="1DFD8188"/>
    <w:rsid w:val="2B294240"/>
    <w:rsid w:val="30E473B3"/>
    <w:rsid w:val="34BB7F23"/>
    <w:rsid w:val="3675CA3E"/>
    <w:rsid w:val="3BDF2122"/>
    <w:rsid w:val="3DFF1EA5"/>
    <w:rsid w:val="3ED859C8"/>
    <w:rsid w:val="3F778787"/>
    <w:rsid w:val="3FD23754"/>
    <w:rsid w:val="455F38B6"/>
    <w:rsid w:val="48A643DF"/>
    <w:rsid w:val="50212C59"/>
    <w:rsid w:val="53A71499"/>
    <w:rsid w:val="5D1C63C0"/>
    <w:rsid w:val="5D350743"/>
    <w:rsid w:val="5D7EADBD"/>
    <w:rsid w:val="5EBEA3D4"/>
    <w:rsid w:val="5EFF7771"/>
    <w:rsid w:val="5F8FD89E"/>
    <w:rsid w:val="634560A0"/>
    <w:rsid w:val="6EBF960F"/>
    <w:rsid w:val="716F65C8"/>
    <w:rsid w:val="77FFA3BC"/>
    <w:rsid w:val="7AB9A3DA"/>
    <w:rsid w:val="7BEBD1B3"/>
    <w:rsid w:val="7CFF93E0"/>
    <w:rsid w:val="7D5C6C76"/>
    <w:rsid w:val="7EBD46F5"/>
    <w:rsid w:val="7FEEC45A"/>
    <w:rsid w:val="7FFD17C3"/>
    <w:rsid w:val="91FEEDCF"/>
    <w:rsid w:val="9BF66224"/>
    <w:rsid w:val="AA4B989F"/>
    <w:rsid w:val="BCEF7DE9"/>
    <w:rsid w:val="BF4F4224"/>
    <w:rsid w:val="BFD79020"/>
    <w:rsid w:val="BFEBA157"/>
    <w:rsid w:val="CFFAD053"/>
    <w:rsid w:val="DEDFC1C3"/>
    <w:rsid w:val="E3BD6DA2"/>
    <w:rsid w:val="E9CD8B13"/>
    <w:rsid w:val="ED3F7927"/>
    <w:rsid w:val="EE7FBAA8"/>
    <w:rsid w:val="EEEB98AB"/>
    <w:rsid w:val="EEFBA318"/>
    <w:rsid w:val="EFFDD8B1"/>
    <w:rsid w:val="F19FC674"/>
    <w:rsid w:val="F7DE2780"/>
    <w:rsid w:val="F7DFE32F"/>
    <w:rsid w:val="F7F6EAB0"/>
    <w:rsid w:val="F83DE2E6"/>
    <w:rsid w:val="FB0F58EB"/>
    <w:rsid w:val="FC2FD6FB"/>
    <w:rsid w:val="FCDF0D58"/>
    <w:rsid w:val="FE7E4748"/>
    <w:rsid w:val="FF6FB113"/>
    <w:rsid w:val="FF8D2CDC"/>
    <w:rsid w:val="FFFEB8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50</Pages>
  <Words>12998</Words>
  <Characters>13192</Characters>
  <Lines>0</Lines>
  <Paragraphs>0</Paragraphs>
  <TotalTime>1</TotalTime>
  <ScaleCrop>false</ScaleCrop>
  <LinksUpToDate>false</LinksUpToDate>
  <CharactersWithSpaces>13266</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2014-11-03T04:08:00Z</dcterms:created>
  <dc:creator>zhaoxinlei</dc:creator>
  <cp:lastModifiedBy>greatwall</cp:lastModifiedBy>
  <cp:lastPrinted>2025-12-08T00:31:00Z</cp:lastPrinted>
  <dcterms:modified xsi:type="dcterms:W3CDTF">2025-12-05T11:11:52Z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B16C39C15AFF4C38980825CE7849D474_12</vt:lpwstr>
  </property>
  <property fmtid="{D5CDD505-2E9C-101B-9397-08002B2CF9AE}" pid="4" name="KSOTemplateDocerSaveRecord">
    <vt:lpwstr>eyJoZGlkIjoiZjViMTFkZDE2ZDllMmY0ZGMzMDY1MDIwMzQyNGNmYzUiLCJ1c2VySWQiOiI4MzYwNTQwOTgifQ==</vt:lpwstr>
  </property>
</Properties>
</file>