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hint="eastAsia" w:ascii="方正小标宋简体" w:hAnsi="宋体" w:eastAsia="方正小标宋简体"/>
          <w:bCs/>
          <w:sz w:val="44"/>
          <w:szCs w:val="44"/>
          <w:lang w:val="en-US" w:eastAsia="zh-CN"/>
        </w:rPr>
      </w:pPr>
      <w:r>
        <w:rPr>
          <w:rFonts w:hint="eastAsia" w:ascii="方正小标宋简体" w:hAnsi="宋体" w:eastAsia="方正小标宋简体"/>
          <w:bCs/>
          <w:sz w:val="44"/>
          <w:szCs w:val="44"/>
          <w:lang w:val="en-US" w:eastAsia="zh-CN"/>
        </w:rPr>
        <w:t>困难老年人居家养老服务补贴</w:t>
      </w:r>
      <w:bookmarkStart w:id="13" w:name="_GoBack"/>
      <w:bookmarkEnd w:id="1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hint="eastAsia" w:ascii="方正小标宋简体" w:hAnsi="宋体" w:eastAsia="方正小标宋简体"/>
          <w:bCs/>
          <w:sz w:val="44"/>
          <w:szCs w:val="44"/>
          <w:highlight w:val="yellow"/>
        </w:rPr>
      </w:pPr>
      <w:r>
        <w:rPr>
          <w:rFonts w:hint="eastAsia" w:ascii="方正小标宋简体" w:hAnsi="宋体" w:eastAsia="方正小标宋简体"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1760" w:firstLineChars="550"/>
        <w:textAlignment w:val="auto"/>
        <w:rPr>
          <w:rFonts w:hint="eastAsia" w:ascii="仿宋" w:hAnsi="仿宋" w:eastAsia="仿宋"/>
          <w:sz w:val="32"/>
          <w:szCs w:val="32"/>
          <w:highlight w:val="yellow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中央、省、市全面实施预算绩效管理的要求及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石家庄市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桥西区财政局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《关于印</w:t>
      </w:r>
      <w:r>
        <w:rPr>
          <w:rFonts w:hint="eastAsia" w:ascii="仿宋_GB2312" w:hAnsi="仿宋_GB2312" w:eastAsia="仿宋_GB2312" w:cs="仿宋_GB2312"/>
          <w:sz w:val="32"/>
          <w:szCs w:val="32"/>
        </w:rPr>
        <w:t>发&lt;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石家庄市桥西区区级预算绩效重点评价管理办法</w:t>
      </w:r>
      <w:r>
        <w:rPr>
          <w:rFonts w:hint="eastAsia" w:ascii="仿宋_GB2312" w:hAnsi="仿宋_GB2312" w:eastAsia="仿宋_GB2312" w:cs="仿宋_GB2312"/>
          <w:sz w:val="32"/>
          <w:szCs w:val="32"/>
        </w:rPr>
        <w:t>&gt;的通知》（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财〔202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规定</w:t>
      </w:r>
      <w:r>
        <w:rPr>
          <w:rFonts w:hint="eastAsia" w:ascii="仿宋_GB2312" w:hAnsi="仿宋_GB2312" w:eastAsia="仿宋_GB2312" w:cs="仿宋_GB2312"/>
          <w:sz w:val="32"/>
          <w:szCs w:val="32"/>
        </w:rPr>
        <w:t>，对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桥西区民政局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2024年度困难老年人居家养老服务补贴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进行</w:t>
      </w:r>
      <w:r>
        <w:rPr>
          <w:rFonts w:hint="eastAsia" w:ascii="仿宋_GB2312" w:hAnsi="仿宋_GB2312" w:eastAsia="仿宋_GB2312" w:cs="仿宋_GB2312"/>
          <w:sz w:val="32"/>
          <w:szCs w:val="32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重点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绩效评价。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textAlignment w:val="auto"/>
        <w:outlineLvl w:val="0"/>
        <w:rPr>
          <w:rFonts w:hint="eastAsia" w:ascii="黑体" w:hAnsi="黑体" w:eastAsia="黑体"/>
          <w:sz w:val="32"/>
          <w:szCs w:val="32"/>
        </w:rPr>
      </w:pPr>
      <w:bookmarkStart w:id="0" w:name="_Toc151976231"/>
      <w:r>
        <w:rPr>
          <w:rFonts w:hint="eastAsia" w:ascii="黑体" w:hAnsi="黑体" w:eastAsia="黑体"/>
          <w:sz w:val="32"/>
          <w:szCs w:val="32"/>
        </w:rPr>
        <w:t>一、基本情况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Times New Roman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为</w:t>
      </w:r>
      <w:r>
        <w:rPr>
          <w:rFonts w:hint="eastAsia" w:ascii="仿宋_GB2312" w:hAnsi="仿宋" w:eastAsia="仿宋_GB2312" w:cs="Times New Roman"/>
          <w:sz w:val="32"/>
          <w:szCs w:val="32"/>
        </w:rPr>
        <w:t>进一步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做好困难老年人社区居家养老服务补贴工作</w:t>
      </w:r>
      <w:r>
        <w:rPr>
          <w:rFonts w:hint="eastAsia" w:ascii="仿宋_GB2312" w:hAnsi="仿宋" w:eastAsia="仿宋_GB2312" w:cs="Times New Roman"/>
          <w:sz w:val="32"/>
          <w:szCs w:val="32"/>
        </w:rPr>
        <w:t>，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有效提升社区居家养老服务规范、引导市场主体开展有序竞争，全面激发市场活力，深入推进实施社区和居家养老服务领域改革，市民政局、市财政局印发</w:t>
      </w:r>
      <w:r>
        <w:rPr>
          <w:rFonts w:hint="eastAsia" w:ascii="仿宋_GB2312" w:hAnsi="仿宋" w:eastAsia="仿宋_GB2312" w:cs="Times New Roman"/>
          <w:sz w:val="32"/>
          <w:szCs w:val="32"/>
          <w:lang w:eastAsia="zh-CN"/>
        </w:rPr>
        <w:t>《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石家庄市调整困难老年人社区居家养老服务补贴制度实施方案</w:t>
      </w:r>
      <w:r>
        <w:rPr>
          <w:rFonts w:hint="eastAsia" w:ascii="仿宋_GB2312" w:hAnsi="仿宋" w:eastAsia="仿宋_GB2312" w:cs="Times New Roman"/>
          <w:sz w:val="32"/>
          <w:szCs w:val="32"/>
          <w:lang w:eastAsia="zh-CN"/>
        </w:rPr>
        <w:t>》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（石民政函</w:t>
      </w:r>
      <w:r>
        <w:rPr>
          <w:rFonts w:hint="eastAsia" w:ascii="仿宋_GB2312" w:hAnsi="仿宋" w:eastAsia="仿宋_GB2312" w:cs="Times New Roman"/>
          <w:sz w:val="32"/>
          <w:szCs w:val="32"/>
        </w:rPr>
        <w:t>〔202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Times New Roman"/>
          <w:sz w:val="32"/>
          <w:szCs w:val="32"/>
        </w:rPr>
        <w:t>〕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34号），文件中明确了补贴范围、补贴对象、补贴标准、补贴方式、补贴资金申报条件、申领流程、服务流程、服务项目及服务要求、服务额度及资金管理、服务商备案管理机制、服务市场双退出机制、服务监管与监督机制等实施要求。</w:t>
      </w:r>
      <w:r>
        <w:rPr>
          <w:rFonts w:hint="eastAsia" w:ascii="仿宋_GB2312" w:hAnsi="仿宋" w:eastAsia="仿宋_GB2312"/>
          <w:sz w:val="32"/>
          <w:szCs w:val="32"/>
        </w:rPr>
        <w:t>所需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资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金由市、区两级财政按照1：1比例承担。2024年度补贴资金总计1134.54万元。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textAlignment w:val="auto"/>
        <w:outlineLvl w:val="0"/>
        <w:rPr>
          <w:rFonts w:hint="eastAsia" w:ascii="黑体" w:hAnsi="黑体" w:eastAsia="黑体"/>
          <w:sz w:val="32"/>
          <w:szCs w:val="32"/>
        </w:rPr>
      </w:pPr>
      <w:bookmarkStart w:id="1" w:name="_Toc151976234"/>
      <w:r>
        <w:rPr>
          <w:rFonts w:hint="eastAsia" w:ascii="黑体" w:hAnsi="黑体" w:eastAsia="黑体"/>
          <w:sz w:val="32"/>
          <w:szCs w:val="32"/>
        </w:rPr>
        <w:t>二、评价结论</w:t>
      </w:r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该项目的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实施，提升了困难老年人的生活便利性，保障了基本生活需求，提高了群众的获得感和幸福感，从而促进社会稳定和基本民生的保障。同时，巩固了家庭养老基础地位、促进养老服务消费提升、推动社区居家养老服务提质扩容，对构建社区居家养老服务体系建设发挥重要作用，对构建居家社区机构相协调、医养康养相结合的养老服务体系具有重要意义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综合评价等级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“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良好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”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</w:rPr>
        <w:t>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textAlignment w:val="auto"/>
        <w:outlineLvl w:val="0"/>
        <w:rPr>
          <w:rFonts w:ascii="黑体" w:hAnsi="黑体" w:eastAsia="黑体"/>
          <w:sz w:val="32"/>
          <w:szCs w:val="32"/>
        </w:rPr>
      </w:pPr>
      <w:bookmarkStart w:id="2" w:name="_Toc151976238"/>
      <w:r>
        <w:rPr>
          <w:rFonts w:hint="eastAsia" w:ascii="黑体" w:hAnsi="黑体" w:eastAsia="黑体"/>
          <w:sz w:val="32"/>
          <w:szCs w:val="32"/>
        </w:rPr>
        <w:t>三、</w:t>
      </w:r>
      <w:bookmarkEnd w:id="2"/>
      <w:bookmarkStart w:id="3" w:name="_Toc7923"/>
      <w:bookmarkStart w:id="4" w:name="_Toc79484431"/>
      <w:bookmarkStart w:id="5" w:name="_Toc27828"/>
      <w:bookmarkStart w:id="6" w:name="_Toc151976243"/>
      <w:bookmarkStart w:id="7" w:name="_Toc336506907"/>
      <w:bookmarkStart w:id="8" w:name="_Toc336506972"/>
      <w:bookmarkStart w:id="9" w:name="_Toc19918"/>
      <w:r>
        <w:rPr>
          <w:rFonts w:hint="eastAsia" w:ascii="黑体" w:hAnsi="黑体" w:eastAsia="黑体"/>
          <w:sz w:val="32"/>
          <w:szCs w:val="32"/>
        </w:rPr>
        <w:t>建议</w:t>
      </w:r>
      <w:bookmarkEnd w:id="3"/>
      <w:bookmarkEnd w:id="4"/>
      <w:bookmarkEnd w:id="5"/>
      <w:bookmarkEnd w:id="6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  <w:bookmarkStart w:id="10" w:name="_Toc31603"/>
      <w:bookmarkStart w:id="11" w:name="_Toc2317"/>
      <w:bookmarkStart w:id="12" w:name="_Toc151976245"/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建议</w:t>
      </w:r>
      <w:bookmarkEnd w:id="7"/>
      <w:bookmarkEnd w:id="8"/>
      <w:bookmarkEnd w:id="9"/>
      <w:bookmarkEnd w:id="10"/>
      <w:bookmarkEnd w:id="11"/>
      <w:bookmarkEnd w:id="12"/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强化项目管理机制，完善财务管理制度、项目管理办法、资金管理办法、监督管理办法等相关制度的建设，使项目实施有据可依，</w:t>
      </w:r>
      <w:r>
        <w:rPr>
          <w:rFonts w:hint="default" w:ascii="仿宋_GB2312" w:hAnsi="仿宋" w:eastAsia="仿宋_GB2312" w:cs="Times New Roman"/>
          <w:sz w:val="32"/>
          <w:szCs w:val="32"/>
          <w:lang w:val="en-US" w:eastAsia="zh-CN"/>
        </w:rPr>
        <w:t>落实项目组织领导责任和部门、人员责任分工，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确保项目实施程序的规范性及合理性。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加强对申请资料的审核工作，对申请资料的真实性、完整性和可靠性进行严格把关，确保申请材料的原始性和准确性。将申请材料审核工作纳入验收考核内容，发现问题及时督促整改。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</w:pPr>
    </w:p>
    <w:p/>
    <w:sectPr>
      <w:footerReference r:id="rId5" w:type="first"/>
      <w:footerReference r:id="rId3" w:type="default"/>
      <w:footerReference r:id="rId4" w:type="even"/>
      <w:pgSz w:w="11906" w:h="16838"/>
      <w:pgMar w:top="2098" w:right="1474" w:bottom="1984" w:left="1588" w:header="1417" w:footer="992" w:gutter="0"/>
      <w:pgNumType w:fmt="decimal" w:start="1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1" w:fontKey="{64D66412-67D4-40FD-94A6-31A4037F72E2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5448ECBE-BB55-43CC-9B65-E3E6141CDBEE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E9EC89AD-3561-4426-A628-4E69264A0AA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E4D8ACE5-22B4-404B-8BC7-A06DF60C2B1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02A11378-5CEA-4E71-B8D8-B4CE0348C95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ARqoqK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hzD29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13580F"/>
    <w:rsid w:val="0997148B"/>
    <w:rsid w:val="0EF414A0"/>
    <w:rsid w:val="13B7714A"/>
    <w:rsid w:val="15574B7A"/>
    <w:rsid w:val="17621497"/>
    <w:rsid w:val="20230F6D"/>
    <w:rsid w:val="376D4037"/>
    <w:rsid w:val="37F01EED"/>
    <w:rsid w:val="3C301A87"/>
    <w:rsid w:val="4C822D05"/>
    <w:rsid w:val="51FF1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List Paragraph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2025-12-26T09:25:00Z</dcterms:created>
  <dc:creator>Administrator</dc:creator>
  <cp:lastModifiedBy>admin</cp:lastModifiedBy>
  <dcterms:modified xsi:type="dcterms:W3CDTF">2025-12-29T03:51:51Z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KSOTemplateDocerSaveRecord">
    <vt:lpwstr>eyJoZGlkIjoiYjk4ZjIxMWI0NDhjZTRiNjJmYmQzODUwMTNjNzRiMGMifQ==</vt:lpwstr>
  </property>
  <property fmtid="{D5CDD505-2E9C-101B-9397-08002B2CF9AE}" pid="4" name="ICV">
    <vt:lpwstr>5DC17A9B108C49A88FC8426F25AF4B6D_12</vt:lpwstr>
  </property>
</Properties>
</file>