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u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u w:val="none"/>
          <w:lang w:eastAsia="zh-CN"/>
        </w:rPr>
        <w:t>石家庄市桥西区人力资源和社会保障局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u w:val="none"/>
          <w:lang w:val="en-US" w:eastAsia="zh-CN"/>
        </w:rPr>
        <w:t>2024年度政府信息公开工作年度报告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</w:rPr>
        <w:t>一、总体情况</w:t>
      </w:r>
    </w:p>
    <w:p>
      <w:pPr>
        <w:pStyle w:val="2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  <w:t>2024年，我局紧紧围绕区委、区政府决策部署，严格按照《中华人民共和国政府信息公开条例》相关规定，不断完善信息公开机制，拓展信息公开范围，深化信息公开内容，营造信息公开浓厚氛围，政府信息公开工作步入规范化、科学化、高效化轨道。现将我局2024年政府信息公开工作报告如下: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仿宋" w:hAnsi="仿宋" w:eastAsia="仿宋" w:cs="仿宋"/>
          <w:sz w:val="32"/>
          <w:szCs w:val="32"/>
          <w:highlight w:val="none"/>
        </w:rPr>
      </w:pPr>
      <w:r>
        <w:rPr>
          <w:rStyle w:val="6"/>
          <w:rFonts w:hint="eastAsia" w:ascii="楷体" w:hAnsi="楷体" w:eastAsia="楷体" w:cs="楷体"/>
          <w:b w:val="0"/>
          <w:color w:val="000000"/>
          <w:sz w:val="32"/>
          <w:szCs w:val="32"/>
          <w:highlight w:val="none"/>
          <w:lang w:eastAsia="zh-CN"/>
        </w:rPr>
        <w:t>加强</w:t>
      </w:r>
      <w:r>
        <w:rPr>
          <w:rStyle w:val="6"/>
          <w:rFonts w:hint="eastAsia" w:ascii="楷体" w:hAnsi="楷体" w:eastAsia="楷体" w:cs="楷体"/>
          <w:b w:val="0"/>
          <w:color w:val="000000"/>
          <w:sz w:val="32"/>
          <w:szCs w:val="32"/>
          <w:highlight w:val="none"/>
        </w:rPr>
        <w:t>平台建设，</w:t>
      </w:r>
      <w:r>
        <w:rPr>
          <w:rStyle w:val="6"/>
          <w:rFonts w:hint="eastAsia" w:ascii="楷体" w:hAnsi="楷体" w:eastAsia="楷体" w:cs="楷体"/>
          <w:b w:val="0"/>
          <w:color w:val="000000"/>
          <w:sz w:val="32"/>
          <w:szCs w:val="32"/>
          <w:highlight w:val="none"/>
          <w:lang w:eastAsia="zh-CN"/>
        </w:rPr>
        <w:t>提升服务水平。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一是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通过政府门户网站、微信公众号、单位政务公开栏及时对群众关注的民生领域政策信息进行公开，为广大人民群众查阅和获取信息提供便利，充分行使人民的监督权，舆论权。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二是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利用公告栏、公示栏等设施设备，将我局可公开的部门预算，部门决策等信息公示在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公示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栏中。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Style w:val="6"/>
          <w:rFonts w:hint="eastAsia" w:ascii="楷体" w:hAnsi="楷体" w:eastAsia="楷体" w:cs="楷体"/>
          <w:b w:val="0"/>
          <w:color w:val="000000"/>
          <w:sz w:val="32"/>
          <w:szCs w:val="32"/>
          <w:highlight w:val="none"/>
          <w:lang w:eastAsia="zh-CN"/>
        </w:rPr>
        <w:t>注重政策解读，广泛开展宣传。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一是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对印发的政策性文件，严格按照“谁起草、谁解读”的原则，做到政策性文件与解读方案、解读材料同步组织、同步审签、同步部署。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二是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采取公开宣传、政策问答、在线访谈等多种形式、多种渠道对政策进行解读，力求简明扼要，通俗易懂。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</w:rPr>
      </w:pPr>
      <w:r>
        <w:rPr>
          <w:rStyle w:val="6"/>
          <w:rFonts w:hint="eastAsia" w:ascii="楷体" w:hAnsi="楷体" w:eastAsia="楷体" w:cs="楷体"/>
          <w:b w:val="0"/>
          <w:color w:val="000000"/>
          <w:sz w:val="32"/>
          <w:szCs w:val="32"/>
          <w:highlight w:val="none"/>
          <w:lang w:val="en-US" w:eastAsia="zh-CN"/>
        </w:rPr>
        <w:t>（三）监督保障方面。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加强信息审核把关，按照“分工明确、权责清晰、多人复审、逐级把关”的信息发布机制，严把保密关、政策关、文字关、格式关、质量关。主动接受社会评议和公众监督，并将反馈意见作为改进工作的依据，确保信息公开工作有力有序推进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</w:rPr>
        <w:t>二、主动公开政府信息情况</w:t>
      </w:r>
    </w:p>
    <w:tbl>
      <w:tblPr>
        <w:tblStyle w:val="3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1271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本年制发件数</w:t>
            </w:r>
          </w:p>
        </w:tc>
        <w:tc>
          <w:tcPr>
            <w:tcW w:w="1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本年废止件数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行政许可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行政事业性收费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5027" w:type="dxa"/>
            <w:gridSpan w:val="3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both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both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</w:tbl>
    <w:tbl>
      <w:tblPr>
        <w:tblStyle w:val="3"/>
        <w:tblpPr w:leftFromText="180" w:rightFromText="180" w:vertAnchor="text" w:horzAnchor="page" w:tblpX="2014" w:tblpY="930"/>
        <w:tblOverlap w:val="never"/>
        <w:tblW w:w="834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5"/>
        <w:gridCol w:w="1174"/>
        <w:gridCol w:w="20"/>
        <w:gridCol w:w="1451"/>
        <w:gridCol w:w="796"/>
        <w:gridCol w:w="753"/>
        <w:gridCol w:w="829"/>
        <w:gridCol w:w="949"/>
        <w:gridCol w:w="984"/>
        <w:gridCol w:w="423"/>
        <w:gridCol w:w="5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10" w:type="dxa"/>
            <w:gridSpan w:val="4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sz w:val="24"/>
              </w:rPr>
              <w:pict>
                <v:shape id="_x0000_s1027" o:spid="_x0000_s1027" o:spt="202" type="#_x0000_t202" style="position:absolute;left:0pt;margin-left:17.05pt;margin-top:-47.15pt;height:24.55pt;width:318.5pt;z-index:251659264;mso-width-relative:page;mso-height-relative:page;" fillcolor="#FFFFFF" filled="t" stroked="f" coordsize="21600,21600">
                  <v:path/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 w:ascii="黑体" w:hAnsi="黑体" w:eastAsia="黑体" w:cs="黑体"/>
                            <w:sz w:val="32"/>
                            <w:szCs w:val="32"/>
                            <w:lang w:eastAsia="zh-CN"/>
                          </w:rPr>
                          <w:t>三</w:t>
                        </w:r>
                        <w:r>
                          <w:rPr>
                            <w:rFonts w:hint="eastAsia" w:ascii="黑体" w:hAnsi="黑体" w:eastAsia="黑体" w:cs="黑体"/>
                            <w:sz w:val="32"/>
                            <w:szCs w:val="32"/>
                          </w:rPr>
                          <w:t>、</w:t>
                        </w:r>
                        <w:r>
                          <w:rPr>
                            <w:rFonts w:hint="eastAsia" w:ascii="黑体" w:hAnsi="黑体" w:eastAsia="黑体" w:cs="黑体"/>
                            <w:sz w:val="32"/>
                            <w:szCs w:val="32"/>
                            <w:lang w:eastAsia="zh-CN"/>
                          </w:rPr>
                          <w:t>收到和处理政府信息公开申请的信息</w:t>
                        </w:r>
                      </w:p>
                    </w:txbxContent>
                  </v:textbox>
                </v:shape>
              </w:pict>
            </w: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236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10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79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自然人</w:t>
            </w:r>
          </w:p>
        </w:tc>
        <w:tc>
          <w:tcPr>
            <w:tcW w:w="393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法人或其他组织</w:t>
            </w:r>
          </w:p>
        </w:tc>
        <w:tc>
          <w:tcPr>
            <w:tcW w:w="50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10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79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商业企业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科研机构</w:t>
            </w:r>
          </w:p>
        </w:tc>
        <w:tc>
          <w:tcPr>
            <w:tcW w:w="9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社会公益组织</w:t>
            </w:r>
          </w:p>
        </w:tc>
        <w:tc>
          <w:tcPr>
            <w:tcW w:w="98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法律服务机构</w:t>
            </w:r>
          </w:p>
        </w:tc>
        <w:tc>
          <w:tcPr>
            <w:tcW w:w="42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50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三、本年度办理结果</w:t>
            </w: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（一）予以公开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（三）不予公开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1.属于国家秘密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2.其他法律行政法规禁止公开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3.危及“三安全一稳定”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4.保护第三方合法权益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5.属于三类内部事务信息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6.属于四类过程性信息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7.属于行政执法案卷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8.属于行政查询事项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（四）无法提供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1.本机关不掌握相关政府信息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2.没有现成信息需要另行制作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3.补正后申请内容仍不明确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（五）不予处理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1.信访举报投诉类申请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2.重复申请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3.要求提供公开出版物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4.无正当理由大量反复申请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59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94" w:type="dxa"/>
            <w:gridSpan w:val="2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（六）其他处理</w:t>
            </w:r>
          </w:p>
        </w:tc>
        <w:tc>
          <w:tcPr>
            <w:tcW w:w="14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285"/>
              </w:tabs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03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94" w:type="dxa"/>
            <w:gridSpan w:val="2"/>
            <w:vMerge w:val="continue"/>
            <w:tcBorders>
              <w:left w:val="nil"/>
              <w:bottom w:val="single" w:color="auto" w:sz="8" w:space="0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4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78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94" w:type="dxa"/>
            <w:gridSpan w:val="2"/>
            <w:vMerge w:val="continue"/>
            <w:tcBorders>
              <w:left w:val="nil"/>
              <w:bottom w:val="single" w:color="auto" w:sz="8" w:space="0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451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3.其他</w:t>
            </w:r>
          </w:p>
        </w:tc>
        <w:tc>
          <w:tcPr>
            <w:tcW w:w="79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（七）总计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四、结转下年度继续办理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</w:tbl>
    <w:tbl>
      <w:tblPr>
        <w:tblStyle w:val="4"/>
        <w:tblpPr w:leftFromText="180" w:rightFromText="180" w:vertAnchor="text" w:tblpX="10214" w:tblpY="-334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507" w:type="dxa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both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</w:p>
        </w:tc>
      </w:tr>
    </w:tbl>
    <w:tbl>
      <w:tblPr>
        <w:tblStyle w:val="4"/>
        <w:tblpPr w:leftFromText="180" w:rightFromText="180" w:vertAnchor="text" w:tblpX="10214" w:tblpY="-335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507" w:type="dxa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both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80" w:firstLineChars="200"/>
        <w:jc w:val="both"/>
        <w:textAlignment w:val="top"/>
        <w:rPr>
          <w:sz w:val="24"/>
        </w:rPr>
      </w:pPr>
      <w:r>
        <w:rPr>
          <w:sz w:val="24"/>
        </w:rPr>
        <w:pict>
          <v:shape id="_x0000_s1028" o:spid="_x0000_s1028" o:spt="202" type="#_x0000_t202" style="position:absolute;left:0pt;margin-left:30.05pt;margin-top:351.15pt;height:38.5pt;width:341.85pt;z-index:251660288;mso-width-relative:page;mso-height-relative:page;" fillcolor="#FFFFFF" filled="t" stroked="f" coordsize="21600,21600">
            <v:path/>
            <v:fill on="t" color2="#FFFFFF" focussize="0,0"/>
            <v:stroke on="f"/>
            <v:imagedata o:title=""/>
            <o:lock v:ext="edit" aspectratio="f"/>
            <v:textbox>
              <w:txbxContent>
                <w:p>
                  <w:pPr>
                    <w:keepNext w:val="0"/>
                    <w:keepLines w:val="0"/>
                    <w:pageBreakBefore w:val="0"/>
                    <w:widowControl/>
                    <w:suppressLineNumbers w:val="0"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</w:pBdr>
                    <w:kinsoku/>
                    <w:wordWrap w:val="0"/>
                    <w:overflowPunct/>
                    <w:topLinePunct/>
                    <w:autoSpaceDE/>
                    <w:autoSpaceDN/>
                    <w:bidi w:val="0"/>
                    <w:adjustRightInd/>
                    <w:snapToGrid/>
                    <w:spacing w:before="0" w:beforeAutospacing="0" w:after="0" w:afterAutospacing="0" w:line="600" w:lineRule="exact"/>
                    <w:ind w:right="0" w:firstLine="960" w:firstLineChars="300"/>
                    <w:jc w:val="both"/>
                    <w:textAlignment w:val="top"/>
                    <w:rPr>
                      <w:rFonts w:hint="eastAsia" w:ascii="黑体" w:hAnsi="黑体" w:eastAsia="黑体" w:cs="黑体"/>
                      <w:color w:val="000000" w:themeColor="text1"/>
                      <w:kern w:val="0"/>
                      <w:sz w:val="32"/>
                      <w:szCs w:val="3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黑体" w:hAnsi="黑体" w:eastAsia="黑体" w:cs="黑体"/>
                      <w:color w:val="000000" w:themeColor="text1"/>
                      <w:kern w:val="0"/>
                      <w:sz w:val="32"/>
                      <w:szCs w:val="32"/>
                      <w:u w:val="none"/>
                      <w:lang w:val="en-US" w:eastAsia="zh-CN" w:bidi="ar"/>
                    </w:rPr>
                    <w:t>四、政府信息公开行政复议、行政诉讼情况</w:t>
                  </w:r>
                </w:p>
                <w:p/>
              </w:txbxContent>
            </v:textbox>
          </v:shape>
        </w:pic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80" w:firstLineChars="200"/>
        <w:jc w:val="both"/>
        <w:textAlignment w:val="top"/>
        <w:rPr>
          <w:rFonts w:hint="eastAsia"/>
          <w:sz w:val="24"/>
          <w:lang w:val="en-US" w:eastAsia="zh-CN"/>
        </w:rPr>
      </w:pPr>
    </w:p>
    <w:tbl>
      <w:tblPr>
        <w:tblStyle w:val="3"/>
        <w:tblpPr w:leftFromText="180" w:rightFromText="180" w:vertAnchor="text" w:horzAnchor="page" w:tblpX="2004" w:tblpY="181"/>
        <w:tblOverlap w:val="never"/>
        <w:tblW w:w="836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6"/>
        <w:gridCol w:w="404"/>
        <w:gridCol w:w="604"/>
        <w:gridCol w:w="604"/>
        <w:gridCol w:w="542"/>
        <w:gridCol w:w="666"/>
        <w:gridCol w:w="605"/>
        <w:gridCol w:w="605"/>
        <w:gridCol w:w="605"/>
        <w:gridCol w:w="605"/>
        <w:gridCol w:w="605"/>
        <w:gridCol w:w="605"/>
        <w:gridCol w:w="605"/>
        <w:gridCol w:w="516"/>
        <w:gridCol w:w="3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c>
          <w:tcPr>
            <w:tcW w:w="259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c>
          <w:tcPr>
            <w:tcW w:w="43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结果维持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尚未审结</w:t>
            </w:r>
          </w:p>
        </w:tc>
        <w:tc>
          <w:tcPr>
            <w:tcW w:w="54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总计</w:t>
            </w:r>
          </w:p>
        </w:tc>
        <w:tc>
          <w:tcPr>
            <w:tcW w:w="308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未经复议直接起诉</w:t>
            </w:r>
          </w:p>
        </w:tc>
        <w:tc>
          <w:tcPr>
            <w:tcW w:w="269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4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54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其他结果</w:t>
            </w:r>
          </w:p>
        </w:tc>
        <w:tc>
          <w:tcPr>
            <w:tcW w:w="51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尚未审结</w:t>
            </w:r>
          </w:p>
        </w:tc>
        <w:tc>
          <w:tcPr>
            <w:tcW w:w="3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</w:rPr>
        <w:t>五、存在的主要问题及改进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我局政务公开工作虽有显著进展，但仍存问题。一是政务公开力度不足，部分关键信息未及时全面公开，导致公众了解不深；二是公开形式单一，主要依赖政府网站，难满足公众多元需求。下一步，我们将强化思想认识，组织培训提升全员对政务公开重视程度；围绕工作核心与公众热点做好经济宣传和政策解读，提升公开力度。同时，积极向先进部门取经，拓宽至新媒体平台、线下宣传册等多元公开渠道，运用文、视频、数据可视化等丰富形式，全方位改进公开形式，推动政务公开工作更好服务人民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eastAsia="zh-CN"/>
        </w:rPr>
        <w:t>无。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afterLines="100" w:line="600" w:lineRule="exact"/>
        <w:ind w:firstLine="4800" w:firstLineChars="150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color w:val="000000" w:themeColor="text1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afterLines="100" w:line="600" w:lineRule="exact"/>
        <w:ind w:firstLine="4800" w:firstLineChars="150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color w:val="000000" w:themeColor="text1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afterLines="100" w:line="560" w:lineRule="exact"/>
        <w:ind w:firstLine="4800" w:firstLineChars="1500"/>
        <w:jc w:val="right"/>
        <w:textAlignment w:val="auto"/>
        <w:rPr>
          <w:rFonts w:hint="default" w:ascii="仿宋_GB2312" w:hAnsi="仿宋_GB2312" w:eastAsia="仿宋_GB2312" w:cs="仿宋_GB2312"/>
          <w:b w:val="0"/>
          <w:bCs/>
          <w:color w:val="000000" w:themeColor="text1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afterLines="100" w:line="560" w:lineRule="exact"/>
        <w:jc w:val="right"/>
        <w:textAlignment w:val="auto"/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u w:val="none"/>
          <w:lang w:val="en-US" w:eastAsia="zh-CN"/>
        </w:rPr>
        <w:t>石家庄市桥西区人力资源和社会保障局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afterLines="100" w:line="560" w:lineRule="exact"/>
        <w:jc w:val="right"/>
        <w:textAlignment w:val="auto"/>
        <w:rPr>
          <w:rFonts w:hint="default" w:ascii="仿宋_GB2312" w:hAnsi="仿宋_GB2312" w:eastAsia="仿宋_GB2312" w:cs="仿宋_GB2312"/>
          <w:b w:val="0"/>
          <w:bCs/>
          <w:color w:val="000000" w:themeColor="text1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u w:val="none"/>
          <w:lang w:val="en-US" w:eastAsia="zh-CN"/>
        </w:rPr>
        <w:t xml:space="preserve">2025年1月17日      </w:t>
      </w:r>
    </w:p>
    <w:sectPr>
      <w:pgSz w:w="11906" w:h="16838"/>
      <w:pgMar w:top="1440" w:right="1800" w:bottom="1440" w:left="1800" w:header="851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928B40"/>
    <w:multiLevelType w:val="singleLevel"/>
    <w:tmpl w:val="9B928B4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doNotUseIndentAsNumberingTabStop/>
    <w:splitPgBreakAndParaMark/>
    <w:compatSetting w:name="compatibilityMode" w:uri="http://schemas.microsoft.com/office/word" w:val="12"/>
  </w:compat>
  <w:docVars>
    <w:docVar w:name="commondata" w:val="eyJoZGlkIjoiMTQyNDhlODA3YmFjMWE0NmVlY2RmODdiOTU2N2QxNzMifQ=="/>
    <w:docVar w:name="KSO_WPS_MARK_KEY" w:val="852a845a-5ec6-4446-b0a9-c12e2481b5e3"/>
  </w:docVars>
  <w:rsids>
    <w:rsidRoot w:val="00000000"/>
    <w:rsid w:val="039D7B38"/>
    <w:rsid w:val="0D8A4A23"/>
    <w:rsid w:val="10190546"/>
    <w:rsid w:val="107B4EF2"/>
    <w:rsid w:val="1394666C"/>
    <w:rsid w:val="1DBB5310"/>
    <w:rsid w:val="1FC24C99"/>
    <w:rsid w:val="232748D0"/>
    <w:rsid w:val="23A87A9C"/>
    <w:rsid w:val="276706EE"/>
    <w:rsid w:val="2DA37249"/>
    <w:rsid w:val="315F16D9"/>
    <w:rsid w:val="364D3DA5"/>
    <w:rsid w:val="379B19CA"/>
    <w:rsid w:val="39A14F85"/>
    <w:rsid w:val="3EFF6BEB"/>
    <w:rsid w:val="3F95733A"/>
    <w:rsid w:val="4FCC3F86"/>
    <w:rsid w:val="52106067"/>
    <w:rsid w:val="57FE479E"/>
    <w:rsid w:val="5F956DB1"/>
    <w:rsid w:val="60A352DB"/>
    <w:rsid w:val="67E91721"/>
    <w:rsid w:val="68142C42"/>
    <w:rsid w:val="6BC01A76"/>
    <w:rsid w:val="739B707D"/>
    <w:rsid w:val="73DB0AB8"/>
    <w:rsid w:val="79EC0989"/>
    <w:rsid w:val="7C6F9252"/>
    <w:rsid w:val="7D75119E"/>
    <w:rsid w:val="7DB907DB"/>
    <w:rsid w:val="7FCFDF6E"/>
    <w:rsid w:val="9F7C8CDD"/>
    <w:rsid w:val="BDCE409E"/>
    <w:rsid w:val="BFDDE0FD"/>
    <w:rsid w:val="F56E1613"/>
    <w:rsid w:val="F7FBAB2E"/>
    <w:rsid w:val="F8DCE3C9"/>
    <w:rsid w:val="FECCC453"/>
    <w:rsid w:val="FFFF6D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22"/>
    <w:rPr>
      <w:b/>
      <w:bCs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7"/>
    <customShpInfo spid="_x0000_s102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1504</Words>
  <Characters>1539</Characters>
  <TotalTime>8</TotalTime>
  <ScaleCrop>false</ScaleCrop>
  <LinksUpToDate>false</LinksUpToDate>
  <CharactersWithSpaces>1551</CharactersWithSpaces>
  <Application>WPS Office_11.1.0.14309_F1E327BC-269C-435d-A152-05C5408002CA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2024-01-30T06:16:00Z</dcterms:created>
  <dc:creator>uos</dc:creator>
  <cp:lastModifiedBy>刘66</cp:lastModifiedBy>
  <cp:lastPrinted>2025-01-08T19:39:00Z</cp:lastPrinted>
  <dcterms:modified xsi:type="dcterms:W3CDTF">2026-01-22T05:53:59Z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423BD74C9911127DE9ADB06583C4FAB5</vt:lpwstr>
  </property>
</Properties>
</file>