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DD70CD">
      <w:pPr>
        <w:pStyle w:val="2"/>
        <w:keepNext w:val="0"/>
        <w:keepLines w:val="0"/>
        <w:pageBreakBefore w:val="0"/>
        <w:widowControl/>
        <w:kinsoku/>
        <w:overflowPunct/>
        <w:autoSpaceDE/>
        <w:autoSpaceDN/>
        <w:bidi w:val="0"/>
        <w:adjustRightInd/>
        <w:snapToGrid/>
        <w:spacing w:before="0" w:beforeAutospacing="0" w:after="0" w:afterAutospacing="0" w:line="579" w:lineRule="exact"/>
        <w:jc w:val="center"/>
        <w:textAlignment w:val="auto"/>
        <w:rPr>
          <w:rFonts w:hint="eastAsia" w:ascii="方正小标宋简体" w:hAnsi="方正小标宋简体" w:eastAsia="方正小标宋简体" w:cs="方正小标宋简体"/>
          <w:b/>
          <w:color w:val="000000" w:themeColor="text1"/>
          <w:sz w:val="44"/>
          <w:szCs w:val="44"/>
          <w:u w:val="none"/>
        </w:rPr>
      </w:pPr>
      <w:r>
        <w:rPr>
          <w:rFonts w:hint="eastAsia" w:ascii="方正小标宋简体" w:hAnsi="方正小标宋简体" w:eastAsia="方正小标宋简体" w:cs="方正小标宋简体"/>
          <w:b w:val="0"/>
          <w:bCs/>
          <w:color w:val="000000" w:themeColor="text1"/>
          <w:kern w:val="0"/>
          <w:sz w:val="44"/>
          <w:szCs w:val="44"/>
          <w:u w:val="none"/>
        </w:rPr>
        <w:t>石家庄市桥西区卫生健康局</w:t>
      </w:r>
    </w:p>
    <w:p w14:paraId="5554FB78">
      <w:pPr>
        <w:keepNext w:val="0"/>
        <w:keepLines w:val="0"/>
        <w:pageBreakBefore w:val="0"/>
        <w:widowControl w:val="0"/>
        <w:kinsoku/>
        <w:wordWrap w:val="0"/>
        <w:overflowPunct/>
        <w:topLinePunct/>
        <w:autoSpaceDE/>
        <w:autoSpaceDN/>
        <w:bidi w:val="0"/>
        <w:adjustRightInd/>
        <w:snapToGrid/>
        <w:spacing w:afterLines="100" w:line="579" w:lineRule="exact"/>
        <w:jc w:val="center"/>
        <w:textAlignment w:val="auto"/>
        <w:rPr>
          <w:rFonts w:hint="eastAsia" w:ascii="方正小标宋简体" w:hAnsi="方正小标宋简体" w:eastAsia="方正小标宋简体" w:cs="方正小标宋简体"/>
          <w:b w:val="0"/>
          <w:bCs/>
          <w:color w:val="000000" w:themeColor="text1"/>
          <w:sz w:val="44"/>
          <w:szCs w:val="44"/>
          <w:u w:val="none"/>
          <w:lang w:eastAsia="zh-CN"/>
        </w:rPr>
      </w:pPr>
      <w:r>
        <w:rPr>
          <w:rFonts w:hint="eastAsia" w:ascii="方正小标宋简体" w:hAnsi="方正小标宋简体" w:eastAsia="方正小标宋简体" w:cs="方正小标宋简体"/>
          <w:b w:val="0"/>
          <w:bCs/>
          <w:color w:val="000000" w:themeColor="text1"/>
          <w:sz w:val="44"/>
          <w:szCs w:val="44"/>
          <w:u w:val="none"/>
        </w:rPr>
        <w:t>政府信息公开工作年度报告</w:t>
      </w:r>
    </w:p>
    <w:p w14:paraId="1ABB84F3">
      <w:pPr>
        <w:keepNext w:val="0"/>
        <w:keepLines w:val="0"/>
        <w:pageBreakBefore w:val="0"/>
        <w:widowControl w:val="0"/>
        <w:kinsoku/>
        <w:wordWrap w:val="0"/>
        <w:overflowPunct/>
        <w:topLinePunct/>
        <w:autoSpaceDE/>
        <w:autoSpaceDN/>
        <w:bidi w:val="0"/>
        <w:adjustRightInd/>
        <w:snapToGrid/>
        <w:spacing w:line="579" w:lineRule="exact"/>
        <w:ind w:firstLine="640" w:firstLineChars="200"/>
        <w:jc w:val="both"/>
        <w:textAlignment w:val="auto"/>
        <w:rPr>
          <w:rFonts w:hint="eastAsia" w:ascii="黑体" w:hAnsi="黑体" w:eastAsia="黑体" w:cs="黑体"/>
          <w:color w:val="000000" w:themeColor="text1"/>
          <w:sz w:val="32"/>
          <w:szCs w:val="32"/>
          <w:u w:val="none"/>
        </w:rPr>
      </w:pPr>
      <w:r>
        <w:rPr>
          <w:rFonts w:hint="eastAsia" w:ascii="黑体" w:hAnsi="黑体" w:eastAsia="黑体" w:cs="黑体"/>
          <w:color w:val="000000" w:themeColor="text1"/>
          <w:sz w:val="32"/>
          <w:szCs w:val="32"/>
          <w:u w:val="none"/>
        </w:rPr>
        <w:t>一、总体情况</w:t>
      </w:r>
    </w:p>
    <w:p w14:paraId="4219A35C">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rPr>
      </w:pPr>
      <w:r>
        <w:rPr>
          <w:rFonts w:hint="eastAsia" w:ascii="仿宋_GB2312" w:hAnsi="仿宋_GB2312" w:eastAsia="仿宋_GB2312" w:cs="仿宋_GB2312"/>
          <w:color w:val="2B2B2B"/>
          <w:sz w:val="32"/>
          <w:szCs w:val="32"/>
          <w:shd w:val="clear" w:color="auto" w:fill="FFFFFF"/>
        </w:rPr>
        <w:t>2025年，在区委区政府的正确领导和市卫健委的有力指导下，石家庄市桥西区卫生健康局严格遵循《中华人民共和国政府信息公开条例》，坚持以习近平新时代中国特色社会主义思想为指导，紧密围绕卫生健康工作实际，着力完善公开机制、规范工作流程，持续推动政府信息公开工作有序开展。现将有关情况汇报如下：</w:t>
      </w:r>
    </w:p>
    <w:p w14:paraId="2BD25999">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shd w:val="clear" w:color="auto" w:fill="FFFFFF"/>
        </w:rPr>
      </w:pPr>
      <w:r>
        <w:rPr>
          <w:rFonts w:hint="eastAsia" w:ascii="楷体_GB2312" w:hAnsi="楷体_GB2312" w:eastAsia="楷体_GB2312" w:cs="楷体_GB2312"/>
          <w:sz w:val="32"/>
          <w:szCs w:val="32"/>
          <w:shd w:val="clear" w:color="auto" w:fill="FFFFFF"/>
        </w:rPr>
        <w:t>(一)主动公开情况。</w:t>
      </w:r>
      <w:r>
        <w:rPr>
          <w:rFonts w:hint="eastAsia" w:ascii="仿宋_GB2312" w:hAnsi="仿宋_GB2312" w:eastAsia="仿宋_GB2312" w:cs="仿宋_GB2312"/>
          <w:color w:val="2B2B2B"/>
          <w:sz w:val="32"/>
          <w:szCs w:val="32"/>
          <w:shd w:val="clear" w:color="auto" w:fill="FFFFFF"/>
        </w:rPr>
        <w:t>202</w:t>
      </w:r>
      <w:r>
        <w:rPr>
          <w:rFonts w:hint="eastAsia" w:ascii="仿宋_GB2312" w:hAnsi="仿宋_GB2312" w:eastAsia="仿宋_GB2312" w:cs="仿宋_GB2312"/>
          <w:color w:val="2B2B2B"/>
          <w:sz w:val="32"/>
          <w:szCs w:val="32"/>
          <w:shd w:val="clear" w:color="auto" w:fill="FFFFFF"/>
          <w:lang w:val="en-US" w:eastAsia="zh-CN"/>
        </w:rPr>
        <w:t>5</w:t>
      </w:r>
      <w:r>
        <w:rPr>
          <w:rFonts w:hint="eastAsia" w:ascii="仿宋_GB2312" w:hAnsi="仿宋_GB2312" w:eastAsia="仿宋_GB2312" w:cs="仿宋_GB2312"/>
          <w:color w:val="2B2B2B"/>
          <w:sz w:val="32"/>
          <w:szCs w:val="32"/>
          <w:shd w:val="clear" w:color="auto" w:fill="FFFFFF"/>
        </w:rPr>
        <w:t>年,我局通过桥西区人民政府门户网站和石家庄市桥西区卫生健康局微信公众号等平台主动公开信息</w:t>
      </w:r>
      <w:r>
        <w:rPr>
          <w:rFonts w:hint="eastAsia" w:ascii="仿宋_GB2312" w:hAnsi="仿宋_GB2312" w:eastAsia="仿宋_GB2312" w:cs="仿宋_GB2312"/>
          <w:color w:val="2B2B2B"/>
          <w:sz w:val="32"/>
          <w:szCs w:val="32"/>
          <w:shd w:val="clear" w:color="auto" w:fill="FFFFFF"/>
          <w:lang w:val="en-US" w:eastAsia="zh-CN"/>
        </w:rPr>
        <w:t>406</w:t>
      </w:r>
      <w:r>
        <w:rPr>
          <w:rFonts w:hint="eastAsia" w:ascii="仿宋_GB2312" w:hAnsi="仿宋_GB2312" w:eastAsia="仿宋_GB2312" w:cs="仿宋_GB2312"/>
          <w:color w:val="2B2B2B"/>
          <w:sz w:val="32"/>
          <w:szCs w:val="32"/>
          <w:shd w:val="clear" w:color="auto" w:fill="FFFFFF"/>
        </w:rPr>
        <w:t>条。其中：区人民政府门户网站公示公告</w:t>
      </w:r>
      <w:r>
        <w:rPr>
          <w:rFonts w:hint="eastAsia" w:ascii="仿宋_GB2312" w:hAnsi="仿宋_GB2312" w:eastAsia="仿宋_GB2312" w:cs="仿宋_GB2312"/>
          <w:color w:val="2B2B2B"/>
          <w:sz w:val="32"/>
          <w:szCs w:val="32"/>
          <w:shd w:val="clear" w:color="auto" w:fill="FFFFFF"/>
          <w:lang w:val="en-US" w:eastAsia="zh-CN"/>
        </w:rPr>
        <w:t>11</w:t>
      </w:r>
      <w:r>
        <w:rPr>
          <w:rFonts w:hint="eastAsia" w:ascii="仿宋_GB2312" w:hAnsi="仿宋_GB2312" w:eastAsia="仿宋_GB2312" w:cs="仿宋_GB2312"/>
          <w:color w:val="2B2B2B"/>
          <w:sz w:val="32"/>
          <w:szCs w:val="32"/>
          <w:shd w:val="clear" w:color="auto" w:fill="FFFFFF"/>
        </w:rPr>
        <w:t>条、法定主动公开</w:t>
      </w:r>
      <w:r>
        <w:rPr>
          <w:rFonts w:hint="eastAsia" w:ascii="仿宋_GB2312" w:hAnsi="仿宋_GB2312" w:eastAsia="仿宋_GB2312" w:cs="仿宋_GB2312"/>
          <w:color w:val="2B2B2B"/>
          <w:sz w:val="32"/>
          <w:szCs w:val="32"/>
          <w:shd w:val="clear" w:color="auto" w:fill="FFFFFF"/>
          <w:lang w:val="en-US" w:eastAsia="zh-CN"/>
        </w:rPr>
        <w:t>126</w:t>
      </w:r>
      <w:r>
        <w:rPr>
          <w:rFonts w:hint="eastAsia" w:ascii="仿宋_GB2312" w:hAnsi="仿宋_GB2312" w:eastAsia="仿宋_GB2312" w:cs="仿宋_GB2312"/>
          <w:color w:val="2B2B2B"/>
          <w:sz w:val="32"/>
          <w:szCs w:val="32"/>
          <w:shd w:val="clear" w:color="auto" w:fill="FFFFFF"/>
        </w:rPr>
        <w:t>条、行政执法</w:t>
      </w:r>
      <w:r>
        <w:rPr>
          <w:rFonts w:hint="eastAsia" w:ascii="仿宋_GB2312" w:hAnsi="仿宋_GB2312" w:eastAsia="仿宋_GB2312" w:cs="仿宋_GB2312"/>
          <w:color w:val="2B2B2B"/>
          <w:sz w:val="32"/>
          <w:szCs w:val="32"/>
          <w:shd w:val="clear" w:color="auto" w:fill="FFFFFF"/>
          <w:lang w:val="en-US" w:eastAsia="zh-CN"/>
        </w:rPr>
        <w:t>69</w:t>
      </w:r>
      <w:r>
        <w:rPr>
          <w:rFonts w:hint="eastAsia" w:ascii="仿宋_GB2312" w:hAnsi="仿宋_GB2312" w:eastAsia="仿宋_GB2312" w:cs="仿宋_GB2312"/>
          <w:color w:val="2B2B2B"/>
          <w:sz w:val="32"/>
          <w:szCs w:val="32"/>
          <w:shd w:val="clear" w:color="auto" w:fill="FFFFFF"/>
        </w:rPr>
        <w:t>条、财政预决算信息</w:t>
      </w:r>
      <w:r>
        <w:rPr>
          <w:rFonts w:hint="eastAsia" w:ascii="仿宋_GB2312" w:hAnsi="仿宋_GB2312" w:eastAsia="仿宋_GB2312" w:cs="仿宋_GB2312"/>
          <w:color w:val="2B2B2B"/>
          <w:sz w:val="32"/>
          <w:szCs w:val="32"/>
          <w:shd w:val="clear" w:color="auto" w:fill="FFFFFF"/>
          <w:lang w:val="en-US" w:eastAsia="zh-CN"/>
        </w:rPr>
        <w:t>5</w:t>
      </w:r>
      <w:r>
        <w:rPr>
          <w:rFonts w:hint="eastAsia" w:ascii="仿宋_GB2312" w:hAnsi="仿宋_GB2312" w:eastAsia="仿宋_GB2312" w:cs="仿宋_GB2312"/>
          <w:color w:val="2B2B2B"/>
          <w:sz w:val="32"/>
          <w:szCs w:val="32"/>
          <w:shd w:val="clear" w:color="auto" w:fill="FFFFFF"/>
        </w:rPr>
        <w:t>条</w:t>
      </w:r>
      <w:r>
        <w:rPr>
          <w:rFonts w:hint="eastAsia" w:ascii="仿宋_GB2312" w:hAnsi="仿宋_GB2312" w:eastAsia="仿宋_GB2312" w:cs="仿宋_GB2312"/>
          <w:color w:val="2B2B2B"/>
          <w:sz w:val="32"/>
          <w:szCs w:val="32"/>
          <w:shd w:val="clear" w:color="auto" w:fill="FFFFFF"/>
          <w:lang w:eastAsia="zh-CN"/>
        </w:rPr>
        <w:t>、</w:t>
      </w:r>
      <w:r>
        <w:rPr>
          <w:rFonts w:hint="eastAsia" w:ascii="仿宋_GB2312" w:hAnsi="仿宋_GB2312" w:eastAsia="仿宋_GB2312" w:cs="仿宋_GB2312"/>
          <w:color w:val="2B2B2B"/>
          <w:sz w:val="32"/>
          <w:szCs w:val="32"/>
          <w:shd w:val="clear" w:color="auto" w:fill="FFFFFF"/>
          <w:lang w:val="en-US" w:eastAsia="zh-CN"/>
        </w:rPr>
        <w:t>部门动态1条</w:t>
      </w:r>
      <w:r>
        <w:rPr>
          <w:rFonts w:hint="eastAsia" w:ascii="仿宋_GB2312" w:hAnsi="仿宋_GB2312" w:eastAsia="仿宋_GB2312" w:cs="仿宋_GB2312"/>
          <w:color w:val="2B2B2B"/>
          <w:sz w:val="32"/>
          <w:szCs w:val="32"/>
          <w:shd w:val="clear" w:color="auto" w:fill="FFFFFF"/>
        </w:rPr>
        <w:t>；微信公众号健康知识类</w:t>
      </w:r>
      <w:r>
        <w:rPr>
          <w:rFonts w:hint="eastAsia" w:ascii="仿宋_GB2312" w:hAnsi="仿宋_GB2312" w:eastAsia="仿宋_GB2312" w:cs="仿宋_GB2312"/>
          <w:color w:val="2B2B2B"/>
          <w:sz w:val="32"/>
          <w:szCs w:val="32"/>
          <w:shd w:val="clear" w:color="auto" w:fill="FFFFFF"/>
          <w:lang w:val="en-US" w:eastAsia="zh-CN"/>
        </w:rPr>
        <w:t>145</w:t>
      </w:r>
      <w:r>
        <w:rPr>
          <w:rFonts w:hint="eastAsia" w:ascii="仿宋_GB2312" w:hAnsi="仿宋_GB2312" w:eastAsia="仿宋_GB2312" w:cs="仿宋_GB2312"/>
          <w:color w:val="2B2B2B"/>
          <w:sz w:val="32"/>
          <w:szCs w:val="32"/>
          <w:shd w:val="clear" w:color="auto" w:fill="FFFFFF"/>
        </w:rPr>
        <w:t>篇、工作动态类</w:t>
      </w:r>
      <w:r>
        <w:rPr>
          <w:rFonts w:hint="eastAsia" w:ascii="仿宋_GB2312" w:hAnsi="仿宋_GB2312" w:eastAsia="仿宋_GB2312" w:cs="仿宋_GB2312"/>
          <w:color w:val="2B2B2B"/>
          <w:sz w:val="32"/>
          <w:szCs w:val="32"/>
          <w:shd w:val="clear" w:color="auto" w:fill="FFFFFF"/>
          <w:lang w:val="en-US" w:eastAsia="zh-CN"/>
        </w:rPr>
        <w:t>49</w:t>
      </w:r>
      <w:r>
        <w:rPr>
          <w:rFonts w:hint="eastAsia" w:ascii="仿宋_GB2312" w:hAnsi="仿宋_GB2312" w:eastAsia="仿宋_GB2312" w:cs="仿宋_GB2312"/>
          <w:color w:val="2B2B2B"/>
          <w:sz w:val="32"/>
          <w:szCs w:val="32"/>
          <w:shd w:val="clear" w:color="auto" w:fill="FFFFFF"/>
        </w:rPr>
        <w:t>篇。</w:t>
      </w:r>
    </w:p>
    <w:p w14:paraId="3E815E5D">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rPr>
      </w:pPr>
      <w:r>
        <w:rPr>
          <w:rFonts w:hint="eastAsia" w:ascii="楷体_GB2312" w:hAnsi="楷体_GB2312" w:eastAsia="楷体_GB2312" w:cs="楷体_GB2312"/>
          <w:color w:val="2B2B2B"/>
          <w:sz w:val="32"/>
          <w:szCs w:val="32"/>
          <w:shd w:val="clear" w:color="auto" w:fill="FFFFFF"/>
        </w:rPr>
        <w:t>(二)依申请公开情况。</w:t>
      </w:r>
      <w:r>
        <w:rPr>
          <w:rFonts w:hint="eastAsia" w:ascii="仿宋_GB2312" w:hAnsi="仿宋_GB2312" w:eastAsia="仿宋_GB2312" w:cs="仿宋_GB2312"/>
          <w:color w:val="2B2B2B"/>
          <w:sz w:val="32"/>
          <w:szCs w:val="32"/>
          <w:shd w:val="clear" w:color="auto" w:fill="FFFFFF"/>
        </w:rPr>
        <w:t>202</w:t>
      </w:r>
      <w:r>
        <w:rPr>
          <w:rFonts w:hint="eastAsia" w:ascii="仿宋_GB2312" w:hAnsi="仿宋_GB2312" w:eastAsia="仿宋_GB2312" w:cs="仿宋_GB2312"/>
          <w:color w:val="2B2B2B"/>
          <w:sz w:val="32"/>
          <w:szCs w:val="32"/>
          <w:shd w:val="clear" w:color="auto" w:fill="FFFFFF"/>
          <w:lang w:val="en-US" w:eastAsia="zh-CN"/>
        </w:rPr>
        <w:t>5</w:t>
      </w:r>
      <w:r>
        <w:rPr>
          <w:rFonts w:hint="eastAsia" w:ascii="仿宋_GB2312" w:hAnsi="仿宋_GB2312" w:eastAsia="仿宋_GB2312" w:cs="仿宋_GB2312"/>
          <w:color w:val="2B2B2B"/>
          <w:sz w:val="32"/>
          <w:szCs w:val="32"/>
          <w:shd w:val="clear" w:color="auto" w:fill="FFFFFF"/>
        </w:rPr>
        <w:t>年,我局</w:t>
      </w:r>
      <w:r>
        <w:rPr>
          <w:rFonts w:hint="eastAsia" w:ascii="仿宋_GB2312" w:hAnsi="仿宋_GB2312" w:eastAsia="仿宋_GB2312" w:cs="仿宋_GB2312"/>
          <w:color w:val="2B2B2B"/>
          <w:sz w:val="32"/>
          <w:szCs w:val="32"/>
          <w:shd w:val="clear" w:color="auto" w:fill="FFFFFF"/>
          <w:lang w:val="en-US" w:eastAsia="zh-CN"/>
        </w:rPr>
        <w:t>收到1条</w:t>
      </w:r>
      <w:r>
        <w:rPr>
          <w:rFonts w:hint="eastAsia" w:ascii="仿宋_GB2312" w:hAnsi="仿宋_GB2312" w:eastAsia="仿宋_GB2312" w:cs="仿宋_GB2312"/>
          <w:color w:val="2B2B2B"/>
          <w:sz w:val="32"/>
          <w:szCs w:val="32"/>
          <w:shd w:val="clear" w:color="auto" w:fill="FFFFFF"/>
        </w:rPr>
        <w:t>信息公开申请</w:t>
      </w:r>
      <w:r>
        <w:rPr>
          <w:rFonts w:hint="eastAsia" w:ascii="仿宋_GB2312" w:hAnsi="仿宋_GB2312" w:eastAsia="仿宋_GB2312" w:cs="仿宋_GB2312"/>
          <w:color w:val="2B2B2B"/>
          <w:sz w:val="32"/>
          <w:szCs w:val="32"/>
          <w:shd w:val="clear" w:color="auto" w:fill="FFFFFF"/>
          <w:lang w:eastAsia="zh-CN"/>
        </w:rPr>
        <w:t>，</w:t>
      </w:r>
      <w:r>
        <w:rPr>
          <w:rFonts w:hint="eastAsia" w:ascii="仿宋_GB2312" w:hAnsi="仿宋_GB2312" w:eastAsia="仿宋_GB2312" w:cs="仿宋_GB2312"/>
          <w:color w:val="2B2B2B"/>
          <w:sz w:val="32"/>
          <w:szCs w:val="32"/>
          <w:shd w:val="clear" w:color="auto" w:fill="FFFFFF"/>
          <w:lang w:val="en-US" w:eastAsia="zh-CN"/>
        </w:rPr>
        <w:t>因要求公开的内容涉及医疗机构医生个人隐私，已由相关股室妥善答复申请人</w:t>
      </w:r>
      <w:r>
        <w:rPr>
          <w:rFonts w:hint="eastAsia" w:ascii="仿宋_GB2312" w:hAnsi="仿宋_GB2312" w:eastAsia="仿宋_GB2312" w:cs="仿宋_GB2312"/>
          <w:color w:val="2B2B2B"/>
          <w:sz w:val="32"/>
          <w:szCs w:val="32"/>
          <w:shd w:val="clear" w:color="auto" w:fill="FFFFFF"/>
        </w:rPr>
        <w:t>。</w:t>
      </w:r>
      <w:r>
        <w:rPr>
          <w:rFonts w:hint="eastAsia" w:ascii="仿宋_GB2312" w:hAnsi="仿宋_GB2312" w:eastAsia="仿宋_GB2312" w:cs="仿宋_GB2312"/>
          <w:color w:val="2B2B2B"/>
          <w:sz w:val="32"/>
          <w:szCs w:val="32"/>
          <w:shd w:val="clear" w:color="auto" w:fill="FFFFFF"/>
          <w:lang w:val="en-US" w:eastAsia="zh-CN"/>
        </w:rPr>
        <w:t>另外</w:t>
      </w:r>
      <w:r>
        <w:rPr>
          <w:rFonts w:hint="eastAsia" w:ascii="仿宋_GB2312" w:hAnsi="仿宋_GB2312" w:eastAsia="仿宋_GB2312" w:cs="仿宋_GB2312"/>
          <w:color w:val="2B2B2B"/>
          <w:sz w:val="32"/>
          <w:szCs w:val="32"/>
          <w:shd w:val="clear" w:color="auto" w:fill="FFFFFF"/>
        </w:rPr>
        <w:t>未接到关于不予公开政府信息的电话咨询,也无因政府信息公开申请行政复议、提起行政诉讼的案件。</w:t>
      </w:r>
    </w:p>
    <w:p w14:paraId="17CC049C">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rPr>
      </w:pPr>
      <w:r>
        <w:rPr>
          <w:rFonts w:hint="eastAsia" w:ascii="楷体_GB2312" w:hAnsi="楷体_GB2312" w:eastAsia="楷体_GB2312" w:cs="楷体_GB2312"/>
          <w:color w:val="2B2B2B"/>
          <w:sz w:val="32"/>
          <w:szCs w:val="32"/>
          <w:shd w:val="clear" w:color="auto" w:fill="FFFFFF"/>
        </w:rPr>
        <w:t>(三)政府信息管理情况。</w:t>
      </w:r>
      <w:r>
        <w:rPr>
          <w:rFonts w:hint="eastAsia" w:ascii="仿宋_GB2312" w:hAnsi="仿宋_GB2312" w:eastAsia="仿宋_GB2312" w:cs="仿宋_GB2312"/>
          <w:color w:val="2B2B2B"/>
          <w:sz w:val="32"/>
          <w:szCs w:val="32"/>
          <w:shd w:val="clear" w:color="auto" w:fill="FFFFFF"/>
        </w:rPr>
        <w:t>在日常工作中，我局已系统建立并持续完善信息公开的收集、审查与处理机制。所有公开信息由局办公室牵头收集，各业务股室及下属单位依据规定要求及时报送。局办公室安排专人负责政府信息公开工作，严格执行政府信息公开审查机制，遵循“先审查、后公开”“一事一审”原则及保密管理要求。凡拟公开的政府信息，均须经局办公室统一登记和初步审查，报分管领导或主要领导审核同意后方可公开。</w:t>
      </w:r>
    </w:p>
    <w:p w14:paraId="02579B1E">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rPr>
      </w:pPr>
      <w:r>
        <w:rPr>
          <w:rFonts w:hint="eastAsia" w:ascii="楷体_GB2312" w:hAnsi="楷体_GB2312" w:eastAsia="楷体_GB2312" w:cs="楷体_GB2312"/>
          <w:color w:val="2B2B2B"/>
          <w:sz w:val="32"/>
          <w:szCs w:val="32"/>
          <w:shd w:val="clear" w:color="auto" w:fill="FFFFFF"/>
        </w:rPr>
        <w:t>(四)平台建设情况。</w:t>
      </w:r>
      <w:r>
        <w:rPr>
          <w:rFonts w:hint="eastAsia" w:ascii="仿宋_GB2312" w:hAnsi="仿宋_GB2312" w:eastAsia="仿宋_GB2312" w:cs="仿宋_GB2312"/>
          <w:color w:val="2B2B2B"/>
          <w:sz w:val="32"/>
          <w:szCs w:val="32"/>
          <w:shd w:val="clear" w:color="auto" w:fill="FFFFFF"/>
        </w:rPr>
        <w:t>我局持续深化平台建设工作，严格遵循政务信息公开相关规定和要求，依托区政府门户网站平台，集中公开了包括政策解读与规范性文件、工作动态、财政预决算信息、行政执法公开等内容。</w:t>
      </w:r>
    </w:p>
    <w:p w14:paraId="1B67CF2E">
      <w:pPr>
        <w:pStyle w:val="2"/>
        <w:keepNext w:val="0"/>
        <w:keepLines w:val="0"/>
        <w:pageBreakBefore w:val="0"/>
        <w:widowControl/>
        <w:shd w:val="clear" w:color="auto" w:fill="FFFFFF"/>
        <w:kinsoku/>
        <w:overflowPunct/>
        <w:autoSpaceDE/>
        <w:autoSpaceDN/>
        <w:bidi w:val="0"/>
        <w:adjustRightInd/>
        <w:snapToGrid/>
        <w:spacing w:before="0" w:beforeAutospacing="0" w:after="0" w:afterAutospacing="0" w:line="579" w:lineRule="exact"/>
        <w:ind w:firstLine="645"/>
        <w:jc w:val="both"/>
        <w:textAlignment w:val="auto"/>
        <w:rPr>
          <w:rFonts w:hint="eastAsia" w:ascii="仿宋_GB2312" w:hAnsi="仿宋_GB2312" w:eastAsia="仿宋_GB2312" w:cs="仿宋_GB2312"/>
          <w:color w:val="2B2B2B"/>
          <w:sz w:val="32"/>
          <w:szCs w:val="32"/>
        </w:rPr>
      </w:pPr>
      <w:r>
        <w:rPr>
          <w:rFonts w:hint="eastAsia" w:ascii="楷体_GB2312" w:hAnsi="楷体_GB2312" w:eastAsia="楷体_GB2312" w:cs="楷体_GB2312"/>
          <w:color w:val="2B2B2B"/>
          <w:sz w:val="32"/>
          <w:szCs w:val="32"/>
          <w:shd w:val="clear" w:color="auto" w:fill="FFFFFF"/>
        </w:rPr>
        <w:t>(五)监督保障情况。</w:t>
      </w:r>
      <w:r>
        <w:rPr>
          <w:rFonts w:hint="eastAsia" w:ascii="仿宋_GB2312" w:hAnsi="仿宋_GB2312" w:eastAsia="仿宋_GB2312" w:cs="仿宋_GB2312"/>
          <w:color w:val="2B2B2B"/>
          <w:sz w:val="32"/>
          <w:szCs w:val="32"/>
          <w:shd w:val="clear" w:color="auto" w:fill="FFFFFF"/>
        </w:rPr>
        <w:t>优化调整了局政务公开工作领导小组架构，进一步配强专班力量，细化明确各股室任务分工与职责界面，切实强化组织领导和机制保障</w:t>
      </w:r>
      <w:r>
        <w:rPr>
          <w:rFonts w:hint="eastAsia" w:ascii="仿宋_GB2312" w:hAnsi="仿宋_GB2312" w:eastAsia="仿宋_GB2312" w:cs="仿宋_GB2312"/>
          <w:color w:val="2B2B2B"/>
          <w:sz w:val="32"/>
          <w:szCs w:val="32"/>
          <w:shd w:val="clear" w:color="auto" w:fill="FFFFFF"/>
          <w:lang w:eastAsia="zh-CN"/>
        </w:rPr>
        <w:t>；</w:t>
      </w:r>
      <w:r>
        <w:rPr>
          <w:rFonts w:hint="eastAsia" w:ascii="仿宋_GB2312" w:hAnsi="仿宋_GB2312" w:eastAsia="仿宋_GB2312" w:cs="仿宋_GB2312"/>
          <w:color w:val="2B2B2B"/>
          <w:sz w:val="32"/>
          <w:szCs w:val="32"/>
          <w:shd w:val="clear" w:color="auto" w:fill="FFFFFF"/>
        </w:rPr>
        <w:t>系统梳理并动态完善政府信息公开目录与内容体系，确保公开信息重点突出、分类清晰、更新及时、准确规范。</w:t>
      </w:r>
    </w:p>
    <w:p w14:paraId="3B44C86A">
      <w:pPr>
        <w:keepNext w:val="0"/>
        <w:keepLines w:val="0"/>
        <w:pageBreakBefore w:val="0"/>
        <w:widowControl w:val="0"/>
        <w:kinsoku/>
        <w:wordWrap w:val="0"/>
        <w:overflowPunct/>
        <w:topLinePunct/>
        <w:autoSpaceDE/>
        <w:autoSpaceDN/>
        <w:bidi w:val="0"/>
        <w:adjustRightInd/>
        <w:snapToGrid/>
        <w:spacing w:line="600" w:lineRule="exact"/>
        <w:ind w:firstLine="640" w:firstLineChars="200"/>
        <w:jc w:val="both"/>
        <w:textAlignment w:val="auto"/>
        <w:rPr>
          <w:rFonts w:hint="eastAsia" w:ascii="黑体" w:hAnsi="黑体" w:eastAsia="黑体" w:cs="黑体"/>
          <w:color w:val="000000" w:themeColor="text1"/>
          <w:sz w:val="32"/>
          <w:szCs w:val="32"/>
          <w:u w:val="none"/>
          <w:lang w:val="en-US" w:eastAsia="zh-CN"/>
        </w:rPr>
      </w:pPr>
      <w:r>
        <w:rPr>
          <w:rFonts w:hint="eastAsia" w:ascii="黑体" w:hAnsi="黑体" w:eastAsia="黑体" w:cs="黑体"/>
          <w:color w:val="000000" w:themeColor="text1"/>
          <w:sz w:val="32"/>
          <w:szCs w:val="32"/>
          <w:u w:val="none"/>
          <w:lang w:val="en-US" w:eastAsia="zh-CN"/>
        </w:rPr>
        <w:t>二、主动公开政府信息情况</w:t>
      </w:r>
    </w:p>
    <w:tbl>
      <w:tblPr>
        <w:tblStyle w:val="3"/>
        <w:tblW w:w="8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3113"/>
        <w:gridCol w:w="1875"/>
        <w:gridCol w:w="1271"/>
        <w:gridCol w:w="1881"/>
      </w:tblGrid>
      <w:tr w14:paraId="7006F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C6D9F1"/>
            <w:noWrap/>
            <w:tcMar>
              <w:left w:w="108" w:type="dxa"/>
              <w:right w:w="108" w:type="dxa"/>
            </w:tcMar>
            <w:vAlign w:val="center"/>
          </w:tcPr>
          <w:p w14:paraId="71DF51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第二十条第（一）项</w:t>
            </w:r>
          </w:p>
        </w:tc>
      </w:tr>
      <w:tr w14:paraId="306D4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50C19F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left w:w="108" w:type="dxa"/>
              <w:right w:w="108" w:type="dxa"/>
            </w:tcMar>
            <w:vAlign w:val="center"/>
          </w:tcPr>
          <w:p w14:paraId="7E53E2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本年制发件数</w:t>
            </w:r>
          </w:p>
        </w:tc>
        <w:tc>
          <w:tcPr>
            <w:tcW w:w="1271"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6D02C3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本年废止件数</w:t>
            </w:r>
          </w:p>
        </w:tc>
        <w:tc>
          <w:tcPr>
            <w:tcW w:w="1881" w:type="dxa"/>
            <w:tcBorders>
              <w:top w:val="nil"/>
              <w:left w:val="nil"/>
              <w:bottom w:val="single" w:color="auto" w:sz="8" w:space="0"/>
              <w:right w:val="single" w:color="auto" w:sz="8" w:space="0"/>
            </w:tcBorders>
            <w:shd w:val="clear" w:color="auto" w:fill="E6F4FF"/>
            <w:noWrap/>
            <w:tcMar>
              <w:left w:w="108" w:type="dxa"/>
              <w:right w:w="108" w:type="dxa"/>
            </w:tcMar>
            <w:vAlign w:val="center"/>
          </w:tcPr>
          <w:p w14:paraId="2847C6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现行有效件数</w:t>
            </w:r>
          </w:p>
        </w:tc>
      </w:tr>
      <w:tr w14:paraId="3B3F5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70F00FE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规章</w:t>
            </w:r>
          </w:p>
        </w:tc>
        <w:tc>
          <w:tcPr>
            <w:tcW w:w="1875" w:type="dxa"/>
            <w:tcBorders>
              <w:top w:val="nil"/>
              <w:left w:val="nil"/>
              <w:bottom w:val="single" w:color="auto" w:sz="8" w:space="0"/>
              <w:right w:val="single" w:color="auto" w:sz="8" w:space="0"/>
            </w:tcBorders>
            <w:shd w:val="clear" w:color="auto" w:fill="E6F4FF"/>
            <w:noWrap/>
            <w:tcMar>
              <w:left w:w="108" w:type="dxa"/>
              <w:right w:w="108" w:type="dxa"/>
            </w:tcMar>
            <w:vAlign w:val="center"/>
          </w:tcPr>
          <w:p w14:paraId="241E8D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1271" w:type="dxa"/>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8A173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1881" w:type="dxa"/>
            <w:tcBorders>
              <w:top w:val="nil"/>
              <w:left w:val="nil"/>
              <w:bottom w:val="single" w:color="auto" w:sz="8" w:space="0"/>
              <w:right w:val="single" w:color="auto" w:sz="8" w:space="0"/>
            </w:tcBorders>
            <w:shd w:val="clear" w:color="auto" w:fill="E6F4FF"/>
            <w:noWrap/>
            <w:tcMar>
              <w:left w:w="108" w:type="dxa"/>
              <w:right w:w="108" w:type="dxa"/>
            </w:tcMar>
            <w:vAlign w:val="center"/>
          </w:tcPr>
          <w:p w14:paraId="7A8A014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79DF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4D0CFC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规范性文件</w:t>
            </w:r>
          </w:p>
        </w:tc>
        <w:tc>
          <w:tcPr>
            <w:tcW w:w="1875" w:type="dxa"/>
            <w:tcBorders>
              <w:top w:val="nil"/>
              <w:left w:val="nil"/>
              <w:bottom w:val="single" w:color="auto" w:sz="8" w:space="0"/>
              <w:right w:val="single" w:color="auto" w:sz="8" w:space="0"/>
            </w:tcBorders>
            <w:shd w:val="clear" w:color="auto" w:fill="E6F4FF"/>
            <w:noWrap/>
            <w:tcMar>
              <w:left w:w="108" w:type="dxa"/>
              <w:right w:w="108" w:type="dxa"/>
            </w:tcMar>
            <w:vAlign w:val="center"/>
          </w:tcPr>
          <w:p w14:paraId="5465856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1271" w:type="dxa"/>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21CC8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1881" w:type="dxa"/>
            <w:tcBorders>
              <w:top w:val="nil"/>
              <w:left w:val="nil"/>
              <w:bottom w:val="single" w:color="auto" w:sz="8" w:space="0"/>
              <w:right w:val="single" w:color="auto" w:sz="8" w:space="0"/>
            </w:tcBorders>
            <w:shd w:val="clear" w:color="auto" w:fill="E6F4FF"/>
            <w:noWrap/>
            <w:tcMar>
              <w:left w:w="108" w:type="dxa"/>
              <w:right w:w="108" w:type="dxa"/>
            </w:tcMar>
            <w:vAlign w:val="center"/>
          </w:tcPr>
          <w:p w14:paraId="67041A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2</w:t>
            </w:r>
          </w:p>
        </w:tc>
      </w:tr>
      <w:tr w14:paraId="50AC6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7546F0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第二十条第（五）项</w:t>
            </w:r>
          </w:p>
        </w:tc>
      </w:tr>
      <w:tr w14:paraId="40366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27E4E8B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noWrap/>
            <w:tcMar>
              <w:left w:w="108" w:type="dxa"/>
              <w:right w:w="108" w:type="dxa"/>
            </w:tcMar>
            <w:vAlign w:val="center"/>
          </w:tcPr>
          <w:p w14:paraId="51808E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本年处理决定数量</w:t>
            </w:r>
          </w:p>
        </w:tc>
      </w:tr>
      <w:tr w14:paraId="70CBE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01E4BC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行政许可</w:t>
            </w:r>
          </w:p>
        </w:tc>
        <w:tc>
          <w:tcPr>
            <w:tcW w:w="5027" w:type="dxa"/>
            <w:gridSpan w:val="3"/>
            <w:tcBorders>
              <w:top w:val="nil"/>
              <w:left w:val="nil"/>
              <w:bottom w:val="single" w:color="auto" w:sz="8" w:space="0"/>
              <w:right w:val="single" w:color="auto" w:sz="8" w:space="0"/>
            </w:tcBorders>
            <w:shd w:val="clear" w:color="auto" w:fill="E6F4FF"/>
            <w:noWrap/>
            <w:tcMar>
              <w:left w:w="108" w:type="dxa"/>
              <w:right w:w="108" w:type="dxa"/>
            </w:tcMar>
            <w:vAlign w:val="center"/>
          </w:tcPr>
          <w:p w14:paraId="2ABB37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79FFB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2FCE7B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第二十条第（六）项</w:t>
            </w:r>
          </w:p>
        </w:tc>
      </w:tr>
      <w:tr w14:paraId="0C34A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6045FF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noWrap/>
            <w:tcMar>
              <w:left w:w="108" w:type="dxa"/>
              <w:right w:w="108" w:type="dxa"/>
            </w:tcMar>
            <w:vAlign w:val="center"/>
          </w:tcPr>
          <w:p w14:paraId="60CB8DD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本年处理决定数量</w:t>
            </w:r>
          </w:p>
        </w:tc>
      </w:tr>
      <w:tr w14:paraId="7B994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7"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093A76B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行政处罚</w:t>
            </w:r>
          </w:p>
        </w:tc>
        <w:tc>
          <w:tcPr>
            <w:tcW w:w="5027" w:type="dxa"/>
            <w:gridSpan w:val="3"/>
            <w:tcBorders>
              <w:top w:val="nil"/>
              <w:left w:val="nil"/>
              <w:bottom w:val="single" w:color="auto" w:sz="8" w:space="0"/>
              <w:right w:val="single" w:color="auto" w:sz="8" w:space="0"/>
            </w:tcBorders>
            <w:shd w:val="clear" w:color="auto" w:fill="E6F4FF"/>
            <w:noWrap/>
            <w:tcMar>
              <w:left w:w="108" w:type="dxa"/>
              <w:right w:w="108" w:type="dxa"/>
            </w:tcMar>
            <w:vAlign w:val="center"/>
          </w:tcPr>
          <w:p w14:paraId="72323A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63</w:t>
            </w:r>
          </w:p>
        </w:tc>
      </w:tr>
      <w:tr w14:paraId="52D44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76E241F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行政强制</w:t>
            </w:r>
          </w:p>
        </w:tc>
        <w:tc>
          <w:tcPr>
            <w:tcW w:w="5027" w:type="dxa"/>
            <w:gridSpan w:val="3"/>
            <w:tcBorders>
              <w:top w:val="nil"/>
              <w:left w:val="nil"/>
              <w:bottom w:val="single" w:color="auto" w:sz="8" w:space="0"/>
              <w:right w:val="single" w:color="auto" w:sz="8" w:space="0"/>
            </w:tcBorders>
            <w:shd w:val="clear" w:color="auto" w:fill="E6F4FF"/>
            <w:noWrap/>
            <w:tcMar>
              <w:left w:w="108" w:type="dxa"/>
              <w:right w:w="108" w:type="dxa"/>
            </w:tcMar>
            <w:vAlign w:val="center"/>
          </w:tcPr>
          <w:p w14:paraId="2D4207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49C23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26CC90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第二十条第（八）项</w:t>
            </w:r>
          </w:p>
        </w:tc>
      </w:tr>
      <w:tr w14:paraId="4A017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3"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4206DA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信息内容</w:t>
            </w:r>
          </w:p>
        </w:tc>
        <w:tc>
          <w:tcPr>
            <w:tcW w:w="5027" w:type="dxa"/>
            <w:gridSpan w:val="3"/>
            <w:tcBorders>
              <w:top w:val="nil"/>
              <w:left w:val="nil"/>
              <w:bottom w:val="single" w:color="auto" w:sz="8" w:space="0"/>
              <w:right w:val="single" w:color="000000" w:sz="8" w:space="0"/>
            </w:tcBorders>
            <w:shd w:val="clear" w:color="auto" w:fill="E6F4FF"/>
            <w:noWrap/>
            <w:tcMar>
              <w:left w:w="108" w:type="dxa"/>
              <w:right w:w="108" w:type="dxa"/>
            </w:tcMar>
            <w:vAlign w:val="center"/>
          </w:tcPr>
          <w:p w14:paraId="61B7645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本年收费金额（单位：万元）</w:t>
            </w:r>
          </w:p>
        </w:tc>
      </w:tr>
      <w:tr w14:paraId="29FAE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left w:w="108" w:type="dxa"/>
              <w:right w:w="108" w:type="dxa"/>
            </w:tcMar>
            <w:vAlign w:val="center"/>
          </w:tcPr>
          <w:p w14:paraId="03B798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行政事业性收费</w:t>
            </w:r>
          </w:p>
        </w:tc>
        <w:tc>
          <w:tcPr>
            <w:tcW w:w="5027" w:type="dxa"/>
            <w:gridSpan w:val="3"/>
            <w:tcBorders>
              <w:top w:val="nil"/>
              <w:left w:val="nil"/>
              <w:bottom w:val="single" w:color="auto" w:sz="8" w:space="0"/>
              <w:right w:val="single" w:color="000000" w:sz="8" w:space="0"/>
            </w:tcBorders>
            <w:shd w:val="clear" w:color="auto" w:fill="E6F4FF"/>
            <w:noWrap/>
            <w:tcMar>
              <w:left w:w="108" w:type="dxa"/>
              <w:right w:w="108" w:type="dxa"/>
            </w:tcMar>
            <w:vAlign w:val="center"/>
          </w:tcPr>
          <w:p w14:paraId="35B63C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bl>
    <w:tbl>
      <w:tblPr>
        <w:tblStyle w:val="3"/>
        <w:tblpPr w:leftFromText="180" w:rightFromText="180" w:vertAnchor="text" w:horzAnchor="page" w:tblpX="2014" w:tblpY="930"/>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984"/>
        <w:gridCol w:w="859"/>
        <w:gridCol w:w="2779"/>
        <w:gridCol w:w="500"/>
        <w:gridCol w:w="567"/>
        <w:gridCol w:w="567"/>
        <w:gridCol w:w="700"/>
        <w:gridCol w:w="700"/>
        <w:gridCol w:w="433"/>
        <w:gridCol w:w="433"/>
      </w:tblGrid>
      <w:tr w14:paraId="7CC38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gridSpan w:val="3"/>
            <w:vMerge w:val="restart"/>
            <w:tcBorders>
              <w:top w:val="single" w:color="auto" w:sz="8" w:space="0"/>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5B4096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sz w:val="15"/>
                <w:szCs w:val="15"/>
              </w:rPr>
              <w:pict>
                <v:shape id="_x0000_s1027" o:spid="_x0000_s1027" o:spt="202" type="#_x0000_t202" style="position:absolute;left:0pt;margin-left:17.05pt;margin-top:-47.15pt;height:24.55pt;width:318.5pt;z-index:251659264;mso-width-relative:page;mso-height-relative:page;" fillcolor="#FFFFFF" filled="t" stroked="f" coordsize="21600,21600">
                  <v:path/>
                  <v:fill on="t" focussize="0,0"/>
                  <v:stroke on="f"/>
                  <v:imagedata o:title=""/>
                  <o:lock v:ext="edit" aspectratio="f"/>
                  <v:textbox>
                    <w:txbxContent>
                      <w:p w14:paraId="0647CC5D">
                        <w:r>
                          <w:rPr>
                            <w:rFonts w:hint="eastAsia" w:ascii="黑体" w:hAnsi="黑体" w:eastAsia="黑体" w:cs="黑体"/>
                            <w:sz w:val="32"/>
                            <w:szCs w:val="32"/>
                            <w:lang w:eastAsia="zh-CN"/>
                          </w:rPr>
                          <w:t>三</w:t>
                        </w:r>
                        <w:r>
                          <w:rPr>
                            <w:rFonts w:hint="eastAsia" w:ascii="黑体" w:hAnsi="黑体" w:eastAsia="黑体" w:cs="黑体"/>
                            <w:sz w:val="32"/>
                            <w:szCs w:val="32"/>
                          </w:rPr>
                          <w:t>、</w:t>
                        </w:r>
                        <w:r>
                          <w:rPr>
                            <w:rFonts w:hint="eastAsia" w:ascii="黑体" w:hAnsi="黑体" w:eastAsia="黑体" w:cs="黑体"/>
                            <w:sz w:val="32"/>
                            <w:szCs w:val="32"/>
                            <w:lang w:eastAsia="zh-CN"/>
                          </w:rPr>
                          <w:t>收到和处理政府信息公开申请的信息</w:t>
                        </w:r>
                      </w:p>
                    </w:txbxContent>
                  </v:textbox>
                </v:shape>
              </w:pict>
            </w:r>
            <w:r>
              <w:rPr>
                <w:rFonts w:hint="eastAsia" w:ascii="微软雅黑" w:hAnsi="微软雅黑" w:eastAsia="微软雅黑" w:cs="微软雅黑"/>
                <w:color w:val="000000" w:themeColor="text1"/>
                <w:kern w:val="0"/>
                <w:sz w:val="15"/>
                <w:szCs w:val="15"/>
                <w:u w:val="none"/>
                <w:lang w:val="en-US" w:eastAsia="zh-CN" w:bidi="ar"/>
              </w:rPr>
              <w:t>（本列数据的勾稽关系为：第一项加第二项之和，等于第三项加第四项之和）</w:t>
            </w:r>
          </w:p>
        </w:tc>
        <w:tc>
          <w:tcPr>
            <w:tcW w:w="0" w:type="auto"/>
            <w:gridSpan w:val="7"/>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4A8B70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申请人情况</w:t>
            </w:r>
          </w:p>
        </w:tc>
      </w:tr>
      <w:tr w14:paraId="13269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gridSpan w:val="3"/>
            <w:vMerge w:val="continue"/>
            <w:tcBorders>
              <w:top w:val="single" w:color="auto" w:sz="8" w:space="0"/>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11A2D1B5">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restart"/>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06BD5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自然人</w:t>
            </w:r>
          </w:p>
        </w:tc>
        <w:tc>
          <w:tcPr>
            <w:tcW w:w="0" w:type="auto"/>
            <w:gridSpan w:val="5"/>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73196F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法人或其他组织</w:t>
            </w:r>
          </w:p>
        </w:tc>
        <w:tc>
          <w:tcPr>
            <w:tcW w:w="0" w:type="auto"/>
            <w:vMerge w:val="restart"/>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2F8E49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总计</w:t>
            </w:r>
          </w:p>
        </w:tc>
      </w:tr>
      <w:tr w14:paraId="1B2CF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70" w:hRule="atLeast"/>
        </w:trPr>
        <w:tc>
          <w:tcPr>
            <w:tcW w:w="0" w:type="auto"/>
            <w:gridSpan w:val="3"/>
            <w:vMerge w:val="continue"/>
            <w:tcBorders>
              <w:top w:val="single" w:color="auto" w:sz="8" w:space="0"/>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4EFF0056">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6F3C1F5">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5ECBB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商业企业</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E09B9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科研机构</w:t>
            </w:r>
          </w:p>
        </w:tc>
        <w:tc>
          <w:tcPr>
            <w:tcW w:w="0" w:type="auto"/>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730787E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社会公益组织</w:t>
            </w:r>
          </w:p>
        </w:tc>
        <w:tc>
          <w:tcPr>
            <w:tcW w:w="0" w:type="auto"/>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51AC9C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法律服务机构</w:t>
            </w:r>
          </w:p>
        </w:tc>
        <w:tc>
          <w:tcPr>
            <w:tcW w:w="0" w:type="auto"/>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2B21C1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其他</w:t>
            </w:r>
          </w:p>
        </w:tc>
        <w:tc>
          <w:tcPr>
            <w:tcW w:w="0" w:type="auto"/>
            <w:vMerge w:val="continue"/>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4CD43816">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r>
      <w:tr w14:paraId="3FDA4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0" w:type="auto"/>
            <w:gridSpan w:val="3"/>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011774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一、本年新收政府信息公开申请数量</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8689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11A2F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17851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DDFCA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BD702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B57FC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55F23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p>
        </w:tc>
      </w:tr>
      <w:tr w14:paraId="25654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gridSpan w:val="3"/>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499133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二、上年结转政府信息公开申请数量</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9290C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49A8F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96B4C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D1708B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7FBE2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AC65D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8308C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6FDDA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restart"/>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5CC56D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三、本年度办理结果</w:t>
            </w:r>
          </w:p>
        </w:tc>
        <w:tc>
          <w:tcPr>
            <w:tcW w:w="0" w:type="auto"/>
            <w:gridSpan w:val="2"/>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C5474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（一）予以公开</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CBEB23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77290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0339D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B13367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D4BD9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C5EEC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59EFE1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23798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64EA18C7">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gridSpan w:val="2"/>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3FAFF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（二）部分公开（区分处理的，只计这一情形，不计其他情形）</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DA208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6C91C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89C95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0CBB7A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449D2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C02E23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A9844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6F74D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1324682F">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restart"/>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331AF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（三）不予公开</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7C984E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1.属于国家秘密</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640079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94A9A7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BC4F6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C88B2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EFBB4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84529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51EE62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03A5B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5" w:hRule="atLeast"/>
        </w:trPr>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center"/>
          </w:tcPr>
          <w:p w14:paraId="41CC0B94">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EECFF76">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9080B9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2.其他法律行政法规禁止公开</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E79B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1BB84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0C3FB6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1C235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6D9C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D8097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F4FE1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4EAC5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1D8B13C9">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7E47E0EA">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426B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3.危及“三安全一稳定”</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A6E10F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A529D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BDF0A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A77C40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E4718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0395B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57D99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3E9E8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5FA5F2F6">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73B4CBF5">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DFEFBA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4.保护第三方合法权益</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BA60F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63AD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3500B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146FB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276F14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7372B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095F9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p>
        </w:tc>
      </w:tr>
      <w:tr w14:paraId="38F85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7F707A0E">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160823C7">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62D0A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5.属于三类内部事务信息</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94AB1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38967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EB680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C3359D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665F9E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E2EF1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666C7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22B12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7449E2D6">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02B9AA16">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7DFBD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6.属于四类过程性信息</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C29D0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B5DBF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41484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2325A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9E0B8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1BC04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E13D4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22617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6605283C">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5B5EEFDE">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BC456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7.属于行政执法案卷</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F6AD8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A25E8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62AA9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75FAC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532546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4400D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A8BA7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78BA6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61BCFD8">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3B1E54B3">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C0D88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8.属于行政查询事项</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3333B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A8D87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BEEA4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E8FA9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30389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39B66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0B4AE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66414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CE9EDCE">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restart"/>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AABFA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（四）无法提供</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481A7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1.本机关不掌握相关政府信息</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143A4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A77D5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DA79A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95B72D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1306F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8C00C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15F08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0FB58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661DF405">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838D4E2">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57A4C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2.没有现成信息需要另行制作</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E8CC5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E81BC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D9488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BC6C3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1B67E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A8AA2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173F7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66E19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1586F643">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5F49C51">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6134E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3.补正后申请内容仍不明确</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26E39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837072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23DA8F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947B5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DB9D5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31308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346950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44C7C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207FDDE">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restart"/>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D94583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（五）不予处理</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0E71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1.信访举报投诉类申请</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BE5B1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28A9E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225E4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79D386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3E7AF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626B65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8202A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4F941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2963D9FA">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8E464C8">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9895BC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2.重复申请</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E2235A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9AF761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963CC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D2487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BE9C1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C2C32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7BA526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4D482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0799FEC1">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19FC96B">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B78CE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3.要求提供公开出版物</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59646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EE668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E7404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029DA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BB5F8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FD2A2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5B781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7D716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0A00B73A">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79A17F3">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65CE8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4.无正当理由大量反复申请</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934EA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CBEC48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4F1D2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225D5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CFBDF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72922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0281A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66DD9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51009A66">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5010B8B">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2595A0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5.要求行政机关确认或重新出具已获取信息</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92412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6BA34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B0702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CACE4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A5753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4A0A5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30A5E26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3AADF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9" w:hRule="atLeast"/>
        </w:trPr>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1DD81E67">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restart"/>
            <w:tcBorders>
              <w:top w:val="nil"/>
              <w:left w:val="nil"/>
              <w:right w:val="single" w:color="auto" w:sz="4" w:space="0"/>
            </w:tcBorders>
            <w:shd w:val="clear" w:color="auto" w:fill="E6F4FF"/>
            <w:noWrap w:val="0"/>
            <w:tcMar>
              <w:left w:w="108" w:type="dxa"/>
              <w:right w:w="108" w:type="dxa"/>
            </w:tcMar>
            <w:vAlign w:val="center"/>
          </w:tcPr>
          <w:p w14:paraId="761234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（六）其他处理</w:t>
            </w:r>
          </w:p>
        </w:tc>
        <w:tc>
          <w:tcPr>
            <w:tcW w:w="0" w:type="auto"/>
            <w:tcBorders>
              <w:top w:val="nil"/>
              <w:left w:val="single" w:color="auto" w:sz="4" w:space="0"/>
              <w:bottom w:val="single" w:color="auto" w:sz="4" w:space="0"/>
              <w:right w:val="single" w:color="auto" w:sz="8" w:space="0"/>
            </w:tcBorders>
            <w:shd w:val="clear" w:color="auto" w:fill="E6F4FF"/>
            <w:noWrap w:val="0"/>
            <w:tcMar>
              <w:left w:w="108" w:type="dxa"/>
              <w:right w:w="108" w:type="dxa"/>
            </w:tcMar>
            <w:vAlign w:val="center"/>
          </w:tcPr>
          <w:p w14:paraId="219F5455">
            <w:pPr>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285"/>
              </w:tabs>
              <w:kinsoku/>
              <w:wordWrap w:val="0"/>
              <w:overflowPunct/>
              <w:topLinePunct/>
              <w:autoSpaceDE/>
              <w:autoSpaceDN/>
              <w:bidi w:val="0"/>
              <w:adjustRightInd/>
              <w:snapToGrid/>
              <w:spacing w:before="0" w:beforeAutospacing="0" w:after="0" w:afterAutospacing="0" w:line="600" w:lineRule="exact"/>
              <w:ind w:left="0" w:right="0" w:firstLine="0"/>
              <w:jc w:val="left"/>
              <w:textAlignment w:val="top"/>
              <w:rPr>
                <w:rFonts w:hint="eastAsia" w:ascii="微软雅黑" w:hAnsi="微软雅黑" w:eastAsia="微软雅黑" w:cs="微软雅黑"/>
                <w:color w:val="000000" w:themeColor="text1"/>
                <w:kern w:val="0"/>
                <w:sz w:val="15"/>
                <w:szCs w:val="15"/>
                <w:u w:val="none"/>
                <w:lang w:val="en-US" w:eastAsia="zh-CN" w:bidi="ar"/>
              </w:rPr>
            </w:pPr>
            <w:r>
              <w:rPr>
                <w:rFonts w:hint="eastAsia" w:ascii="微软雅黑" w:hAnsi="微软雅黑" w:eastAsia="微软雅黑" w:cs="微软雅黑"/>
                <w:color w:val="000000" w:themeColor="text1"/>
                <w:kern w:val="0"/>
                <w:sz w:val="15"/>
                <w:szCs w:val="15"/>
                <w:u w:val="none"/>
                <w:lang w:val="en-US" w:eastAsia="zh-CN" w:bidi="ar"/>
              </w:rPr>
              <w:t>1.申请人无正当理由逾期不补正、行政机关不再处理其政府信息公开申请</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1ADACB9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16EDAED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3D3E04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43588A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61113D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2D089A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4" w:space="0"/>
              <w:right w:val="single" w:color="auto" w:sz="8" w:space="0"/>
            </w:tcBorders>
            <w:shd w:val="clear" w:color="auto" w:fill="E6F4FF"/>
            <w:noWrap w:val="0"/>
            <w:tcMar>
              <w:left w:w="108" w:type="dxa"/>
              <w:right w:w="108" w:type="dxa"/>
            </w:tcMar>
            <w:vAlign w:val="center"/>
          </w:tcPr>
          <w:p w14:paraId="4630508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72066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3" w:hRule="atLeast"/>
        </w:trPr>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6F248DDC">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left w:val="nil"/>
              <w:bottom w:val="single" w:color="auto" w:sz="8" w:space="0"/>
              <w:right w:val="single" w:color="auto" w:sz="4" w:space="0"/>
            </w:tcBorders>
            <w:shd w:val="clear" w:color="auto" w:fill="E6F4FF"/>
            <w:noWrap w:val="0"/>
            <w:tcMar>
              <w:left w:w="108" w:type="dxa"/>
              <w:right w:w="108" w:type="dxa"/>
            </w:tcMar>
            <w:vAlign w:val="center"/>
          </w:tcPr>
          <w:p w14:paraId="01E789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0"/>
                <w:sz w:val="15"/>
                <w:szCs w:val="15"/>
                <w:u w:val="none"/>
                <w:lang w:val="en-US" w:eastAsia="zh-CN" w:bidi="ar"/>
              </w:rPr>
            </w:pPr>
          </w:p>
        </w:tc>
        <w:tc>
          <w:tcPr>
            <w:tcW w:w="0" w:type="auto"/>
            <w:tcBorders>
              <w:top w:val="single" w:color="auto" w:sz="4" w:space="0"/>
              <w:left w:val="single" w:color="auto" w:sz="4" w:space="0"/>
              <w:bottom w:val="single" w:color="auto" w:sz="4" w:space="0"/>
              <w:right w:val="single" w:color="auto" w:sz="8" w:space="0"/>
            </w:tcBorders>
            <w:shd w:val="clear" w:color="auto" w:fill="E6F4FF"/>
            <w:noWrap w:val="0"/>
            <w:tcMar>
              <w:left w:w="108" w:type="dxa"/>
              <w:right w:w="108" w:type="dxa"/>
            </w:tcMar>
            <w:vAlign w:val="center"/>
          </w:tcPr>
          <w:p w14:paraId="78F36D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0"/>
                <w:sz w:val="15"/>
                <w:szCs w:val="15"/>
                <w:u w:val="none"/>
                <w:lang w:val="en-US" w:eastAsia="zh-CN" w:bidi="ar"/>
              </w:rPr>
            </w:pPr>
            <w:r>
              <w:rPr>
                <w:rFonts w:hint="eastAsia" w:ascii="微软雅黑" w:hAnsi="微软雅黑" w:eastAsia="微软雅黑" w:cs="微软雅黑"/>
                <w:color w:val="000000" w:themeColor="text1"/>
                <w:kern w:val="0"/>
                <w:sz w:val="15"/>
                <w:szCs w:val="15"/>
                <w:u w:val="none"/>
                <w:lang w:val="en-US" w:eastAsia="zh-CN" w:bidi="ar"/>
              </w:rPr>
              <w:t>2.申请人逾期未按收费通知要求缴纳费用、行政机关不再处理其政府信息公开申请</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493304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5FD79D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4EFCE4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0F043C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40B061A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1E9F33B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4" w:space="0"/>
              <w:right w:val="single" w:color="auto" w:sz="8" w:space="0"/>
            </w:tcBorders>
            <w:shd w:val="clear" w:color="auto" w:fill="E6F4FF"/>
            <w:noWrap w:val="0"/>
            <w:tcMar>
              <w:left w:w="108" w:type="dxa"/>
              <w:right w:w="108" w:type="dxa"/>
            </w:tcMar>
            <w:vAlign w:val="center"/>
          </w:tcPr>
          <w:p w14:paraId="3E99C5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5AC2B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trPr>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2E5B9705">
            <w:pPr>
              <w:keepNext w:val="0"/>
              <w:keepLines w:val="0"/>
              <w:pageBreakBefore w:val="0"/>
              <w:kinsoku/>
              <w:wordWrap w:val="0"/>
              <w:overflowPunct/>
              <w:topLinePunct/>
              <w:autoSpaceDE/>
              <w:autoSpaceDN/>
              <w:bidi w:val="0"/>
              <w:adjustRightInd/>
              <w:snapToGrid/>
              <w:spacing w:line="600" w:lineRule="exact"/>
              <w:jc w:val="left"/>
              <w:rPr>
                <w:rFonts w:hint="eastAsia" w:ascii="微软雅黑" w:hAnsi="微软雅黑" w:eastAsia="微软雅黑" w:cs="微软雅黑"/>
                <w:color w:val="000000" w:themeColor="text1"/>
                <w:kern w:val="2"/>
                <w:sz w:val="15"/>
                <w:szCs w:val="15"/>
                <w:u w:val="none"/>
                <w:lang w:val="en-US" w:eastAsia="zh-CN" w:bidi="ar-SA"/>
              </w:rPr>
            </w:pPr>
          </w:p>
        </w:tc>
        <w:tc>
          <w:tcPr>
            <w:tcW w:w="0" w:type="auto"/>
            <w:vMerge w:val="continue"/>
            <w:tcBorders>
              <w:left w:val="nil"/>
              <w:bottom w:val="single" w:color="auto" w:sz="8" w:space="0"/>
              <w:right w:val="single" w:color="auto" w:sz="4" w:space="0"/>
            </w:tcBorders>
            <w:shd w:val="clear" w:color="auto" w:fill="E6F4FF"/>
            <w:noWrap w:val="0"/>
            <w:tcMar>
              <w:left w:w="108" w:type="dxa"/>
              <w:right w:w="108" w:type="dxa"/>
            </w:tcMar>
            <w:vAlign w:val="center"/>
          </w:tcPr>
          <w:p w14:paraId="1E25F0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0"/>
                <w:sz w:val="15"/>
                <w:szCs w:val="15"/>
                <w:u w:val="none"/>
                <w:lang w:val="en-US" w:eastAsia="zh-CN" w:bidi="ar"/>
              </w:rPr>
            </w:pPr>
          </w:p>
        </w:tc>
        <w:tc>
          <w:tcPr>
            <w:tcW w:w="0" w:type="auto"/>
            <w:tcBorders>
              <w:top w:val="single" w:color="auto" w:sz="4" w:space="0"/>
              <w:left w:val="single" w:color="auto" w:sz="4" w:space="0"/>
              <w:bottom w:val="single" w:color="auto" w:sz="8" w:space="0"/>
              <w:right w:val="single" w:color="auto" w:sz="8" w:space="0"/>
            </w:tcBorders>
            <w:shd w:val="clear" w:color="auto" w:fill="E6F4FF"/>
            <w:noWrap w:val="0"/>
            <w:tcMar>
              <w:left w:w="108" w:type="dxa"/>
              <w:right w:w="108" w:type="dxa"/>
            </w:tcMar>
            <w:vAlign w:val="center"/>
          </w:tcPr>
          <w:p w14:paraId="558D4E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0"/>
                <w:sz w:val="15"/>
                <w:szCs w:val="15"/>
                <w:u w:val="none"/>
                <w:lang w:val="en-US" w:eastAsia="zh-CN" w:bidi="ar"/>
              </w:rPr>
            </w:pPr>
            <w:r>
              <w:rPr>
                <w:rFonts w:hint="eastAsia" w:ascii="微软雅黑" w:hAnsi="微软雅黑" w:eastAsia="微软雅黑" w:cs="微软雅黑"/>
                <w:color w:val="000000" w:themeColor="text1"/>
                <w:kern w:val="0"/>
                <w:sz w:val="15"/>
                <w:szCs w:val="15"/>
                <w:u w:val="none"/>
                <w:lang w:val="en-US" w:eastAsia="zh-CN" w:bidi="ar"/>
              </w:rPr>
              <w:t>3.其他</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5F618D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7916F3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50E430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215E39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1DD3DBC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40300B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single" w:color="auto" w:sz="4" w:space="0"/>
              <w:left w:val="nil"/>
              <w:bottom w:val="single" w:color="auto" w:sz="8" w:space="0"/>
              <w:right w:val="single" w:color="auto" w:sz="8" w:space="0"/>
            </w:tcBorders>
            <w:shd w:val="clear" w:color="auto" w:fill="E6F4FF"/>
            <w:noWrap w:val="0"/>
            <w:tcMar>
              <w:left w:w="108" w:type="dxa"/>
              <w:right w:w="108" w:type="dxa"/>
            </w:tcMar>
            <w:vAlign w:val="center"/>
          </w:tcPr>
          <w:p w14:paraId="2C2754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r w14:paraId="37EA1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59186267">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0" w:type="auto"/>
            <w:gridSpan w:val="2"/>
            <w:tcBorders>
              <w:top w:val="nil"/>
              <w:left w:val="nil"/>
              <w:bottom w:val="single" w:color="auto" w:sz="8" w:space="0"/>
              <w:right w:val="single" w:color="auto" w:sz="8" w:space="0"/>
            </w:tcBorders>
            <w:shd w:val="clear" w:color="auto" w:fill="E6F4FF"/>
            <w:noWrap w:val="0"/>
            <w:tcMar>
              <w:left w:w="108" w:type="dxa"/>
              <w:right w:w="108" w:type="dxa"/>
            </w:tcMar>
            <w:vAlign w:val="top"/>
          </w:tcPr>
          <w:p w14:paraId="717C665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（七）总计</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767C365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0FD43E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0F3EF0D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4AE8CDE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0FACA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2CC66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CC1C26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1</w:t>
            </w:r>
            <w:bookmarkStart w:id="0" w:name="_GoBack"/>
            <w:bookmarkEnd w:id="0"/>
          </w:p>
        </w:tc>
      </w:tr>
      <w:tr w14:paraId="7885D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gridSpan w:val="3"/>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7A4985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四、结转下年度继续办理</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5006F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8F6EF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570F1B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178123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239741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BFEF5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0" w:type="auto"/>
            <w:tcBorders>
              <w:top w:val="nil"/>
              <w:left w:val="nil"/>
              <w:bottom w:val="single" w:color="auto" w:sz="8" w:space="0"/>
              <w:right w:val="single" w:color="auto" w:sz="8" w:space="0"/>
            </w:tcBorders>
            <w:shd w:val="clear" w:color="auto" w:fill="E6F4FF"/>
            <w:noWrap w:val="0"/>
            <w:tcMar>
              <w:left w:w="108" w:type="dxa"/>
              <w:right w:w="108" w:type="dxa"/>
            </w:tcMar>
            <w:vAlign w:val="center"/>
          </w:tcPr>
          <w:p w14:paraId="66A7DB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leftChars="0" w:right="0" w:rightChars="0" w:firstLine="0" w:firstLineChars="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bl>
    <w:tbl>
      <w:tblPr>
        <w:tblStyle w:val="4"/>
        <w:tblpPr w:leftFromText="180" w:rightFromText="180" w:vertAnchor="text" w:tblpX="10214" w:tblpY="-334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7"/>
      </w:tblGrid>
      <w:tr w14:paraId="60C42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 w:hRule="atLeast"/>
        </w:trPr>
        <w:tc>
          <w:tcPr>
            <w:tcW w:w="507" w:type="dxa"/>
          </w:tcPr>
          <w:p w14:paraId="7034C831">
            <w:pPr>
              <w:keepNext w:val="0"/>
              <w:keepLines w:val="0"/>
              <w:pageBreakBefore w:val="0"/>
              <w:widowControl/>
              <w:suppressLineNumbers w:val="0"/>
              <w:kinsoku/>
              <w:wordWrap w:val="0"/>
              <w:overflowPunct/>
              <w:topLinePunct/>
              <w:autoSpaceDE/>
              <w:autoSpaceDN/>
              <w:bidi w:val="0"/>
              <w:adjustRightInd/>
              <w:snapToGrid/>
              <w:spacing w:before="0" w:beforeAutospacing="0" w:after="0" w:afterAutospacing="0" w:line="600" w:lineRule="exact"/>
              <w:ind w:right="0"/>
              <w:jc w:val="both"/>
              <w:textAlignment w:val="top"/>
              <w:rPr>
                <w:rFonts w:hint="eastAsia" w:ascii="微软雅黑" w:hAnsi="微软雅黑" w:eastAsia="微软雅黑" w:cs="微软雅黑"/>
                <w:color w:val="000000" w:themeColor="text1"/>
                <w:kern w:val="0"/>
                <w:sz w:val="15"/>
                <w:szCs w:val="15"/>
                <w:u w:val="none"/>
                <w:vertAlign w:val="baseline"/>
                <w:lang w:val="en-US" w:eastAsia="zh-CN" w:bidi="ar"/>
              </w:rPr>
            </w:pPr>
          </w:p>
        </w:tc>
      </w:tr>
    </w:tbl>
    <w:tbl>
      <w:tblPr>
        <w:tblStyle w:val="4"/>
        <w:tblpPr w:leftFromText="180" w:rightFromText="180" w:vertAnchor="text" w:tblpX="10214" w:tblpY="-335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7"/>
      </w:tblGrid>
      <w:tr w14:paraId="14128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507" w:type="dxa"/>
          </w:tcPr>
          <w:p w14:paraId="2711642E">
            <w:pPr>
              <w:keepNext w:val="0"/>
              <w:keepLines w:val="0"/>
              <w:pageBreakBefore w:val="0"/>
              <w:widowControl/>
              <w:suppressLineNumbers w:val="0"/>
              <w:kinsoku/>
              <w:wordWrap w:val="0"/>
              <w:overflowPunct/>
              <w:topLinePunct/>
              <w:autoSpaceDE/>
              <w:autoSpaceDN/>
              <w:bidi w:val="0"/>
              <w:adjustRightInd/>
              <w:snapToGrid/>
              <w:spacing w:before="0" w:beforeAutospacing="0" w:after="0" w:afterAutospacing="0" w:line="600" w:lineRule="exact"/>
              <w:ind w:right="0"/>
              <w:jc w:val="both"/>
              <w:textAlignment w:val="top"/>
              <w:rPr>
                <w:rFonts w:hint="eastAsia" w:ascii="微软雅黑" w:hAnsi="微软雅黑" w:eastAsia="微软雅黑" w:cs="微软雅黑"/>
                <w:color w:val="000000" w:themeColor="text1"/>
                <w:kern w:val="0"/>
                <w:sz w:val="15"/>
                <w:szCs w:val="15"/>
                <w:u w:val="none"/>
                <w:vertAlign w:val="baseline"/>
                <w:lang w:val="en-US" w:eastAsia="zh-CN" w:bidi="ar"/>
              </w:rPr>
            </w:pPr>
          </w:p>
        </w:tc>
      </w:tr>
    </w:tbl>
    <w:p w14:paraId="34F655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right="0"/>
        <w:jc w:val="both"/>
        <w:textAlignment w:val="top"/>
        <w:rPr>
          <w:sz w:val="24"/>
        </w:rPr>
      </w:pPr>
    </w:p>
    <w:p w14:paraId="2CABC10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480" w:firstLineChars="200"/>
        <w:jc w:val="both"/>
        <w:textAlignment w:val="top"/>
        <w:rPr>
          <w:rFonts w:hint="eastAsia"/>
          <w:sz w:val="24"/>
          <w:lang w:val="en-US" w:eastAsia="zh-CN"/>
        </w:rPr>
      </w:pPr>
      <w:r>
        <w:rPr>
          <w:sz w:val="24"/>
        </w:rPr>
        <w:pict>
          <v:shape id="_x0000_s1028" o:spid="_x0000_s1028" o:spt="202" type="#_x0000_t202" style="position:absolute;left:0pt;margin-left:3.1pt;margin-top:7.85pt;height:39.25pt;width:342.55pt;z-index:251660288;mso-width-relative:page;mso-height-relative:page;" fillcolor="#FFFFFF" filled="t" stroked="f" coordsize="21600,21600">
            <v:path/>
            <v:fill on="t" color2="#FFFFFF" focussize="0,0"/>
            <v:stroke on="f"/>
            <v:imagedata o:title=""/>
            <o:lock v:ext="edit" aspectratio="f"/>
            <v:textbox>
              <w:txbxContent>
                <w:p w14:paraId="1D8806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right="0" w:firstLine="640" w:firstLineChars="200"/>
                    <w:jc w:val="both"/>
                    <w:textAlignment w:val="top"/>
                    <w:rPr>
                      <w:rFonts w:hint="eastAsia" w:ascii="黑体" w:hAnsi="黑体" w:eastAsia="黑体" w:cs="黑体"/>
                      <w:color w:val="000000" w:themeColor="text1"/>
                      <w:kern w:val="0"/>
                      <w:sz w:val="32"/>
                      <w:szCs w:val="32"/>
                      <w:u w:val="none"/>
                      <w:lang w:val="en-US" w:eastAsia="zh-CN" w:bidi="ar"/>
                    </w:rPr>
                  </w:pPr>
                  <w:r>
                    <w:rPr>
                      <w:rFonts w:hint="eastAsia" w:ascii="黑体" w:hAnsi="黑体" w:eastAsia="黑体" w:cs="黑体"/>
                      <w:color w:val="000000" w:themeColor="text1"/>
                      <w:kern w:val="0"/>
                      <w:sz w:val="32"/>
                      <w:szCs w:val="32"/>
                      <w:u w:val="none"/>
                      <w:lang w:val="en-US" w:eastAsia="zh-CN" w:bidi="ar"/>
                    </w:rPr>
                    <w:t>四、政府信息公开行政复议、行政诉讼情况</w:t>
                  </w:r>
                </w:p>
                <w:p w14:paraId="3307B092"/>
              </w:txbxContent>
            </v:textbox>
          </v:shape>
        </w:pict>
      </w:r>
    </w:p>
    <w:tbl>
      <w:tblPr>
        <w:tblStyle w:val="3"/>
        <w:tblpPr w:leftFromText="180" w:rightFromText="180" w:vertAnchor="text" w:horzAnchor="page" w:tblpX="2004" w:tblpY="181"/>
        <w:tblOverlap w:val="never"/>
        <w:tblW w:w="82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63"/>
        <w:gridCol w:w="540"/>
        <w:gridCol w:w="540"/>
        <w:gridCol w:w="525"/>
        <w:gridCol w:w="422"/>
        <w:gridCol w:w="568"/>
        <w:gridCol w:w="585"/>
        <w:gridCol w:w="540"/>
        <w:gridCol w:w="540"/>
        <w:gridCol w:w="495"/>
        <w:gridCol w:w="660"/>
        <w:gridCol w:w="585"/>
        <w:gridCol w:w="615"/>
        <w:gridCol w:w="615"/>
        <w:gridCol w:w="480"/>
      </w:tblGrid>
      <w:tr w14:paraId="54FA7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2590" w:type="dxa"/>
            <w:gridSpan w:val="5"/>
            <w:tcBorders>
              <w:top w:val="single" w:color="auto" w:sz="8" w:space="0"/>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677863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行政复议</w:t>
            </w:r>
          </w:p>
        </w:tc>
        <w:tc>
          <w:tcPr>
            <w:tcW w:w="5683" w:type="dxa"/>
            <w:gridSpan w:val="10"/>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46C09A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行政诉讼</w:t>
            </w:r>
          </w:p>
        </w:tc>
      </w:tr>
      <w:tr w14:paraId="0B768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63" w:type="dxa"/>
            <w:vMerge w:val="restart"/>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CF3D94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结果维持</w:t>
            </w:r>
          </w:p>
        </w:tc>
        <w:tc>
          <w:tcPr>
            <w:tcW w:w="540" w:type="dxa"/>
            <w:vMerge w:val="restart"/>
            <w:tcBorders>
              <w:top w:val="nil"/>
              <w:left w:val="nil"/>
              <w:bottom w:val="single" w:color="auto" w:sz="8" w:space="0"/>
              <w:right w:val="single" w:color="auto" w:sz="8" w:space="0"/>
            </w:tcBorders>
            <w:shd w:val="clear" w:color="auto" w:fill="E6F4FF"/>
            <w:noWrap w:val="0"/>
            <w:tcMar>
              <w:left w:w="108" w:type="dxa"/>
              <w:right w:w="108" w:type="dxa"/>
            </w:tcMar>
            <w:vAlign w:val="top"/>
          </w:tcPr>
          <w:p w14:paraId="11B3B7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结果纠正</w:t>
            </w:r>
          </w:p>
        </w:tc>
        <w:tc>
          <w:tcPr>
            <w:tcW w:w="540" w:type="dxa"/>
            <w:vMerge w:val="restart"/>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43BB14B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其他结果</w:t>
            </w:r>
          </w:p>
        </w:tc>
        <w:tc>
          <w:tcPr>
            <w:tcW w:w="525" w:type="dxa"/>
            <w:vMerge w:val="restart"/>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0A9B52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尚未审结</w:t>
            </w:r>
          </w:p>
        </w:tc>
        <w:tc>
          <w:tcPr>
            <w:tcW w:w="422" w:type="dxa"/>
            <w:vMerge w:val="restart"/>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38C91C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总计</w:t>
            </w:r>
          </w:p>
        </w:tc>
        <w:tc>
          <w:tcPr>
            <w:tcW w:w="2728" w:type="dxa"/>
            <w:gridSpan w:val="5"/>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3130306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未经复议直接起诉</w:t>
            </w:r>
          </w:p>
        </w:tc>
        <w:tc>
          <w:tcPr>
            <w:tcW w:w="2955" w:type="dxa"/>
            <w:gridSpan w:val="5"/>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447D80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复议后起诉</w:t>
            </w:r>
          </w:p>
        </w:tc>
      </w:tr>
      <w:tr w14:paraId="491E7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63" w:type="dxa"/>
            <w:vMerge w:val="continue"/>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3CAD903D">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540" w:type="dxa"/>
            <w:vMerge w:val="continue"/>
            <w:tcBorders>
              <w:top w:val="nil"/>
              <w:left w:val="nil"/>
              <w:bottom w:val="single" w:color="auto" w:sz="8" w:space="0"/>
              <w:right w:val="single" w:color="auto" w:sz="8" w:space="0"/>
            </w:tcBorders>
            <w:shd w:val="clear" w:color="auto" w:fill="E6F4FF"/>
            <w:noWrap w:val="0"/>
            <w:tcMar>
              <w:left w:w="108" w:type="dxa"/>
              <w:right w:w="108" w:type="dxa"/>
            </w:tcMar>
            <w:vAlign w:val="top"/>
          </w:tcPr>
          <w:p w14:paraId="20AA104F">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540" w:type="dxa"/>
            <w:vMerge w:val="continue"/>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251259EB">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525" w:type="dxa"/>
            <w:vMerge w:val="continue"/>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297B8B92">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422" w:type="dxa"/>
            <w:vMerge w:val="continue"/>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04CF206F">
            <w:pPr>
              <w:keepNext w:val="0"/>
              <w:keepLines w:val="0"/>
              <w:pageBreakBefore w:val="0"/>
              <w:kinsoku/>
              <w:wordWrap w:val="0"/>
              <w:overflowPunct/>
              <w:topLinePunct/>
              <w:autoSpaceDE/>
              <w:autoSpaceDN/>
              <w:bidi w:val="0"/>
              <w:adjustRightInd/>
              <w:snapToGrid/>
              <w:spacing w:line="600" w:lineRule="exact"/>
              <w:jc w:val="center"/>
              <w:rPr>
                <w:rFonts w:hint="eastAsia" w:ascii="微软雅黑" w:hAnsi="微软雅黑" w:eastAsia="微软雅黑" w:cs="微软雅黑"/>
                <w:color w:val="000000" w:themeColor="text1"/>
                <w:kern w:val="2"/>
                <w:sz w:val="15"/>
                <w:szCs w:val="15"/>
                <w:u w:val="none"/>
                <w:lang w:val="en-US" w:eastAsia="zh-CN" w:bidi="ar-SA"/>
              </w:rPr>
            </w:pPr>
          </w:p>
        </w:tc>
        <w:tc>
          <w:tcPr>
            <w:tcW w:w="568"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12D3564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结果维持</w:t>
            </w:r>
          </w:p>
        </w:tc>
        <w:tc>
          <w:tcPr>
            <w:tcW w:w="58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77DA47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结果纠正</w:t>
            </w:r>
          </w:p>
        </w:tc>
        <w:tc>
          <w:tcPr>
            <w:tcW w:w="540"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55F5D17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其他结果</w:t>
            </w:r>
          </w:p>
        </w:tc>
        <w:tc>
          <w:tcPr>
            <w:tcW w:w="540"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700268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尚未审结</w:t>
            </w:r>
          </w:p>
        </w:tc>
        <w:tc>
          <w:tcPr>
            <w:tcW w:w="495"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2B019B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总计</w:t>
            </w:r>
          </w:p>
        </w:tc>
        <w:tc>
          <w:tcPr>
            <w:tcW w:w="660"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4A45B9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结果维持</w:t>
            </w:r>
          </w:p>
        </w:tc>
        <w:tc>
          <w:tcPr>
            <w:tcW w:w="585"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703BE3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结果纠正</w:t>
            </w:r>
          </w:p>
        </w:tc>
        <w:tc>
          <w:tcPr>
            <w:tcW w:w="615"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24318C6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其他结果</w:t>
            </w:r>
          </w:p>
        </w:tc>
        <w:tc>
          <w:tcPr>
            <w:tcW w:w="615"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center"/>
          </w:tcPr>
          <w:p w14:paraId="765275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尚未审结</w:t>
            </w:r>
          </w:p>
        </w:tc>
        <w:tc>
          <w:tcPr>
            <w:tcW w:w="480" w:type="dxa"/>
            <w:tcBorders>
              <w:top w:val="single" w:color="auto" w:sz="8" w:space="0"/>
              <w:left w:val="nil"/>
              <w:bottom w:val="single" w:color="auto" w:sz="8" w:space="0"/>
              <w:right w:val="single" w:color="auto" w:sz="8" w:space="0"/>
            </w:tcBorders>
            <w:shd w:val="clear" w:color="auto" w:fill="E6F4FF"/>
            <w:noWrap w:val="0"/>
            <w:tcMar>
              <w:left w:w="108" w:type="dxa"/>
              <w:right w:w="108" w:type="dxa"/>
            </w:tcMar>
            <w:vAlign w:val="top"/>
          </w:tcPr>
          <w:p w14:paraId="77B33C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eastAsia"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0"/>
                <w:sz w:val="15"/>
                <w:szCs w:val="15"/>
                <w:u w:val="none"/>
                <w:lang w:val="en-US" w:eastAsia="zh-CN" w:bidi="ar"/>
              </w:rPr>
              <w:t>总计</w:t>
            </w:r>
          </w:p>
        </w:tc>
      </w:tr>
      <w:tr w14:paraId="13ECB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63" w:type="dxa"/>
            <w:tcBorders>
              <w:top w:val="nil"/>
              <w:left w:val="single" w:color="auto" w:sz="8" w:space="0"/>
              <w:bottom w:val="single" w:color="auto" w:sz="8" w:space="0"/>
              <w:right w:val="single" w:color="auto" w:sz="8" w:space="0"/>
            </w:tcBorders>
            <w:shd w:val="clear" w:color="auto" w:fill="E6F4FF"/>
            <w:noWrap w:val="0"/>
            <w:tcMar>
              <w:left w:w="108" w:type="dxa"/>
              <w:right w:w="108" w:type="dxa"/>
            </w:tcMar>
            <w:vAlign w:val="top"/>
          </w:tcPr>
          <w:p w14:paraId="4E3233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4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549EF0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4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3FC007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2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5DCC09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422"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12B1D49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68"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27825DC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8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4F765E0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4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20EF9A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4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5DF301D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49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1A7539F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66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05CEC2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58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7D29433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61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166F86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615"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143467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c>
          <w:tcPr>
            <w:tcW w:w="480" w:type="dxa"/>
            <w:tcBorders>
              <w:top w:val="nil"/>
              <w:left w:val="nil"/>
              <w:bottom w:val="single" w:color="auto" w:sz="8" w:space="0"/>
              <w:right w:val="single" w:color="auto" w:sz="8" w:space="0"/>
            </w:tcBorders>
            <w:shd w:val="clear" w:color="auto" w:fill="E6F4FF"/>
            <w:noWrap w:val="0"/>
            <w:tcMar>
              <w:left w:w="108" w:type="dxa"/>
              <w:right w:w="108" w:type="dxa"/>
            </w:tcMar>
            <w:vAlign w:val="top"/>
          </w:tcPr>
          <w:p w14:paraId="0202DF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autoSpaceDE/>
              <w:autoSpaceDN/>
              <w:bidi w:val="0"/>
              <w:adjustRightInd/>
              <w:snapToGrid/>
              <w:spacing w:before="0" w:beforeAutospacing="0" w:after="0" w:afterAutospacing="0" w:line="600" w:lineRule="exact"/>
              <w:ind w:left="0" w:right="0" w:firstLine="0"/>
              <w:jc w:val="center"/>
              <w:textAlignment w:val="top"/>
              <w:rPr>
                <w:rFonts w:hint="default" w:ascii="微软雅黑" w:hAnsi="微软雅黑" w:eastAsia="微软雅黑" w:cs="微软雅黑"/>
                <w:color w:val="000000" w:themeColor="text1"/>
                <w:kern w:val="2"/>
                <w:sz w:val="15"/>
                <w:szCs w:val="15"/>
                <w:u w:val="none"/>
                <w:lang w:val="en-US" w:eastAsia="zh-CN" w:bidi="ar-SA"/>
              </w:rPr>
            </w:pPr>
            <w:r>
              <w:rPr>
                <w:rFonts w:hint="eastAsia" w:ascii="微软雅黑" w:hAnsi="微软雅黑" w:eastAsia="微软雅黑" w:cs="微软雅黑"/>
                <w:color w:val="000000" w:themeColor="text1"/>
                <w:kern w:val="2"/>
                <w:sz w:val="15"/>
                <w:szCs w:val="15"/>
                <w:u w:val="none"/>
                <w:lang w:val="en-US" w:eastAsia="zh-CN" w:bidi="ar-SA"/>
              </w:rPr>
              <w:t>0</w:t>
            </w:r>
          </w:p>
        </w:tc>
      </w:tr>
    </w:tbl>
    <w:p w14:paraId="0FBB1800">
      <w:pPr>
        <w:keepNext w:val="0"/>
        <w:keepLines w:val="0"/>
        <w:pageBreakBefore w:val="0"/>
        <w:widowControl w:val="0"/>
        <w:kinsoku/>
        <w:wordWrap w:val="0"/>
        <w:overflowPunct/>
        <w:topLinePunct/>
        <w:autoSpaceDE/>
        <w:autoSpaceDN/>
        <w:bidi w:val="0"/>
        <w:adjustRightInd/>
        <w:snapToGrid/>
        <w:spacing w:line="600" w:lineRule="exact"/>
        <w:ind w:firstLine="640" w:firstLineChars="200"/>
        <w:jc w:val="both"/>
        <w:textAlignment w:val="auto"/>
        <w:rPr>
          <w:rFonts w:hint="eastAsia" w:ascii="黑体" w:hAnsi="黑体" w:eastAsia="黑体" w:cs="黑体"/>
          <w:color w:val="000000" w:themeColor="text1"/>
          <w:sz w:val="32"/>
          <w:szCs w:val="32"/>
          <w:u w:val="none"/>
          <w:lang w:eastAsia="zh-CN"/>
        </w:rPr>
      </w:pPr>
      <w:r>
        <w:rPr>
          <w:rFonts w:hint="eastAsia" w:ascii="黑体" w:hAnsi="黑体" w:eastAsia="黑体" w:cs="黑体"/>
          <w:color w:val="000000" w:themeColor="text1"/>
          <w:sz w:val="32"/>
          <w:szCs w:val="32"/>
          <w:u w:val="none"/>
        </w:rPr>
        <w:t>五、存在的主要问题及改进</w:t>
      </w:r>
      <w:r>
        <w:rPr>
          <w:rFonts w:hint="eastAsia" w:ascii="黑体" w:hAnsi="黑体" w:eastAsia="黑体" w:cs="黑体"/>
          <w:color w:val="000000" w:themeColor="text1"/>
          <w:sz w:val="32"/>
          <w:szCs w:val="32"/>
          <w:u w:val="none"/>
          <w:lang w:eastAsia="zh-CN"/>
        </w:rPr>
        <w:t>情况</w:t>
      </w:r>
    </w:p>
    <w:p w14:paraId="6D97C345">
      <w:pPr>
        <w:pStyle w:val="2"/>
        <w:widowControl/>
        <w:shd w:val="clear" w:color="auto" w:fill="FFFFFF"/>
        <w:spacing w:before="0" w:beforeAutospacing="0" w:after="0" w:afterAutospacing="0" w:line="579" w:lineRule="exact"/>
        <w:ind w:firstLine="645"/>
        <w:jc w:val="both"/>
        <w:rPr>
          <w:rFonts w:hint="eastAsia" w:ascii="仿宋_GB2312" w:hAnsi="仿宋_GB2312" w:eastAsia="仿宋_GB2312" w:cs="仿宋_GB2312"/>
          <w:color w:val="333333"/>
          <w:sz w:val="32"/>
          <w:szCs w:val="32"/>
          <w:shd w:val="clear" w:color="auto" w:fill="FFFFFF"/>
        </w:rPr>
      </w:pPr>
      <w:r>
        <w:rPr>
          <w:rFonts w:hint="eastAsia" w:ascii="仿宋_GB2312" w:hAnsi="仿宋_GB2312" w:eastAsia="仿宋_GB2312" w:cs="仿宋_GB2312"/>
          <w:color w:val="333333"/>
          <w:sz w:val="32"/>
          <w:szCs w:val="32"/>
          <w:shd w:val="clear" w:color="auto" w:fill="FFFFFF"/>
        </w:rPr>
        <w:t>2025年，我局认真落实政府信息公开条例相关规定，稳步推进政务信息公开各项工作，取得了一定成效。同时，对照新时代政务公开工作的要求，我们认识到仍存在一些需要持续提升和完善的方面，主要包括：一是信息公开的时效性仍有持续提升空间；二是政策解读的覆盖面和形式丰富性有待进一步拓展，特别是对本部门制定出台的政策及规范性文件的解读力度需继续加大；</w:t>
      </w:r>
    </w:p>
    <w:p w14:paraId="570B47F1">
      <w:pPr>
        <w:pStyle w:val="2"/>
        <w:widowControl/>
        <w:shd w:val="clear" w:color="auto" w:fill="FFFFFF"/>
        <w:spacing w:before="0" w:beforeAutospacing="0" w:after="0" w:afterAutospacing="0" w:line="579" w:lineRule="exact"/>
        <w:ind w:firstLine="645"/>
        <w:jc w:val="both"/>
        <w:rPr>
          <w:rFonts w:hint="eastAsia" w:ascii="仿宋_GB2312" w:hAnsi="仿宋_GB2312" w:eastAsia="仿宋_GB2312" w:cs="仿宋_GB2312"/>
          <w:color w:val="2B2B2B"/>
          <w:sz w:val="32"/>
          <w:szCs w:val="32"/>
        </w:rPr>
      </w:pPr>
      <w:r>
        <w:rPr>
          <w:rFonts w:hint="eastAsia" w:ascii="仿宋_GB2312" w:hAnsi="仿宋_GB2312" w:eastAsia="仿宋_GB2312" w:cs="仿宋_GB2312"/>
          <w:color w:val="333333"/>
          <w:sz w:val="32"/>
          <w:szCs w:val="32"/>
          <w:shd w:val="clear" w:color="auto" w:fill="FFFFFF"/>
        </w:rPr>
        <w:t>为进一步提升政务公开工作质效，下一步我局将重点采取以下措施：一是强化机制保障，建立健全信息生成与发布同步机制，压实责任，进一步提升信息公开的及时性和规范性。二是着力加强政策解读工作，积极采用图文、列表、问答等多种形式，通过多渠道进行解读与答疑，提升政策知晓度。</w:t>
      </w:r>
    </w:p>
    <w:p w14:paraId="49DE8FB9">
      <w:pPr>
        <w:keepNext w:val="0"/>
        <w:keepLines w:val="0"/>
        <w:pageBreakBefore w:val="0"/>
        <w:widowControl w:val="0"/>
        <w:kinsoku/>
        <w:wordWrap w:val="0"/>
        <w:overflowPunct/>
        <w:topLinePunct/>
        <w:autoSpaceDE/>
        <w:autoSpaceDN/>
        <w:bidi w:val="0"/>
        <w:adjustRightInd/>
        <w:snapToGrid/>
        <w:spacing w:line="600" w:lineRule="exact"/>
        <w:ind w:firstLine="640" w:firstLineChars="200"/>
        <w:jc w:val="both"/>
        <w:textAlignment w:val="auto"/>
        <w:rPr>
          <w:rFonts w:hint="eastAsia" w:ascii="黑体" w:hAnsi="黑体" w:eastAsia="黑体" w:cs="黑体"/>
          <w:color w:val="000000" w:themeColor="text1"/>
          <w:sz w:val="32"/>
          <w:szCs w:val="32"/>
          <w:u w:val="none"/>
          <w:lang w:eastAsia="zh-CN"/>
        </w:rPr>
      </w:pPr>
      <w:r>
        <w:rPr>
          <w:rFonts w:hint="eastAsia" w:ascii="黑体" w:hAnsi="黑体" w:eastAsia="黑体" w:cs="黑体"/>
          <w:color w:val="000000" w:themeColor="text1"/>
          <w:sz w:val="32"/>
          <w:szCs w:val="32"/>
          <w:u w:val="none"/>
          <w:lang w:eastAsia="zh-CN"/>
        </w:rPr>
        <w:t>六、其他需要报告的事项</w:t>
      </w:r>
    </w:p>
    <w:p w14:paraId="2150533F">
      <w:pPr>
        <w:keepNext w:val="0"/>
        <w:keepLines w:val="0"/>
        <w:pageBreakBefore w:val="0"/>
        <w:widowControl w:val="0"/>
        <w:kinsoku/>
        <w:wordWrap w:val="0"/>
        <w:overflowPunct/>
        <w:topLinePunct/>
        <w:autoSpaceDE/>
        <w:autoSpaceDN/>
        <w:bidi w:val="0"/>
        <w:adjustRightInd/>
        <w:snapToGrid/>
        <w:spacing w:afterLines="100" w:line="600" w:lineRule="exact"/>
        <w:ind w:firstLine="640" w:firstLineChars="200"/>
        <w:jc w:val="both"/>
        <w:textAlignment w:val="auto"/>
        <w:rPr>
          <w:rFonts w:hint="default" w:ascii="仿宋_GB2312" w:hAnsi="仿宋_GB2312" w:eastAsia="仿宋_GB2312" w:cs="仿宋_GB2312"/>
          <w:b w:val="0"/>
          <w:bCs/>
          <w:color w:val="000000" w:themeColor="text1"/>
          <w:sz w:val="32"/>
          <w:szCs w:val="32"/>
          <w:u w:val="none"/>
          <w:lang w:val="en-US" w:eastAsia="zh-CN"/>
        </w:rPr>
      </w:pPr>
      <w:r>
        <w:rPr>
          <w:rFonts w:hint="eastAsia" w:ascii="仿宋_GB2312" w:hAnsi="仿宋_GB2312" w:eastAsia="仿宋_GB2312" w:cs="仿宋_GB2312"/>
          <w:color w:val="000000" w:themeColor="text1"/>
          <w:sz w:val="32"/>
          <w:szCs w:val="32"/>
          <w:u w:val="none"/>
          <w:lang w:val="en-US" w:eastAsia="zh-CN"/>
        </w:rPr>
        <w:t>无</w:t>
      </w:r>
    </w:p>
    <w:sectPr>
      <w:pgSz w:w="11906" w:h="16838"/>
      <w:pgMar w:top="1440" w:right="1800" w:bottom="1440" w:left="1800" w:header="851" w:footer="99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doNotUseIndentAsNumberingTabStop/>
    <w:splitPgBreakAndParaMark/>
    <w:compatSetting w:name="compatibilityMode" w:uri="http://schemas.microsoft.com/office/word" w:val="12"/>
  </w:compat>
  <w:rsids>
    <w:rsidRoot w:val="00000000"/>
    <w:rsid w:val="019B3879"/>
    <w:rsid w:val="03525F75"/>
    <w:rsid w:val="04C3537C"/>
    <w:rsid w:val="082C4FE6"/>
    <w:rsid w:val="09497E1A"/>
    <w:rsid w:val="0AE4604C"/>
    <w:rsid w:val="0C2A3F33"/>
    <w:rsid w:val="1102722C"/>
    <w:rsid w:val="13FD3CDB"/>
    <w:rsid w:val="14727ABB"/>
    <w:rsid w:val="164B3423"/>
    <w:rsid w:val="194303E2"/>
    <w:rsid w:val="1AA255DC"/>
    <w:rsid w:val="1B7E3953"/>
    <w:rsid w:val="1EF83A1C"/>
    <w:rsid w:val="21540A87"/>
    <w:rsid w:val="23447230"/>
    <w:rsid w:val="23C67966"/>
    <w:rsid w:val="243948BB"/>
    <w:rsid w:val="276706EE"/>
    <w:rsid w:val="2AB033FD"/>
    <w:rsid w:val="2C531E16"/>
    <w:rsid w:val="2C7843EE"/>
    <w:rsid w:val="304C1E1A"/>
    <w:rsid w:val="308F3734"/>
    <w:rsid w:val="34C723D0"/>
    <w:rsid w:val="36266C69"/>
    <w:rsid w:val="379B19CA"/>
    <w:rsid w:val="38AD71CE"/>
    <w:rsid w:val="3AB65EB9"/>
    <w:rsid w:val="3B9C1EA7"/>
    <w:rsid w:val="3BC94845"/>
    <w:rsid w:val="3C461E13"/>
    <w:rsid w:val="3D3A1978"/>
    <w:rsid w:val="3D8449A1"/>
    <w:rsid w:val="3EFF6BEB"/>
    <w:rsid w:val="41967399"/>
    <w:rsid w:val="438D657A"/>
    <w:rsid w:val="47AF05F8"/>
    <w:rsid w:val="490B5F77"/>
    <w:rsid w:val="49995E49"/>
    <w:rsid w:val="4A9B157C"/>
    <w:rsid w:val="4B347BA3"/>
    <w:rsid w:val="4B3B68BB"/>
    <w:rsid w:val="4F500C29"/>
    <w:rsid w:val="518C7D22"/>
    <w:rsid w:val="525E07E9"/>
    <w:rsid w:val="52CF717F"/>
    <w:rsid w:val="57FE479E"/>
    <w:rsid w:val="58BB623D"/>
    <w:rsid w:val="5AD3266C"/>
    <w:rsid w:val="5B174C4F"/>
    <w:rsid w:val="5BA83AF9"/>
    <w:rsid w:val="5F956DB1"/>
    <w:rsid w:val="5FD7780E"/>
    <w:rsid w:val="5FDF3861"/>
    <w:rsid w:val="67544B35"/>
    <w:rsid w:val="688444FA"/>
    <w:rsid w:val="6A6E7666"/>
    <w:rsid w:val="6B797260"/>
    <w:rsid w:val="6BB12556"/>
    <w:rsid w:val="6DBD1686"/>
    <w:rsid w:val="6E8D72AA"/>
    <w:rsid w:val="705067E1"/>
    <w:rsid w:val="713E2ADE"/>
    <w:rsid w:val="71CF29F1"/>
    <w:rsid w:val="73013DC3"/>
    <w:rsid w:val="739B707D"/>
    <w:rsid w:val="74220495"/>
    <w:rsid w:val="77B51620"/>
    <w:rsid w:val="7A7430CC"/>
    <w:rsid w:val="7B362A78"/>
    <w:rsid w:val="7B5B428C"/>
    <w:rsid w:val="7C6F9252"/>
    <w:rsid w:val="7D75119E"/>
    <w:rsid w:val="7DB907DB"/>
    <w:rsid w:val="7ED00AED"/>
    <w:rsid w:val="7F022716"/>
    <w:rsid w:val="7FCFDF6E"/>
    <w:rsid w:val="7FEE3921"/>
    <w:rsid w:val="9F7C8CDD"/>
    <w:rsid w:val="BDCE409E"/>
    <w:rsid w:val="BFDDE0FD"/>
    <w:rsid w:val="F56E1613"/>
    <w:rsid w:val="F7FBAB2E"/>
    <w:rsid w:val="F8DCE3C9"/>
    <w:rsid w:val="FECCC453"/>
    <w:rsid w:val="FFFF6D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Pages>
  <Words>858</Words>
  <Characters>876</Characters>
  <TotalTime>32</TotalTime>
  <ScaleCrop>false</ScaleCrop>
  <LinksUpToDate>false</LinksUpToDate>
  <CharactersWithSpaces>876</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2024-01-30T06:16:00Z</dcterms:created>
  <dc:creator>uos</dc:creator>
  <cp:lastModifiedBy>解忧杂货铺</cp:lastModifiedBy>
  <cp:lastPrinted>2026-01-20T02:44:00Z</cp:lastPrinted>
  <dcterms:modified xsi:type="dcterms:W3CDTF">2026-01-26T07:08:45Z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423BD74C9911127DE9ADB06583C4FAB5</vt:lpwstr>
  </property>
  <property fmtid="{D5CDD505-2E9C-101B-9397-08002B2CF9AE}" pid="4" name="KSOTemplateDocerSaveRecord">
    <vt:lpwstr>eyJoZGlkIjoiYTc4Y2Y3MGFhMDNmZjdhMjgyMzk1MDM0MGQwYWFkN2UiLCJ1c2VySWQiOiI0ODY2NjE2NDgifQ==</vt:lpwstr>
  </property>
</Properties>
</file>