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bookmarkStart w:id="20" w:name="_GoBack"/>
    </w:p>
    <w:bookmarkEnd w:id="20"/>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181.97</w:t>
            </w:r>
          </w:p>
        </w:tc>
        <w:tc>
          <w:tcPr>
            <w:tcW w:w="4535" w:type="dxa"/>
            <w:vAlign w:val="center"/>
          </w:tcPr>
          <w:p>
            <w:pPr>
              <w:pStyle w:val="13"/>
            </w:pPr>
            <w:r>
              <w:t>一、一般公共服务支出</w:t>
            </w:r>
          </w:p>
        </w:tc>
        <w:tc>
          <w:tcPr>
            <w:tcW w:w="2126" w:type="dxa"/>
            <w:vAlign w:val="center"/>
          </w:tcPr>
          <w:p>
            <w:pPr>
              <w:pStyle w:val="12"/>
            </w:pPr>
            <w:r>
              <w:t>109.08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181.97</w:t>
            </w:r>
          </w:p>
        </w:tc>
        <w:tc>
          <w:tcPr>
            <w:tcW w:w="4535" w:type="dxa"/>
            <w:vAlign w:val="center"/>
          </w:tcPr>
          <w:p>
            <w:pPr>
              <w:pStyle w:val="15"/>
            </w:pPr>
            <w:r>
              <w:t>本年支出合计</w:t>
            </w:r>
          </w:p>
        </w:tc>
        <w:tc>
          <w:tcPr>
            <w:tcW w:w="2126" w:type="dxa"/>
            <w:vAlign w:val="center"/>
          </w:tcPr>
          <w:p>
            <w:pPr>
              <w:pStyle w:val="16"/>
            </w:pPr>
            <w:r>
              <w:t>181.97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181.97</w:t>
            </w:r>
          </w:p>
        </w:tc>
        <w:tc>
          <w:tcPr>
            <w:tcW w:w="4535" w:type="dxa"/>
            <w:vAlign w:val="center"/>
          </w:tcPr>
          <w:p>
            <w:pPr>
              <w:pStyle w:val="15"/>
            </w:pPr>
            <w:r>
              <w:t>支出总计</w:t>
            </w:r>
          </w:p>
        </w:tc>
        <w:tc>
          <w:tcPr>
            <w:tcW w:w="2126" w:type="dxa"/>
            <w:vAlign w:val="center"/>
          </w:tcPr>
          <w:p>
            <w:pPr>
              <w:pStyle w:val="16"/>
            </w:pPr>
            <w:r>
              <w:t>181.97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181.97</w:t>
            </w:r>
          </w:p>
        </w:tc>
        <w:tc>
          <w:tcPr>
            <w:tcW w:w="1134" w:type="dxa"/>
            <w:vAlign w:val="center"/>
          </w:tcPr>
          <w:p>
            <w:pPr>
              <w:pStyle w:val="16"/>
            </w:pPr>
            <w:r>
              <w:t>181.97</w:t>
            </w:r>
          </w:p>
        </w:tc>
        <w:tc>
          <w:tcPr>
            <w:tcW w:w="1134" w:type="dxa"/>
            <w:vAlign w:val="center"/>
          </w:tcPr>
          <w:p>
            <w:pPr>
              <w:pStyle w:val="16"/>
            </w:pPr>
            <w:r>
              <w:t>181.97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109.08</w:t>
            </w:r>
          </w:p>
        </w:tc>
        <w:tc>
          <w:tcPr>
            <w:tcW w:w="1134" w:type="dxa"/>
            <w:vAlign w:val="center"/>
          </w:tcPr>
          <w:p>
            <w:pPr>
              <w:pStyle w:val="12"/>
            </w:pPr>
            <w:r>
              <w:t>109.08</w:t>
            </w:r>
          </w:p>
        </w:tc>
        <w:tc>
          <w:tcPr>
            <w:tcW w:w="1134" w:type="dxa"/>
            <w:vAlign w:val="center"/>
          </w:tcPr>
          <w:p>
            <w:pPr>
              <w:pStyle w:val="12"/>
            </w:pPr>
            <w:r>
              <w:t>109.08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r>
              <w:t>0.84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20131</w:t>
            </w:r>
          </w:p>
        </w:tc>
        <w:tc>
          <w:tcPr>
            <w:tcW w:w="1559" w:type="dxa"/>
            <w:vAlign w:val="center"/>
          </w:tcPr>
          <w:p>
            <w:pPr>
              <w:pStyle w:val="13"/>
            </w:pPr>
            <w:r>
              <w:t>党委办公厅（室）及相关机构事务</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2013101</w:t>
            </w:r>
          </w:p>
        </w:tc>
        <w:tc>
          <w:tcPr>
            <w:tcW w:w="1559" w:type="dxa"/>
            <w:vAlign w:val="center"/>
          </w:tcPr>
          <w:p>
            <w:pPr>
              <w:pStyle w:val="13"/>
            </w:pPr>
            <w:r>
              <w:t>行政运行</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r>
              <w:t>108.24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r>
              <w:t>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35.19</w:t>
            </w:r>
          </w:p>
        </w:tc>
        <w:tc>
          <w:tcPr>
            <w:tcW w:w="1134" w:type="dxa"/>
            <w:vAlign w:val="center"/>
          </w:tcPr>
          <w:p>
            <w:pPr>
              <w:pStyle w:val="12"/>
            </w:pPr>
            <w:r>
              <w:t>35.19</w:t>
            </w:r>
          </w:p>
        </w:tc>
        <w:tc>
          <w:tcPr>
            <w:tcW w:w="1134" w:type="dxa"/>
            <w:vAlign w:val="center"/>
          </w:tcPr>
          <w:p>
            <w:pPr>
              <w:pStyle w:val="12"/>
            </w:pPr>
            <w:r>
              <w:t>35.19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r>
              <w:t>10.70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r>
              <w:t>7.64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r>
              <w:t>10.36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181.97</w:t>
            </w:r>
          </w:p>
        </w:tc>
        <w:tc>
          <w:tcPr>
            <w:tcW w:w="1361" w:type="dxa"/>
            <w:vAlign w:val="center"/>
          </w:tcPr>
          <w:p>
            <w:pPr>
              <w:pStyle w:val="16"/>
            </w:pPr>
            <w:r>
              <w:t>181.13</w:t>
            </w:r>
          </w:p>
        </w:tc>
        <w:tc>
          <w:tcPr>
            <w:tcW w:w="1361" w:type="dxa"/>
            <w:vAlign w:val="center"/>
          </w:tcPr>
          <w:p>
            <w:pPr>
              <w:pStyle w:val="16"/>
            </w:pPr>
            <w:r>
              <w:t>0.84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109.08</w:t>
            </w:r>
          </w:p>
        </w:tc>
        <w:tc>
          <w:tcPr>
            <w:tcW w:w="1361" w:type="dxa"/>
            <w:vAlign w:val="center"/>
          </w:tcPr>
          <w:p>
            <w:pPr>
              <w:pStyle w:val="12"/>
            </w:pPr>
            <w:r>
              <w:t>108.24</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r>
              <w:t>0.84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20131</w:t>
            </w:r>
          </w:p>
        </w:tc>
        <w:tc>
          <w:tcPr>
            <w:tcW w:w="4535" w:type="dxa"/>
            <w:vAlign w:val="center"/>
          </w:tcPr>
          <w:p>
            <w:pPr>
              <w:pStyle w:val="13"/>
            </w:pPr>
            <w:r>
              <w:t>党委办公厅（室）及相关机构事务</w:t>
            </w:r>
          </w:p>
        </w:tc>
        <w:tc>
          <w:tcPr>
            <w:tcW w:w="1361" w:type="dxa"/>
            <w:vAlign w:val="center"/>
          </w:tcPr>
          <w:p>
            <w:pPr>
              <w:pStyle w:val="12"/>
            </w:pPr>
            <w:r>
              <w:t>108.24</w:t>
            </w:r>
          </w:p>
        </w:tc>
        <w:tc>
          <w:tcPr>
            <w:tcW w:w="1361" w:type="dxa"/>
            <w:vAlign w:val="center"/>
          </w:tcPr>
          <w:p>
            <w:pPr>
              <w:pStyle w:val="12"/>
            </w:pPr>
            <w:r>
              <w:t>108.24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2013101</w:t>
            </w:r>
          </w:p>
        </w:tc>
        <w:tc>
          <w:tcPr>
            <w:tcW w:w="4535" w:type="dxa"/>
            <w:vAlign w:val="center"/>
          </w:tcPr>
          <w:p>
            <w:pPr>
              <w:pStyle w:val="13"/>
            </w:pPr>
            <w:r>
              <w:t>行政运行</w:t>
            </w:r>
          </w:p>
        </w:tc>
        <w:tc>
          <w:tcPr>
            <w:tcW w:w="1361" w:type="dxa"/>
            <w:vAlign w:val="center"/>
          </w:tcPr>
          <w:p>
            <w:pPr>
              <w:pStyle w:val="12"/>
            </w:pPr>
            <w:r>
              <w:t>108.24</w:t>
            </w:r>
          </w:p>
        </w:tc>
        <w:tc>
          <w:tcPr>
            <w:tcW w:w="1361" w:type="dxa"/>
            <w:vAlign w:val="center"/>
          </w:tcPr>
          <w:p>
            <w:pPr>
              <w:pStyle w:val="12"/>
            </w:pPr>
            <w:r>
              <w:t>108.24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54.89</w:t>
            </w:r>
          </w:p>
        </w:tc>
        <w:tc>
          <w:tcPr>
            <w:tcW w:w="1361" w:type="dxa"/>
            <w:vAlign w:val="center"/>
          </w:tcPr>
          <w:p>
            <w:pPr>
              <w:pStyle w:val="12"/>
            </w:pPr>
            <w:r>
              <w:t>54.89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54.89</w:t>
            </w:r>
          </w:p>
        </w:tc>
        <w:tc>
          <w:tcPr>
            <w:tcW w:w="1361" w:type="dxa"/>
            <w:vAlign w:val="center"/>
          </w:tcPr>
          <w:p>
            <w:pPr>
              <w:pStyle w:val="12"/>
            </w:pPr>
            <w:r>
              <w:t>54.89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35.19</w:t>
            </w:r>
          </w:p>
        </w:tc>
        <w:tc>
          <w:tcPr>
            <w:tcW w:w="1361" w:type="dxa"/>
            <w:vAlign w:val="center"/>
          </w:tcPr>
          <w:p>
            <w:pPr>
              <w:pStyle w:val="12"/>
            </w:pPr>
            <w:r>
              <w:t>35.19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10.70</w:t>
            </w:r>
          </w:p>
        </w:tc>
        <w:tc>
          <w:tcPr>
            <w:tcW w:w="1361" w:type="dxa"/>
            <w:vAlign w:val="center"/>
          </w:tcPr>
          <w:p>
            <w:pPr>
              <w:pStyle w:val="12"/>
            </w:pPr>
            <w:r>
              <w:t>10.70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7.64</w:t>
            </w:r>
          </w:p>
        </w:tc>
        <w:tc>
          <w:tcPr>
            <w:tcW w:w="1361" w:type="dxa"/>
            <w:vAlign w:val="center"/>
          </w:tcPr>
          <w:p>
            <w:pPr>
              <w:pStyle w:val="12"/>
            </w:pPr>
            <w:r>
              <w:t>7.64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10.36</w:t>
            </w:r>
          </w:p>
        </w:tc>
        <w:tc>
          <w:tcPr>
            <w:tcW w:w="1361" w:type="dxa"/>
            <w:vAlign w:val="center"/>
          </w:tcPr>
          <w:p>
            <w:pPr>
              <w:pStyle w:val="12"/>
            </w:pPr>
            <w:r>
              <w:t>10.36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181.97</w:t>
            </w:r>
          </w:p>
        </w:tc>
        <w:tc>
          <w:tcPr>
            <w:tcW w:w="3402" w:type="dxa"/>
            <w:vAlign w:val="center"/>
          </w:tcPr>
          <w:p>
            <w:pPr>
              <w:pStyle w:val="13"/>
            </w:pPr>
            <w:r>
              <w:t>一、一般公共服务支出</w:t>
            </w:r>
          </w:p>
        </w:tc>
        <w:tc>
          <w:tcPr>
            <w:tcW w:w="1474" w:type="dxa"/>
            <w:vAlign w:val="center"/>
          </w:tcPr>
          <w:p>
            <w:pPr>
              <w:pStyle w:val="12"/>
            </w:pPr>
            <w:r>
              <w:t>109.08</w:t>
            </w:r>
          </w:p>
        </w:tc>
        <w:tc>
          <w:tcPr>
            <w:tcW w:w="1474" w:type="dxa"/>
            <w:vAlign w:val="center"/>
          </w:tcPr>
          <w:p>
            <w:pPr>
              <w:pStyle w:val="12"/>
            </w:pPr>
            <w:r>
              <w:t>109.08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54.89</w:t>
            </w:r>
          </w:p>
        </w:tc>
        <w:tc>
          <w:tcPr>
            <w:tcW w:w="1474" w:type="dxa"/>
            <w:vAlign w:val="center"/>
          </w:tcPr>
          <w:p>
            <w:pPr>
              <w:pStyle w:val="12"/>
            </w:pPr>
            <w:r>
              <w:t>54.89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7.64</w:t>
            </w:r>
          </w:p>
        </w:tc>
        <w:tc>
          <w:tcPr>
            <w:tcW w:w="1474" w:type="dxa"/>
            <w:vAlign w:val="center"/>
          </w:tcPr>
          <w:p>
            <w:pPr>
              <w:pStyle w:val="12"/>
            </w:pPr>
            <w:r>
              <w:t>7.64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10.36</w:t>
            </w:r>
          </w:p>
        </w:tc>
        <w:tc>
          <w:tcPr>
            <w:tcW w:w="1474" w:type="dxa"/>
            <w:vAlign w:val="center"/>
          </w:tcPr>
          <w:p>
            <w:pPr>
              <w:pStyle w:val="12"/>
            </w:pPr>
            <w:r>
              <w:t>10.36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181.97</w:t>
            </w:r>
          </w:p>
        </w:tc>
        <w:tc>
          <w:tcPr>
            <w:tcW w:w="3402" w:type="dxa"/>
            <w:vAlign w:val="center"/>
          </w:tcPr>
          <w:p>
            <w:pPr>
              <w:pStyle w:val="15"/>
            </w:pPr>
            <w:r>
              <w:t>本年支出合计</w:t>
            </w:r>
          </w:p>
        </w:tc>
        <w:tc>
          <w:tcPr>
            <w:tcW w:w="1474" w:type="dxa"/>
            <w:vAlign w:val="center"/>
          </w:tcPr>
          <w:p>
            <w:pPr>
              <w:pStyle w:val="16"/>
            </w:pPr>
            <w:r>
              <w:t>181.97</w:t>
            </w:r>
          </w:p>
        </w:tc>
        <w:tc>
          <w:tcPr>
            <w:tcW w:w="1474" w:type="dxa"/>
            <w:vAlign w:val="center"/>
          </w:tcPr>
          <w:p>
            <w:pPr>
              <w:pStyle w:val="16"/>
            </w:pPr>
            <w:r>
              <w:t>181.97</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181.97</w:t>
            </w:r>
          </w:p>
        </w:tc>
        <w:tc>
          <w:tcPr>
            <w:tcW w:w="3402" w:type="dxa"/>
            <w:vAlign w:val="center"/>
          </w:tcPr>
          <w:p>
            <w:pPr>
              <w:pStyle w:val="15"/>
            </w:pPr>
            <w:r>
              <w:t>支出总计</w:t>
            </w:r>
          </w:p>
        </w:tc>
        <w:tc>
          <w:tcPr>
            <w:tcW w:w="1474" w:type="dxa"/>
            <w:vAlign w:val="center"/>
          </w:tcPr>
          <w:p>
            <w:pPr>
              <w:pStyle w:val="16"/>
            </w:pPr>
            <w:r>
              <w:t>181.97</w:t>
            </w:r>
          </w:p>
        </w:tc>
        <w:tc>
          <w:tcPr>
            <w:tcW w:w="1474" w:type="dxa"/>
            <w:vAlign w:val="center"/>
          </w:tcPr>
          <w:p>
            <w:pPr>
              <w:pStyle w:val="16"/>
            </w:pPr>
            <w:r>
              <w:t>181.97</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181.97</w:t>
            </w:r>
          </w:p>
        </w:tc>
        <w:tc>
          <w:tcPr>
            <w:tcW w:w="2551" w:type="dxa"/>
            <w:vAlign w:val="center"/>
          </w:tcPr>
          <w:p>
            <w:pPr>
              <w:pStyle w:val="16"/>
            </w:pPr>
            <w:r>
              <w:t>181.13</w:t>
            </w:r>
          </w:p>
        </w:tc>
        <w:tc>
          <w:tcPr>
            <w:tcW w:w="2551" w:type="dxa"/>
            <w:vAlign w:val="center"/>
          </w:tcPr>
          <w:p>
            <w:pPr>
              <w:pStyle w:val="16"/>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109.08</w:t>
            </w:r>
          </w:p>
        </w:tc>
        <w:tc>
          <w:tcPr>
            <w:tcW w:w="2551" w:type="dxa"/>
            <w:vAlign w:val="center"/>
          </w:tcPr>
          <w:p>
            <w:pPr>
              <w:pStyle w:val="12"/>
            </w:pPr>
            <w:r>
              <w:t>108.24</w:t>
            </w: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0.84</w:t>
            </w:r>
          </w:p>
        </w:tc>
        <w:tc>
          <w:tcPr>
            <w:tcW w:w="2551" w:type="dxa"/>
            <w:vAlign w:val="center"/>
          </w:tcPr>
          <w:p>
            <w:pPr>
              <w:pStyle w:val="12"/>
            </w:pPr>
          </w:p>
        </w:tc>
        <w:tc>
          <w:tcPr>
            <w:tcW w:w="2551" w:type="dxa"/>
            <w:vAlign w:val="center"/>
          </w:tcPr>
          <w:p>
            <w:pPr>
              <w:pStyle w:val="12"/>
            </w:pPr>
            <w:r>
              <w:t>0.84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20131</w:t>
            </w:r>
          </w:p>
        </w:tc>
        <w:tc>
          <w:tcPr>
            <w:tcW w:w="4535" w:type="dxa"/>
            <w:vAlign w:val="center"/>
          </w:tcPr>
          <w:p>
            <w:pPr>
              <w:pStyle w:val="13"/>
            </w:pPr>
            <w:r>
              <w:t>党委办公厅（室）及相关机构事务</w:t>
            </w:r>
          </w:p>
        </w:tc>
        <w:tc>
          <w:tcPr>
            <w:tcW w:w="2551" w:type="dxa"/>
            <w:vAlign w:val="center"/>
          </w:tcPr>
          <w:p>
            <w:pPr>
              <w:pStyle w:val="12"/>
            </w:pPr>
            <w:r>
              <w:t>108.24</w:t>
            </w:r>
          </w:p>
        </w:tc>
        <w:tc>
          <w:tcPr>
            <w:tcW w:w="2551" w:type="dxa"/>
            <w:vAlign w:val="center"/>
          </w:tcPr>
          <w:p>
            <w:pPr>
              <w:pStyle w:val="12"/>
            </w:pPr>
            <w:r>
              <w:t>108.24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2013101</w:t>
            </w:r>
          </w:p>
        </w:tc>
        <w:tc>
          <w:tcPr>
            <w:tcW w:w="4535" w:type="dxa"/>
            <w:vAlign w:val="center"/>
          </w:tcPr>
          <w:p>
            <w:pPr>
              <w:pStyle w:val="13"/>
            </w:pPr>
            <w:r>
              <w:t>行政运行</w:t>
            </w:r>
          </w:p>
        </w:tc>
        <w:tc>
          <w:tcPr>
            <w:tcW w:w="2551" w:type="dxa"/>
            <w:vAlign w:val="center"/>
          </w:tcPr>
          <w:p>
            <w:pPr>
              <w:pStyle w:val="12"/>
            </w:pPr>
            <w:r>
              <w:t>108.24</w:t>
            </w:r>
          </w:p>
        </w:tc>
        <w:tc>
          <w:tcPr>
            <w:tcW w:w="2551" w:type="dxa"/>
            <w:vAlign w:val="center"/>
          </w:tcPr>
          <w:p>
            <w:pPr>
              <w:pStyle w:val="12"/>
            </w:pPr>
            <w:r>
              <w:t>108.24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54.89</w:t>
            </w:r>
          </w:p>
        </w:tc>
        <w:tc>
          <w:tcPr>
            <w:tcW w:w="2551" w:type="dxa"/>
            <w:vAlign w:val="center"/>
          </w:tcPr>
          <w:p>
            <w:pPr>
              <w:pStyle w:val="12"/>
            </w:pPr>
            <w:r>
              <w:t>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54.89</w:t>
            </w:r>
          </w:p>
        </w:tc>
        <w:tc>
          <w:tcPr>
            <w:tcW w:w="2551" w:type="dxa"/>
            <w:vAlign w:val="center"/>
          </w:tcPr>
          <w:p>
            <w:pPr>
              <w:pStyle w:val="12"/>
            </w:pPr>
            <w:r>
              <w:t>54.89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35.19</w:t>
            </w:r>
          </w:p>
        </w:tc>
        <w:tc>
          <w:tcPr>
            <w:tcW w:w="2551" w:type="dxa"/>
            <w:vAlign w:val="center"/>
          </w:tcPr>
          <w:p>
            <w:pPr>
              <w:pStyle w:val="12"/>
            </w:pPr>
            <w:r>
              <w:t>35.19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7.64</w:t>
            </w:r>
          </w:p>
        </w:tc>
        <w:tc>
          <w:tcPr>
            <w:tcW w:w="2551" w:type="dxa"/>
            <w:vAlign w:val="center"/>
          </w:tcPr>
          <w:p>
            <w:pPr>
              <w:pStyle w:val="12"/>
            </w:pPr>
            <w:r>
              <w:t>7.64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181.13</w:t>
            </w:r>
          </w:p>
        </w:tc>
        <w:tc>
          <w:tcPr>
            <w:tcW w:w="2551" w:type="dxa"/>
            <w:vAlign w:val="center"/>
          </w:tcPr>
          <w:p>
            <w:pPr>
              <w:pStyle w:val="16"/>
            </w:pPr>
            <w:r>
              <w:t>166.36</w:t>
            </w:r>
          </w:p>
        </w:tc>
        <w:tc>
          <w:tcPr>
            <w:tcW w:w="2551" w:type="dxa"/>
            <w:vAlign w:val="center"/>
          </w:tcPr>
          <w:p>
            <w:pPr>
              <w:pStyle w:val="16"/>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131.93</w:t>
            </w:r>
          </w:p>
        </w:tc>
        <w:tc>
          <w:tcPr>
            <w:tcW w:w="2551" w:type="dxa"/>
            <w:vAlign w:val="center"/>
          </w:tcPr>
          <w:p>
            <w:pPr>
              <w:pStyle w:val="12"/>
            </w:pPr>
            <w:r>
              <w:t>131.93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29.87</w:t>
            </w:r>
          </w:p>
        </w:tc>
        <w:tc>
          <w:tcPr>
            <w:tcW w:w="2551" w:type="dxa"/>
            <w:vAlign w:val="center"/>
          </w:tcPr>
          <w:p>
            <w:pPr>
              <w:pStyle w:val="12"/>
            </w:pPr>
            <w:r>
              <w:t>29.87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24.40</w:t>
            </w:r>
          </w:p>
        </w:tc>
        <w:tc>
          <w:tcPr>
            <w:tcW w:w="2551" w:type="dxa"/>
            <w:vAlign w:val="center"/>
          </w:tcPr>
          <w:p>
            <w:pPr>
              <w:pStyle w:val="12"/>
            </w:pPr>
            <w:r>
              <w:t>24.40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27.71</w:t>
            </w:r>
          </w:p>
        </w:tc>
        <w:tc>
          <w:tcPr>
            <w:tcW w:w="2551" w:type="dxa"/>
            <w:vAlign w:val="center"/>
          </w:tcPr>
          <w:p>
            <w:pPr>
              <w:pStyle w:val="12"/>
            </w:pPr>
            <w:r>
              <w:t>27.71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10.70</w:t>
            </w:r>
          </w:p>
        </w:tc>
        <w:tc>
          <w:tcPr>
            <w:tcW w:w="2551" w:type="dxa"/>
            <w:vAlign w:val="center"/>
          </w:tcPr>
          <w:p>
            <w:pPr>
              <w:pStyle w:val="12"/>
            </w:pPr>
            <w:r>
              <w:t>10.70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4.33</w:t>
            </w:r>
          </w:p>
        </w:tc>
        <w:tc>
          <w:tcPr>
            <w:tcW w:w="2551" w:type="dxa"/>
            <w:vAlign w:val="center"/>
          </w:tcPr>
          <w:p>
            <w:pPr>
              <w:pStyle w:val="12"/>
            </w:pPr>
            <w:r>
              <w:t>4.33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3.31</w:t>
            </w:r>
          </w:p>
        </w:tc>
        <w:tc>
          <w:tcPr>
            <w:tcW w:w="2551" w:type="dxa"/>
            <w:vAlign w:val="center"/>
          </w:tcPr>
          <w:p>
            <w:pPr>
              <w:pStyle w:val="12"/>
            </w:pPr>
            <w:r>
              <w:t>3.31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0.26</w:t>
            </w:r>
          </w:p>
        </w:tc>
        <w:tc>
          <w:tcPr>
            <w:tcW w:w="2551" w:type="dxa"/>
            <w:vAlign w:val="center"/>
          </w:tcPr>
          <w:p>
            <w:pPr>
              <w:pStyle w:val="12"/>
            </w:pPr>
            <w:r>
              <w:t>0.26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10.36</w:t>
            </w:r>
          </w:p>
        </w:tc>
        <w:tc>
          <w:tcPr>
            <w:tcW w:w="2551" w:type="dxa"/>
            <w:vAlign w:val="center"/>
          </w:tcPr>
          <w:p>
            <w:pPr>
              <w:pStyle w:val="12"/>
            </w:pPr>
            <w:r>
              <w:t>10.36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11.99</w:t>
            </w:r>
          </w:p>
        </w:tc>
        <w:tc>
          <w:tcPr>
            <w:tcW w:w="2551" w:type="dxa"/>
            <w:vAlign w:val="center"/>
          </w:tcPr>
          <w:p>
            <w:pPr>
              <w:pStyle w:val="12"/>
            </w:pPr>
            <w:r>
              <w:t>11.99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14.77</w:t>
            </w:r>
          </w:p>
        </w:tc>
        <w:tc>
          <w:tcPr>
            <w:tcW w:w="2551" w:type="dxa"/>
            <w:vAlign w:val="center"/>
          </w:tcPr>
          <w:p>
            <w:pPr>
              <w:pStyle w:val="12"/>
            </w:pPr>
          </w:p>
        </w:tc>
        <w:tc>
          <w:tcPr>
            <w:tcW w:w="2551" w:type="dxa"/>
            <w:vAlign w:val="center"/>
          </w:tcPr>
          <w:p>
            <w:pPr>
              <w:pStyle w:val="12"/>
            </w:pPr>
            <w:r>
              <w:t>14.77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3.95</w:t>
            </w:r>
          </w:p>
        </w:tc>
        <w:tc>
          <w:tcPr>
            <w:tcW w:w="2551" w:type="dxa"/>
            <w:vAlign w:val="center"/>
          </w:tcPr>
          <w:p>
            <w:pPr>
              <w:pStyle w:val="12"/>
            </w:pPr>
          </w:p>
        </w:tc>
        <w:tc>
          <w:tcPr>
            <w:tcW w:w="2551" w:type="dxa"/>
            <w:vAlign w:val="center"/>
          </w:tcPr>
          <w:p>
            <w:pPr>
              <w:pStyle w:val="12"/>
            </w:pPr>
            <w:r>
              <w:t>3.95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1.02</w:t>
            </w:r>
          </w:p>
        </w:tc>
        <w:tc>
          <w:tcPr>
            <w:tcW w:w="2551" w:type="dxa"/>
            <w:vAlign w:val="center"/>
          </w:tcPr>
          <w:p>
            <w:pPr>
              <w:pStyle w:val="12"/>
            </w:pPr>
          </w:p>
        </w:tc>
        <w:tc>
          <w:tcPr>
            <w:tcW w:w="2551" w:type="dxa"/>
            <w:vAlign w:val="center"/>
          </w:tcPr>
          <w:p>
            <w:pPr>
              <w:pStyle w:val="12"/>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0.75</w:t>
            </w:r>
          </w:p>
        </w:tc>
        <w:tc>
          <w:tcPr>
            <w:tcW w:w="2551" w:type="dxa"/>
            <w:vAlign w:val="center"/>
          </w:tcPr>
          <w:p>
            <w:pPr>
              <w:pStyle w:val="12"/>
            </w:pPr>
          </w:p>
        </w:tc>
        <w:tc>
          <w:tcPr>
            <w:tcW w:w="2551"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4.92</w:t>
            </w:r>
          </w:p>
        </w:tc>
        <w:tc>
          <w:tcPr>
            <w:tcW w:w="2551" w:type="dxa"/>
            <w:vAlign w:val="center"/>
          </w:tcPr>
          <w:p>
            <w:pPr>
              <w:pStyle w:val="12"/>
            </w:pPr>
          </w:p>
        </w:tc>
        <w:tc>
          <w:tcPr>
            <w:tcW w:w="2551" w:type="dxa"/>
            <w:vAlign w:val="center"/>
          </w:tcPr>
          <w:p>
            <w:pPr>
              <w:pStyle w:val="12"/>
            </w:pPr>
            <w:r>
              <w:t>4.92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34.43</w:t>
            </w:r>
          </w:p>
        </w:tc>
        <w:tc>
          <w:tcPr>
            <w:tcW w:w="2551" w:type="dxa"/>
            <w:vAlign w:val="center"/>
          </w:tcPr>
          <w:p>
            <w:pPr>
              <w:pStyle w:val="12"/>
            </w:pPr>
            <w:r>
              <w:t>34.43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34.23</w:t>
            </w:r>
          </w:p>
        </w:tc>
        <w:tc>
          <w:tcPr>
            <w:tcW w:w="2551" w:type="dxa"/>
            <w:vAlign w:val="center"/>
          </w:tcPr>
          <w:p>
            <w:pPr>
              <w:pStyle w:val="12"/>
            </w:pPr>
            <w:r>
              <w:t>34.23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中共石家庄市桥西区委区直机关工作委员会2025年部门预算信息公开情况说明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中共石家庄市桥西区委区直机关工作委员会2025年部门预算信息公开情况说明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按照《中华人民共和国预算法》、《地方预决算公开操作规程》和《关于进一步推进预算公开工作的实施意见》规定，现将中共石家庄市桥西区委区直机关工作委员会2025年部门预算公开如下：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根据《中共石家庄市桥西区委区直机关工作委员会职能配置、内设机构和人员编制规定》， 中共石家庄市桥西区委区直机关工作委员会的主要职责是：</w:t>
      </w:r>
    </w:p>
    <w:p>
      <w:pPr>
        <w:pStyle w:val="18"/>
      </w:pPr>
      <w:r>
        <w:t>（一）组织、规划、部署区直机关党的工作，提出加强和改进机关党的建设的意见和建议，研究制定工作规划，并抓好组织实施。</w:t>
      </w:r>
    </w:p>
    <w:p>
      <w:pPr>
        <w:pStyle w:val="18"/>
      </w:pPr>
      <w:r>
        <w:t>（二）指导区直机关党的政治建设、思想建设、组织建设、作风建设、纪律建设，把制度建设贯穿其中，深入推进反腐败斗争。</w:t>
      </w:r>
    </w:p>
    <w:p>
      <w:pPr>
        <w:pStyle w:val="18"/>
      </w:pPr>
      <w:r>
        <w:t>（三）组织指导区直机关各党总支（支部）和广大党员学习马克思列宁主义、毛泽东思想、邓小平理论、“三个代表”重要思想、科学发展观、习近平新时代中国特色社会主义思想。</w:t>
      </w:r>
    </w:p>
    <w:p>
      <w:pPr>
        <w:pStyle w:val="18"/>
      </w:pPr>
      <w:r>
        <w:t>（四）对区直机关各党总支（支部）、党员领导干部落实党建责任制、遵守政治纪律和政治规矩情况进行教育监督。</w:t>
      </w:r>
    </w:p>
    <w:p>
      <w:pPr>
        <w:pStyle w:val="18"/>
      </w:pPr>
      <w:r>
        <w:t>（五）指导区直机关各党总支（支部）实施对党员特别是党员领导干部的监督和管理。</w:t>
      </w:r>
    </w:p>
    <w:p>
      <w:pPr>
        <w:pStyle w:val="18"/>
      </w:pPr>
      <w:r>
        <w:t>（六）配合区委有关部门抓好区直机关各部门领导班子思想政治建设，参与组织生活会和各党总支（支部）理论学习的督促检查和指导，了解掌握情况，按规定报送情况报告。</w:t>
      </w:r>
    </w:p>
    <w:p>
      <w:pPr>
        <w:pStyle w:val="18"/>
      </w:pPr>
      <w:r>
        <w:t>（七）督促指导区直机关各党总支（支部）按期换届，审批区直机关各党总支（支部）的组成及书记、副书记和委员的任免。</w:t>
      </w:r>
    </w:p>
    <w:p>
      <w:pPr>
        <w:pStyle w:val="18"/>
      </w:pPr>
      <w:r>
        <w:t>（八）指导区直机关各党总支（支部）加强基层组织建设，对入党积极分子进行教育、培养和考察，做好党员发展、教育和管理等工作。负责区直各党总支（支部）和党员的统计工作，认真做好党费的收缴工作。</w:t>
      </w:r>
    </w:p>
    <w:p>
      <w:pPr>
        <w:pStyle w:val="18"/>
      </w:pPr>
      <w:r>
        <w:t>（九）了解掌握区直机关工作人员的思想状况，指导区直机关各党总支（支部）加强思想政治工作和精神文明建设。</w:t>
      </w:r>
    </w:p>
    <w:p>
      <w:pPr>
        <w:pStyle w:val="18"/>
      </w:pPr>
      <w:r>
        <w:t>（十）指导区直机关各党总支（支部）做好党的群众工作、统一战线工作。领导区直机关工会、共青团、妇委会等群团组织的工作。</w:t>
      </w:r>
    </w:p>
    <w:p>
      <w:pPr>
        <w:pStyle w:val="18"/>
      </w:pPr>
      <w:r>
        <w:t>（十一）协同有关部门指导、规划、协调、监督、检査区直机关干部教育培训工作，培训轮训区直机关党员领导干部和党务干部。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中共石家庄市桥西区委区直机关工作委员会机关本级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按照预算管理有关规定，目前部门预算的编制实行综合预算管理，即全部收入和支出都反映在预算中。中共石家庄市桥西区委区直机关工作委员会机关及所属事业单位的收支包含在部门预算中。</w:t>
      </w:r>
    </w:p>
    <w:p>
      <w:pPr>
        <w:pStyle w:val="19"/>
      </w:pPr>
      <w:r>
        <w:t>1、收入说明</w:t>
      </w:r>
    </w:p>
    <w:p>
      <w:pPr>
        <w:pStyle w:val="19"/>
      </w:pPr>
      <w:r>
        <w:t>反映本部门当年全部收入。2025年预算收入181.97万元，其中：一般公共预算收入181.97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共石家庄市桥西区委区直机关工作委员会年度部门预算中支出预算的总体情况。2025年支出预算181.97万元，其中基本支出181.13万元，包括人员经费166.36万元和日常公用经费14.77万元；项目支出0.84万元，主要为</w:t>
      </w:r>
      <w:r>
        <w:rPr>
          <w:rFonts w:hint="eastAsia"/>
          <w:lang w:eastAsia="zh-CN"/>
        </w:rPr>
        <w:t>代理记账服务费</w:t>
      </w:r>
      <w:r>
        <w:t>。</w:t>
      </w:r>
    </w:p>
    <w:p>
      <w:pPr>
        <w:pStyle w:val="19"/>
      </w:pPr>
      <w:r>
        <w:t>3、比上年增减情况</w:t>
      </w:r>
    </w:p>
    <w:p>
      <w:pPr>
        <w:pStyle w:val="19"/>
      </w:pPr>
      <w:r>
        <w:t>2025年预算收支安排181.97万元，较2024年预算增加49.64万元，其中：基本支出增加50.29万元，主要为。项目支出减少0.65万元，主要为</w:t>
      </w:r>
      <w:r>
        <w:rPr>
          <w:rFonts w:hint="eastAsia"/>
          <w:lang w:eastAsia="zh-CN"/>
        </w:rPr>
        <w:t>安可电脑采购</w:t>
      </w:r>
      <w:r>
        <w:t>。</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ind w:firstLine="560" w:firstLineChars="200"/>
        <w:jc w:val="left"/>
        <w:outlineLvl w:val="2"/>
        <w:rPr>
          <w:rFonts w:ascii="黑体" w:hAnsi="黑体" w:eastAsia="黑体" w:cs="黑体"/>
          <w:color w:val="000000"/>
          <w:sz w:val="32"/>
        </w:rPr>
      </w:pPr>
      <w:r>
        <w:rPr>
          <w:rFonts w:hint="eastAsia" w:eastAsia="方正仿宋_GBK" w:cs="Times New Roman"/>
          <w:color w:val="000000"/>
          <w:sz w:val="28"/>
        </w:rPr>
        <w:t>桥西区委区直机关工委202</w:t>
      </w:r>
      <w:r>
        <w:rPr>
          <w:rFonts w:hint="eastAsia" w:eastAsia="方正仿宋_GBK" w:cs="Times New Roman"/>
          <w:color w:val="000000"/>
          <w:sz w:val="28"/>
          <w:lang w:val="en-US" w:eastAsia="zh-CN"/>
        </w:rPr>
        <w:t>5</w:t>
      </w:r>
      <w:r>
        <w:rPr>
          <w:rFonts w:hint="eastAsia" w:eastAsia="方正仿宋_GBK" w:cs="Times New Roman"/>
          <w:color w:val="000000"/>
          <w:sz w:val="28"/>
        </w:rPr>
        <w:t>年机关运行经费财政拨款预算</w:t>
      </w:r>
      <w:r>
        <w:rPr>
          <w:rFonts w:hint="eastAsia" w:eastAsia="方正仿宋_GBK" w:cs="Times New Roman"/>
          <w:color w:val="000000"/>
          <w:sz w:val="28"/>
          <w:lang w:eastAsia="zh-CN"/>
        </w:rPr>
        <w:t>1</w:t>
      </w:r>
      <w:r>
        <w:rPr>
          <w:rFonts w:hint="eastAsia" w:eastAsia="方正仿宋_GBK" w:cs="Times New Roman"/>
          <w:color w:val="000000"/>
          <w:sz w:val="28"/>
          <w:lang w:val="en-US" w:eastAsia="zh-CN"/>
        </w:rPr>
        <w:t>4.77</w:t>
      </w:r>
      <w:r>
        <w:rPr>
          <w:rFonts w:hint="eastAsia" w:eastAsia="方正仿宋_GBK" w:cs="Times New Roman"/>
          <w:color w:val="000000"/>
          <w:sz w:val="28"/>
        </w:rPr>
        <w:t>万元，较202</w:t>
      </w:r>
      <w:r>
        <w:rPr>
          <w:rFonts w:hint="eastAsia" w:eastAsia="方正仿宋_GBK" w:cs="Times New Roman"/>
          <w:color w:val="000000"/>
          <w:sz w:val="28"/>
          <w:lang w:val="en-US" w:eastAsia="zh-CN"/>
        </w:rPr>
        <w:t>4</w:t>
      </w:r>
      <w:r>
        <w:rPr>
          <w:rFonts w:hint="eastAsia" w:eastAsia="方正仿宋_GBK" w:cs="Times New Roman"/>
          <w:color w:val="000000"/>
          <w:sz w:val="28"/>
        </w:rPr>
        <w:t>年预算</w:t>
      </w:r>
      <w:r>
        <w:rPr>
          <w:rFonts w:hint="eastAsia" w:eastAsia="方正仿宋_GBK" w:cs="Times New Roman"/>
          <w:color w:val="000000"/>
          <w:sz w:val="28"/>
          <w:lang w:eastAsia="zh-CN"/>
        </w:rPr>
        <w:t>增加</w:t>
      </w:r>
      <w:r>
        <w:rPr>
          <w:rFonts w:hint="eastAsia" w:eastAsia="方正仿宋_GBK" w:cs="Times New Roman"/>
          <w:color w:val="000000"/>
          <w:sz w:val="28"/>
        </w:rPr>
        <w:t>了</w:t>
      </w:r>
      <w:r>
        <w:rPr>
          <w:rFonts w:hint="eastAsia" w:eastAsia="方正仿宋_GBK" w:cs="Times New Roman"/>
          <w:color w:val="000000"/>
          <w:sz w:val="28"/>
          <w:lang w:eastAsia="zh-CN"/>
        </w:rPr>
        <w:t>0.29</w:t>
      </w:r>
      <w:r>
        <w:rPr>
          <w:rFonts w:hint="eastAsia" w:eastAsia="方正仿宋_GBK" w:cs="Times New Roman"/>
          <w:color w:val="000000"/>
          <w:sz w:val="28"/>
        </w:rPr>
        <w:t>万元</w:t>
      </w:r>
      <w:r>
        <w:rPr>
          <w:rFonts w:hint="eastAsia" w:eastAsia="方正仿宋_GBK" w:cs="Times New Roman"/>
          <w:color w:val="000000"/>
          <w:sz w:val="28"/>
          <w:lang w:eastAsia="zh-CN"/>
        </w:rPr>
        <w:t>，主要原因是人员工资调整</w:t>
      </w:r>
      <w:r>
        <w:rPr>
          <w:rFonts w:hint="eastAsia" w:eastAsia="方正仿宋_GBK" w:cs="Times New Roman"/>
          <w:color w:val="000000"/>
          <w:sz w:val="28"/>
        </w:rPr>
        <w:t>。</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万元，其中因公出国（境）费0万元；公务用车购置及运维费0万元（其中：公务用车购置费为0万元，公务用车运维费0万元)；公务接待费0万元。与2024年相比增加0万元，增减变化的主要原因是</w:t>
      </w:r>
      <w:r>
        <w:rPr>
          <w:rFonts w:hint="eastAsia" w:eastAsia="方正仿宋_GBK" w:cs="Times New Roman"/>
          <w:color w:val="000000"/>
          <w:sz w:val="28"/>
        </w:rPr>
        <w:t>压减“三公”经费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以党的二十大、二十届三中全会精神和习近平新时代中国特色社会主义思想为指导，求真务实，积极创新，扎实做好机关党建工作。深入贯彻落实全市机关党建工作会议精神，突出政治性、全局性、创造性，以党的政治建设为统领，以全面从严治党为主线，以创新、协调、绿色、开放、共享发展理念为引领，牢牢把握“服务中心，建设队伍”两大任务，切实增强区直机关的政治意识、大局意识，核心意识、看齐意识，全面提升机关党建工作精准化、科学化水平。</w:t>
      </w:r>
    </w:p>
    <w:p>
      <w:pPr>
        <w:pStyle w:val="22"/>
      </w:pPr>
      <w:r>
        <w:t>1.落实好党内组织生活，深入学习宣传贯彻党的二十大、二十届三中全会精神，以强化党员意识为核心，坚持党员干部学习教育日常化、制度化，确保党员教育取得实实在在的成效。引导机关党员干部认真学习习近平新时代中国特色社会主义思想和党的二十大、二十届三中全会精神，认真学习省、市、区委重要会议精神，将学习宣传贯彻二十大、二十届三中全会精神作为当前和今后的一项重大的政治任务，教育引导广大党员干部更加自觉地为实现新时代党的历史使命不懈奋斗。</w:t>
      </w:r>
    </w:p>
    <w:p>
      <w:pPr>
        <w:pStyle w:val="22"/>
      </w:pPr>
      <w:r>
        <w:t>2.扎实做好常态化学习教育，全面提升机关党员整体素质，把提高党员干部的思想政治素养、业务水平作为党建工作的主要任务来抓，以党的二十大、二十届三中全会精神为指导思想，以教育实践活动为载体，以“四区同创”为契机，巩固学习教育成果，提高党员干部党性觉悟，强化宗旨观念，改善作风形象，确保机关党员干部更好地坚定信念，能够在思想上、政治上、行动上与我区保持高度一致。</w:t>
      </w:r>
    </w:p>
    <w:p>
      <w:pPr>
        <w:pStyle w:val="22"/>
      </w:pPr>
      <w:r>
        <w:t>3.树典型评先进，发挥模范带头作用，我工委要坚持把创新驱动作为基层组织建设的动力源泉，在实践中探索完善工作机制。典型的培育是促进基层党组织勇争一流的有效方式，围绕“远学有标杆，近学有典型”的思路，重点打造有影响力、带动力强的机关党建示范党支部与优秀党员。通过“桥西党建”微平台发布机关党员的先进事迹，充分发挥了先进典型的示范、引领、带动作用，促进广大基层党组织和党员同志向先进看齐，激发先进典型的示范带头作用，进一步激发干事创业的热情。</w:t>
      </w:r>
    </w:p>
    <w:p>
      <w:pPr>
        <w:pStyle w:val="22"/>
      </w:pPr>
      <w:r>
        <w:t>4.加强机关工会自身建设，统筹推进工会各项工，一是继续开展更多形式的活动，提高工会干部队伍素质。深入开展学习典型先进事迹，弘扬劳模伟大品格精神，造就一支政治强、业务精、作风硬的机关工会干部队伍。二是开展职工互助活动。三是深化工会女职工工作。开展女职工“关爱行动”，加强工会女职工组织建设，维护女职工合法权益。</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1.区直机关党的建设质量进一步提高</w:t>
      </w:r>
    </w:p>
    <w:p>
      <w:pPr>
        <w:pStyle w:val="23"/>
      </w:pPr>
      <w:r>
        <w:t>绩效目标：1.建设“模范机关”活动扎实开展，党员干部坚决做到“两个维护”，自觉在思想上政治上行动上同以习近平同志为核心的党中央保持高度一致，严格遵守党的政治纪律和政治规矩，党内政治生活严肃认真，政治能力不断提高，为全区各级机关树立标杆；2.理论武装不断深化，党员干部理想信念坚定，政治理论水平不断提高，精神文明创建有力推进，意识形态责任制落实严格，思想政治工作针对性和有效性进一步增强；3.对基层党组织开展分类指导，党支部建设标准化、规范化水平不断提升，党务干部集中教育培训覆盖面不断扩大，基层党组织组织力明显提升，实现全面进步全面过硬；</w:t>
      </w:r>
    </w:p>
    <w:p>
      <w:pPr>
        <w:pStyle w:val="23"/>
      </w:pPr>
      <w:r>
        <w:t>绩效指标：组织指导区直单位广泛深入创建“模范机关”，组织开展1次区直机关党建工作督促检查；完成区直机关“两优一先”评选表彰，按要求表彰基层先进党组织、优秀党务工作者、优秀共产党员若干名。</w:t>
      </w:r>
    </w:p>
    <w:p>
      <w:pPr>
        <w:pStyle w:val="23"/>
      </w:pPr>
      <w:r>
        <w:t xml:space="preserve">2.群团工作水平进一步提升       </w:t>
      </w:r>
    </w:p>
    <w:p>
      <w:pPr>
        <w:pStyle w:val="23"/>
      </w:pPr>
      <w:r>
        <w:t>绩效目标：切实加强机关文化建设，党建带群建制度机制进一步完善，群团工作方式方法不断创新，积极选树先进集体，开展志愿服务和特色文化活动丰富多彩。</w:t>
      </w:r>
    </w:p>
    <w:p>
      <w:pPr>
        <w:pStyle w:val="23"/>
      </w:pPr>
      <w:r>
        <w:t xml:space="preserve">绩效指标：与群团密切协作，开展3次形式多样的活动，充分发挥群团组织的职能作用。 </w:t>
      </w:r>
    </w:p>
    <w:p>
      <w:pPr>
        <w:pStyle w:val="23"/>
      </w:pPr>
      <w:r>
        <w:t>3.工委综合事务管理能力进一步增强</w:t>
      </w:r>
    </w:p>
    <w:p>
      <w:pPr>
        <w:pStyle w:val="23"/>
      </w:pPr>
      <w:r>
        <w:t>绩效目标：推动区域党建协作常态化，各类党建活动活跃开展，不断提升机关党建工作力度。</w:t>
      </w:r>
    </w:p>
    <w:p>
      <w:pPr>
        <w:pStyle w:val="23"/>
      </w:pPr>
      <w:r>
        <w:t>绩效指标：积极深入优秀基层党组织调研2次以上，交流提炼总结经验做法。举办党建活动1次以上，加强各单位党建工作交流。</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思想政治方面：1、抓好政治理论学习，重点是学习宣传贯彻党的二十大、二十届三中全会精神，工委组织机关各总支、支部开展贯彻党的二十大、二十届三中全会精神培训学习，要求机关各总支、支部认真学习二十大开幕式上习近平总书记所做的报告，并将开展二十大、二十届三中全会精神学习培训班，切实的将思想和行动统一到党的二十大、二十届三中全会精神上来，把智慧和力量凝聚到落实二十大提出的各项任务上来，尤其是有关于机关党建方面的任务，为我区发展尽一份力。2、认真学习党章，加强党性修养。通过组织机关党组织开展学习党章、遵守党章、执行党章、维护党章的系列教育活动，引导机关党员进一步增强宗旨意识、党员意识，进一步坚定理想信念。3、扎实做好“两学一做”常态化学习教育，全面提升机关党员整体素质。推动机关党员干部思想认识进一步提高，作风进一步转变，党群关系进一步密切。4、进一步抓好机关党务干部的学习培训。充分利用区委党校远程教育网资源，采取集中授课方式，对新当选的党支部成员进行党务知识、时事政治学习培训，进一步提高机关党务干部的执政能力和履职水平，为开展好机关党建工作奠定基础。</w:t>
      </w:r>
    </w:p>
    <w:p>
      <w:pPr>
        <w:pStyle w:val="24"/>
      </w:pPr>
      <w:r>
        <w:t>组织建设方面：1、落实年底履行基层党建双述双评制度，调动和发挥党支部书记履行基层党建工作第一责任人的积极性和作用。2、进一步加强机关党组织领导班子建设。以强组织、夯基础、增活力、促发展为载体，促使机关党建工作各项任务得到全面落实，把机关党组织建设成为坚强的战斗堡垒。3、认真做好发展党员工作。按照发展党员的“十六字”方针，严格发展党员程序，严把入党关口，确保新党员质量，做好新党员的教育培训和发展工作，适时组织新发展党员进行一次入党宣誓仪式。</w:t>
      </w:r>
    </w:p>
    <w:p>
      <w:pPr>
        <w:pStyle w:val="24"/>
      </w:pPr>
      <w:r>
        <w:t>作风建设及反腐倡廉建设方面：1、进一步加强机关党员干部作风建设。按照为民务实清廉的总要求，强化党的宗旨教育和群众路线教育，引导机关党员干部围绕解决群众反映强烈的突出问题，坚持即知即改、立改立行，切实转变机关工作作风。2、坚持教育和预防为主，加强反腐倡廉教育工作。通过集中培训、自主选学等形式开展学习教育，不断推进贯彻中央“八项规定”等规章制度的落实，教育机关党员干部坚定理想信念，牢记党的宗旨，筑牢思想防线，始终保持共产党员的政治本色。</w:t>
      </w:r>
    </w:p>
    <w:p>
      <w:pPr>
        <w:pStyle w:val="24"/>
      </w:pPr>
      <w:r>
        <w:t>机关党建方面：1、督导各党总支、支部抓好“三会一课”、民主评议党员、组织生活会等各项制度的落实，确保机关党建工作走上规范化、正规化道路。2、开展丰富多彩的机关党建活动，增强机关党建工作活力。</w:t>
      </w:r>
    </w:p>
    <w:p>
      <w:pPr>
        <w:pStyle w:val="24"/>
        <w:sectPr>
          <w:pgSz w:w="16840" w:h="11900" w:orient="landscape"/>
          <w:pgMar w:top="1361" w:right="1020" w:bottom="1361" w:left="1020" w:header="720" w:footer="720" w:gutter="0"/>
          <w:cols w:space="720" w:num="1"/>
        </w:sectPr>
      </w:pPr>
      <w:r>
        <w:t>围绕中心，服务大局，继续发挥好机关工会、团工委、妇委会的桥梁和纽带作用。</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1、代理记账服务费绩效目标表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13010425P00001410020G</w:t>
            </w:r>
          </w:p>
        </w:tc>
        <w:tc>
          <w:tcPr>
            <w:tcW w:w="2835" w:type="dxa"/>
            <w:vAlign w:val="center"/>
          </w:tcPr>
          <w:p>
            <w:pPr>
              <w:pStyle w:val="11"/>
            </w:pPr>
            <w:r>
              <w:t>项目名称</w:t>
            </w:r>
          </w:p>
        </w:tc>
        <w:tc>
          <w:tcPr>
            <w:tcW w:w="6095" w:type="dxa"/>
            <w:gridSpan w:val="3"/>
            <w:vAlign w:val="center"/>
          </w:tcPr>
          <w:p>
            <w:pPr>
              <w:pStyle w:val="13"/>
            </w:pPr>
            <w:r>
              <w:t>代理记账服务费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财务代理记账经费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1.按时间节点，保质保量完成财务工作。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完成每月代理记账工作</w:t>
            </w:r>
          </w:p>
        </w:tc>
        <w:tc>
          <w:tcPr>
            <w:tcW w:w="5386" w:type="dxa"/>
            <w:vAlign w:val="center"/>
          </w:tcPr>
          <w:p>
            <w:pPr>
              <w:pStyle w:val="13"/>
            </w:pPr>
            <w:r>
              <w:t>完成每月代理记账工作</w:t>
            </w:r>
          </w:p>
        </w:tc>
        <w:tc>
          <w:tcPr>
            <w:tcW w:w="2268" w:type="dxa"/>
            <w:vAlign w:val="center"/>
          </w:tcPr>
          <w:p>
            <w:pPr>
              <w:pStyle w:val="13"/>
            </w:pPr>
            <w:r>
              <w:t>≥12次</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服务水平</w:t>
            </w:r>
          </w:p>
        </w:tc>
        <w:tc>
          <w:tcPr>
            <w:tcW w:w="5386" w:type="dxa"/>
            <w:vAlign w:val="center"/>
          </w:tcPr>
          <w:p>
            <w:pPr>
              <w:pStyle w:val="13"/>
            </w:pPr>
            <w:r>
              <w:t>服务水平</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按时间节点完成代理记账工作</w:t>
            </w:r>
          </w:p>
        </w:tc>
        <w:tc>
          <w:tcPr>
            <w:tcW w:w="5386" w:type="dxa"/>
            <w:vAlign w:val="center"/>
          </w:tcPr>
          <w:p>
            <w:pPr>
              <w:pStyle w:val="13"/>
            </w:pPr>
            <w:r>
              <w:t>按时间节点完成代理记账工作</w:t>
            </w:r>
          </w:p>
        </w:tc>
        <w:tc>
          <w:tcPr>
            <w:tcW w:w="2268" w:type="dxa"/>
            <w:vAlign w:val="center"/>
          </w:tcPr>
          <w:p>
            <w:pPr>
              <w:pStyle w:val="13"/>
            </w:pPr>
            <w:r>
              <w:t>≥12次</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预算金额</w:t>
            </w:r>
          </w:p>
        </w:tc>
        <w:tc>
          <w:tcPr>
            <w:tcW w:w="5386" w:type="dxa"/>
            <w:vAlign w:val="center"/>
          </w:tcPr>
          <w:p>
            <w:pPr>
              <w:pStyle w:val="13"/>
            </w:pPr>
            <w:r>
              <w:t>预算金额</w:t>
            </w:r>
          </w:p>
        </w:tc>
        <w:tc>
          <w:tcPr>
            <w:tcW w:w="2268" w:type="dxa"/>
            <w:vAlign w:val="center"/>
          </w:tcPr>
          <w:p>
            <w:pPr>
              <w:pStyle w:val="13"/>
            </w:pPr>
            <w:r>
              <w:t>0.84万元</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保证财务工作正常运转</w:t>
            </w:r>
          </w:p>
        </w:tc>
        <w:tc>
          <w:tcPr>
            <w:tcW w:w="5386" w:type="dxa"/>
            <w:vAlign w:val="center"/>
          </w:tcPr>
          <w:p>
            <w:pPr>
              <w:pStyle w:val="13"/>
            </w:pPr>
            <w:r>
              <w:t>保证财务工作正常运转</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上级主管部门满意度</w:t>
            </w:r>
          </w:p>
        </w:tc>
        <w:tc>
          <w:tcPr>
            <w:tcW w:w="5386" w:type="dxa"/>
            <w:vAlign w:val="center"/>
          </w:tcPr>
          <w:p>
            <w:pPr>
              <w:pStyle w:val="13"/>
            </w:pPr>
            <w:r>
              <w:t>上级主管部门满意度</w:t>
            </w:r>
          </w:p>
        </w:tc>
        <w:tc>
          <w:tcPr>
            <w:tcW w:w="2268" w:type="dxa"/>
            <w:vAlign w:val="center"/>
          </w:tcPr>
          <w:p>
            <w:pPr>
              <w:pStyle w:val="13"/>
            </w:pPr>
            <w:r>
              <w:t>≥90%</w:t>
            </w:r>
          </w:p>
        </w:tc>
        <w:tc>
          <w:tcPr>
            <w:tcW w:w="1276" w:type="dxa"/>
            <w:vAlign w:val="center"/>
          </w:tcPr>
          <w:p>
            <w:pPr>
              <w:pStyle w:val="13"/>
            </w:pPr>
            <w:r>
              <w:t>依据西呈财(2023)11号关于解决区直机关工委等10个区直单位的财务记账工作的请示批复。</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中共石家庄市桥西区委区直机关工作委员会（含所属单位）上年末固定资产金额为0.00万元（详见下表）。本年度拟购置固定资产总额为0.00万元，已按要求列入政府采购预算，详见政府采购预算表。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286中共石家庄市桥西区委区直机关工作委员会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FE3599"/>
    <w:multiLevelType w:val="singleLevel"/>
    <w:tmpl w:val="E2FE3599"/>
    <w:lvl w:ilvl="0" w:tentative="0">
      <w:start w:val="3"/>
      <w:numFmt w:val="chineseCounting"/>
      <w:suff w:val="nothing"/>
      <w:lvlText w:val="%1、"/>
      <w:lvlJc w:val="left"/>
      <w:rPr>
        <w:rFonts w:hint="eastAsia"/>
      </w:rPr>
    </w:lvl>
  </w:abstractNum>
  <w:abstractNum w:abstractNumId="1">
    <w:nsid w:val="FFD3013B"/>
    <w:multiLevelType w:val="singleLevel"/>
    <w:tmpl w:val="FFD3013B"/>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7FFAB7"/>
    <w:rsid w:val="6CCD7316"/>
    <w:rsid w:val="7BADDD8C"/>
    <w:rsid w:val="7CF6F392"/>
    <w:rsid w:val="FFABCC3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Words>1704</Words>
  <Characters>2333</Characters>
  <TotalTime>1</TotalTime>
  <ScaleCrop>false</ScaleCrop>
  <LinksUpToDate>false</LinksUpToDate>
  <CharactersWithSpaces>2381</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2025-01-21T17:49:00Z</dcterms:created>
  <dc:creator>lenovo</dc:creator>
  <cp:lastModifiedBy>jggw-001</cp:lastModifiedBy>
  <dcterms:modified xsi:type="dcterms:W3CDTF">2026-02-13T11:33:16Z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BC8599610FAD4F5B811F2D8C4C356519_13</vt:lpwstr>
  </property>
</Properties>
</file>