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35</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36</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521石家庄市桥西区振头街道办事处</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2969.10</w:t>
            </w:r>
          </w:p>
        </w:tc>
        <w:tc>
          <w:tcPr>
            <w:tcW w:w="4535" w:type="dxa"/>
            <w:vAlign w:val="center"/>
          </w:tcPr>
          <w:p>
            <w:pPr>
              <w:pStyle w:val="13"/>
            </w:pPr>
            <w:r>
              <w:t>一、一般公共服务支出</w:t>
            </w:r>
          </w:p>
        </w:tc>
        <w:tc>
          <w:tcPr>
            <w:tcW w:w="2126" w:type="dxa"/>
            <w:vAlign w:val="center"/>
          </w:tcPr>
          <w:p>
            <w:pPr>
              <w:pStyle w:val="12"/>
            </w:pPr>
            <w:r>
              <w:t>2463.81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356.05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95.51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2969.10</w:t>
            </w:r>
          </w:p>
        </w:tc>
        <w:tc>
          <w:tcPr>
            <w:tcW w:w="4535" w:type="dxa"/>
            <w:vAlign w:val="center"/>
          </w:tcPr>
          <w:p>
            <w:pPr>
              <w:pStyle w:val="15"/>
            </w:pPr>
            <w:r>
              <w:t>本年支出合计</w:t>
            </w:r>
          </w:p>
        </w:tc>
        <w:tc>
          <w:tcPr>
            <w:tcW w:w="2126" w:type="dxa"/>
            <w:vAlign w:val="center"/>
          </w:tcPr>
          <w:p>
            <w:pPr>
              <w:pStyle w:val="16"/>
            </w:pPr>
            <w:r>
              <w:t>2969.10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2969.10</w:t>
            </w:r>
          </w:p>
        </w:tc>
        <w:tc>
          <w:tcPr>
            <w:tcW w:w="4535" w:type="dxa"/>
            <w:vAlign w:val="center"/>
          </w:tcPr>
          <w:p>
            <w:pPr>
              <w:pStyle w:val="15"/>
            </w:pPr>
            <w:r>
              <w:t>支出总计</w:t>
            </w:r>
          </w:p>
        </w:tc>
        <w:tc>
          <w:tcPr>
            <w:tcW w:w="2126" w:type="dxa"/>
            <w:vAlign w:val="center"/>
          </w:tcPr>
          <w:p>
            <w:pPr>
              <w:pStyle w:val="16"/>
            </w:pPr>
            <w:r>
              <w:t>2969.10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521石家庄市桥西区振头街道办事处</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2969.10</w:t>
            </w:r>
          </w:p>
        </w:tc>
        <w:tc>
          <w:tcPr>
            <w:tcW w:w="1134" w:type="dxa"/>
            <w:vAlign w:val="center"/>
          </w:tcPr>
          <w:p>
            <w:pPr>
              <w:pStyle w:val="16"/>
            </w:pPr>
            <w:r>
              <w:t>2969.10</w:t>
            </w:r>
          </w:p>
        </w:tc>
        <w:tc>
          <w:tcPr>
            <w:tcW w:w="1134" w:type="dxa"/>
            <w:vAlign w:val="center"/>
          </w:tcPr>
          <w:p>
            <w:pPr>
              <w:pStyle w:val="16"/>
            </w:pPr>
            <w:r>
              <w:t>2969.10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2463.81</w:t>
            </w:r>
          </w:p>
        </w:tc>
        <w:tc>
          <w:tcPr>
            <w:tcW w:w="1134" w:type="dxa"/>
            <w:vAlign w:val="center"/>
          </w:tcPr>
          <w:p>
            <w:pPr>
              <w:pStyle w:val="12"/>
            </w:pPr>
            <w:r>
              <w:t>2463.81</w:t>
            </w:r>
          </w:p>
        </w:tc>
        <w:tc>
          <w:tcPr>
            <w:tcW w:w="1134" w:type="dxa"/>
            <w:vAlign w:val="center"/>
          </w:tcPr>
          <w:p>
            <w:pPr>
              <w:pStyle w:val="12"/>
            </w:pPr>
            <w:r>
              <w:t>2463.81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2462.12</w:t>
            </w:r>
          </w:p>
        </w:tc>
        <w:tc>
          <w:tcPr>
            <w:tcW w:w="1134" w:type="dxa"/>
            <w:vAlign w:val="center"/>
          </w:tcPr>
          <w:p>
            <w:pPr>
              <w:pStyle w:val="12"/>
            </w:pPr>
            <w:r>
              <w:t>2462.12</w:t>
            </w:r>
          </w:p>
        </w:tc>
        <w:tc>
          <w:tcPr>
            <w:tcW w:w="1134" w:type="dxa"/>
            <w:vAlign w:val="center"/>
          </w:tcPr>
          <w:p>
            <w:pPr>
              <w:pStyle w:val="12"/>
            </w:pPr>
            <w:r>
              <w:t>2462.12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975.42</w:t>
            </w:r>
          </w:p>
        </w:tc>
        <w:tc>
          <w:tcPr>
            <w:tcW w:w="1134" w:type="dxa"/>
            <w:vAlign w:val="center"/>
          </w:tcPr>
          <w:p>
            <w:pPr>
              <w:pStyle w:val="12"/>
            </w:pPr>
            <w:r>
              <w:t>975.42</w:t>
            </w:r>
          </w:p>
        </w:tc>
        <w:tc>
          <w:tcPr>
            <w:tcW w:w="1134" w:type="dxa"/>
            <w:vAlign w:val="center"/>
          </w:tcPr>
          <w:p>
            <w:pPr>
              <w:pStyle w:val="12"/>
            </w:pPr>
            <w:r>
              <w:t>975.42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2010399</w:t>
            </w:r>
          </w:p>
        </w:tc>
        <w:tc>
          <w:tcPr>
            <w:tcW w:w="1559" w:type="dxa"/>
            <w:vAlign w:val="center"/>
          </w:tcPr>
          <w:p>
            <w:pPr>
              <w:pStyle w:val="13"/>
            </w:pPr>
            <w:r>
              <w:t>其他政府办公厅（室）及相关机构事务支出</w:t>
            </w:r>
          </w:p>
        </w:tc>
        <w:tc>
          <w:tcPr>
            <w:tcW w:w="1134" w:type="dxa"/>
            <w:vAlign w:val="center"/>
          </w:tcPr>
          <w:p>
            <w:pPr>
              <w:pStyle w:val="12"/>
            </w:pPr>
            <w:r>
              <w:t>1486.70</w:t>
            </w:r>
          </w:p>
        </w:tc>
        <w:tc>
          <w:tcPr>
            <w:tcW w:w="1134" w:type="dxa"/>
            <w:vAlign w:val="center"/>
          </w:tcPr>
          <w:p>
            <w:pPr>
              <w:pStyle w:val="12"/>
            </w:pPr>
            <w:r>
              <w:t>1486.70</w:t>
            </w:r>
          </w:p>
        </w:tc>
        <w:tc>
          <w:tcPr>
            <w:tcW w:w="1134" w:type="dxa"/>
            <w:vAlign w:val="center"/>
          </w:tcPr>
          <w:p>
            <w:pPr>
              <w:pStyle w:val="12"/>
            </w:pPr>
            <w:r>
              <w:t>1486.70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20108</w:t>
            </w:r>
          </w:p>
        </w:tc>
        <w:tc>
          <w:tcPr>
            <w:tcW w:w="1559" w:type="dxa"/>
            <w:vAlign w:val="center"/>
          </w:tcPr>
          <w:p>
            <w:pPr>
              <w:pStyle w:val="13"/>
            </w:pPr>
            <w:r>
              <w:t>审计事务</w:t>
            </w:r>
          </w:p>
        </w:tc>
        <w:tc>
          <w:tcPr>
            <w:tcW w:w="1134" w:type="dxa"/>
            <w:vAlign w:val="center"/>
          </w:tcPr>
          <w:p>
            <w:pPr>
              <w:pStyle w:val="12"/>
            </w:pPr>
            <w:r>
              <w:t>1.69</w:t>
            </w:r>
          </w:p>
        </w:tc>
        <w:tc>
          <w:tcPr>
            <w:tcW w:w="1134" w:type="dxa"/>
            <w:vAlign w:val="center"/>
          </w:tcPr>
          <w:p>
            <w:pPr>
              <w:pStyle w:val="12"/>
            </w:pPr>
            <w:r>
              <w:t>1.69</w:t>
            </w:r>
          </w:p>
        </w:tc>
        <w:tc>
          <w:tcPr>
            <w:tcW w:w="1134" w:type="dxa"/>
            <w:vAlign w:val="center"/>
          </w:tcPr>
          <w:p>
            <w:pPr>
              <w:pStyle w:val="12"/>
            </w:pPr>
            <w:r>
              <w:t>1.69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2010804</w:t>
            </w:r>
          </w:p>
        </w:tc>
        <w:tc>
          <w:tcPr>
            <w:tcW w:w="1559" w:type="dxa"/>
            <w:vAlign w:val="center"/>
          </w:tcPr>
          <w:p>
            <w:pPr>
              <w:pStyle w:val="13"/>
            </w:pPr>
            <w:r>
              <w:t>审计业务</w:t>
            </w:r>
          </w:p>
        </w:tc>
        <w:tc>
          <w:tcPr>
            <w:tcW w:w="1134" w:type="dxa"/>
            <w:vAlign w:val="center"/>
          </w:tcPr>
          <w:p>
            <w:pPr>
              <w:pStyle w:val="12"/>
            </w:pPr>
            <w:r>
              <w:t>1.69</w:t>
            </w:r>
          </w:p>
        </w:tc>
        <w:tc>
          <w:tcPr>
            <w:tcW w:w="1134" w:type="dxa"/>
            <w:vAlign w:val="center"/>
          </w:tcPr>
          <w:p>
            <w:pPr>
              <w:pStyle w:val="12"/>
            </w:pPr>
            <w:r>
              <w:t>1.69</w:t>
            </w:r>
          </w:p>
        </w:tc>
        <w:tc>
          <w:tcPr>
            <w:tcW w:w="1134" w:type="dxa"/>
            <w:vAlign w:val="center"/>
          </w:tcPr>
          <w:p>
            <w:pPr>
              <w:pStyle w:val="12"/>
            </w:pPr>
            <w:r>
              <w:t>1.69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356.05</w:t>
            </w:r>
          </w:p>
        </w:tc>
        <w:tc>
          <w:tcPr>
            <w:tcW w:w="1134" w:type="dxa"/>
            <w:vAlign w:val="center"/>
          </w:tcPr>
          <w:p>
            <w:pPr>
              <w:pStyle w:val="12"/>
            </w:pPr>
            <w:r>
              <w:t>356.05</w:t>
            </w:r>
          </w:p>
        </w:tc>
        <w:tc>
          <w:tcPr>
            <w:tcW w:w="1134" w:type="dxa"/>
            <w:vAlign w:val="center"/>
          </w:tcPr>
          <w:p>
            <w:pPr>
              <w:pStyle w:val="12"/>
            </w:pPr>
            <w:r>
              <w:t>356.05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355.25</w:t>
            </w:r>
          </w:p>
        </w:tc>
        <w:tc>
          <w:tcPr>
            <w:tcW w:w="1134" w:type="dxa"/>
            <w:vAlign w:val="center"/>
          </w:tcPr>
          <w:p>
            <w:pPr>
              <w:pStyle w:val="12"/>
            </w:pPr>
            <w:r>
              <w:t>355.25</w:t>
            </w:r>
          </w:p>
        </w:tc>
        <w:tc>
          <w:tcPr>
            <w:tcW w:w="1134" w:type="dxa"/>
            <w:vAlign w:val="center"/>
          </w:tcPr>
          <w:p>
            <w:pPr>
              <w:pStyle w:val="12"/>
            </w:pPr>
            <w:r>
              <w:t>355.25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244.39</w:t>
            </w:r>
          </w:p>
        </w:tc>
        <w:tc>
          <w:tcPr>
            <w:tcW w:w="1134" w:type="dxa"/>
            <w:vAlign w:val="center"/>
          </w:tcPr>
          <w:p>
            <w:pPr>
              <w:pStyle w:val="12"/>
            </w:pPr>
            <w:r>
              <w:t>244.39</w:t>
            </w:r>
          </w:p>
        </w:tc>
        <w:tc>
          <w:tcPr>
            <w:tcW w:w="1134" w:type="dxa"/>
            <w:vAlign w:val="center"/>
          </w:tcPr>
          <w:p>
            <w:pPr>
              <w:pStyle w:val="12"/>
            </w:pPr>
            <w:r>
              <w:t>244.39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102.36</w:t>
            </w:r>
          </w:p>
        </w:tc>
        <w:tc>
          <w:tcPr>
            <w:tcW w:w="1134" w:type="dxa"/>
            <w:vAlign w:val="center"/>
          </w:tcPr>
          <w:p>
            <w:pPr>
              <w:pStyle w:val="12"/>
            </w:pPr>
            <w:r>
              <w:t>102.36</w:t>
            </w:r>
          </w:p>
        </w:tc>
        <w:tc>
          <w:tcPr>
            <w:tcW w:w="1134" w:type="dxa"/>
            <w:vAlign w:val="center"/>
          </w:tcPr>
          <w:p>
            <w:pPr>
              <w:pStyle w:val="12"/>
            </w:pPr>
            <w:r>
              <w:t>102.36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20820</w:t>
            </w:r>
          </w:p>
        </w:tc>
        <w:tc>
          <w:tcPr>
            <w:tcW w:w="1559" w:type="dxa"/>
            <w:vAlign w:val="center"/>
          </w:tcPr>
          <w:p>
            <w:pPr>
              <w:pStyle w:val="13"/>
            </w:pPr>
            <w:r>
              <w:t>临时救助</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2082001</w:t>
            </w:r>
          </w:p>
        </w:tc>
        <w:tc>
          <w:tcPr>
            <w:tcW w:w="1559" w:type="dxa"/>
            <w:vAlign w:val="center"/>
          </w:tcPr>
          <w:p>
            <w:pPr>
              <w:pStyle w:val="13"/>
            </w:pPr>
            <w:r>
              <w:t>临时救助支出</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51.73</w:t>
            </w:r>
          </w:p>
        </w:tc>
        <w:tc>
          <w:tcPr>
            <w:tcW w:w="1134" w:type="dxa"/>
            <w:vAlign w:val="center"/>
          </w:tcPr>
          <w:p>
            <w:pPr>
              <w:pStyle w:val="12"/>
            </w:pPr>
            <w:r>
              <w:t>51.73</w:t>
            </w:r>
          </w:p>
        </w:tc>
        <w:tc>
          <w:tcPr>
            <w:tcW w:w="1134" w:type="dxa"/>
            <w:vAlign w:val="center"/>
          </w:tcPr>
          <w:p>
            <w:pPr>
              <w:pStyle w:val="12"/>
            </w:pPr>
            <w:r>
              <w:t>51.73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51.73</w:t>
            </w:r>
          </w:p>
        </w:tc>
        <w:tc>
          <w:tcPr>
            <w:tcW w:w="1134" w:type="dxa"/>
            <w:vAlign w:val="center"/>
          </w:tcPr>
          <w:p>
            <w:pPr>
              <w:pStyle w:val="12"/>
            </w:pPr>
            <w:r>
              <w:t>51.73</w:t>
            </w:r>
          </w:p>
        </w:tc>
        <w:tc>
          <w:tcPr>
            <w:tcW w:w="1134" w:type="dxa"/>
            <w:vAlign w:val="center"/>
          </w:tcPr>
          <w:p>
            <w:pPr>
              <w:pStyle w:val="12"/>
            </w:pPr>
            <w:r>
              <w:t>51.73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43.13</w:t>
            </w:r>
          </w:p>
        </w:tc>
        <w:tc>
          <w:tcPr>
            <w:tcW w:w="1134" w:type="dxa"/>
            <w:vAlign w:val="center"/>
          </w:tcPr>
          <w:p>
            <w:pPr>
              <w:pStyle w:val="12"/>
            </w:pPr>
            <w:r>
              <w:t>43.13</w:t>
            </w:r>
          </w:p>
        </w:tc>
        <w:tc>
          <w:tcPr>
            <w:tcW w:w="1134" w:type="dxa"/>
            <w:vAlign w:val="center"/>
          </w:tcPr>
          <w:p>
            <w:pPr>
              <w:pStyle w:val="12"/>
            </w:pPr>
            <w:r>
              <w:t>43.13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8.60</w:t>
            </w:r>
          </w:p>
        </w:tc>
        <w:tc>
          <w:tcPr>
            <w:tcW w:w="1134" w:type="dxa"/>
            <w:vAlign w:val="center"/>
          </w:tcPr>
          <w:p>
            <w:pPr>
              <w:pStyle w:val="12"/>
            </w:pPr>
            <w:r>
              <w:t>8.60</w:t>
            </w:r>
          </w:p>
        </w:tc>
        <w:tc>
          <w:tcPr>
            <w:tcW w:w="1134" w:type="dxa"/>
            <w:vAlign w:val="center"/>
          </w:tcPr>
          <w:p>
            <w:pPr>
              <w:pStyle w:val="12"/>
            </w:pPr>
            <w:r>
              <w:t>8.60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95.51</w:t>
            </w:r>
          </w:p>
        </w:tc>
        <w:tc>
          <w:tcPr>
            <w:tcW w:w="1134" w:type="dxa"/>
            <w:vAlign w:val="center"/>
          </w:tcPr>
          <w:p>
            <w:pPr>
              <w:pStyle w:val="12"/>
            </w:pPr>
            <w:r>
              <w:t>95.51</w:t>
            </w:r>
          </w:p>
        </w:tc>
        <w:tc>
          <w:tcPr>
            <w:tcW w:w="1134" w:type="dxa"/>
            <w:vAlign w:val="center"/>
          </w:tcPr>
          <w:p>
            <w:pPr>
              <w:pStyle w:val="12"/>
            </w:pPr>
            <w:r>
              <w:t>95.51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95.51</w:t>
            </w:r>
          </w:p>
        </w:tc>
        <w:tc>
          <w:tcPr>
            <w:tcW w:w="1134" w:type="dxa"/>
            <w:vAlign w:val="center"/>
          </w:tcPr>
          <w:p>
            <w:pPr>
              <w:pStyle w:val="12"/>
            </w:pPr>
            <w:r>
              <w:t>95.51</w:t>
            </w:r>
          </w:p>
        </w:tc>
        <w:tc>
          <w:tcPr>
            <w:tcW w:w="1134" w:type="dxa"/>
            <w:vAlign w:val="center"/>
          </w:tcPr>
          <w:p>
            <w:pPr>
              <w:pStyle w:val="12"/>
            </w:pPr>
            <w:r>
              <w:t>95.51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95.51</w:t>
            </w:r>
          </w:p>
        </w:tc>
        <w:tc>
          <w:tcPr>
            <w:tcW w:w="1134" w:type="dxa"/>
            <w:vAlign w:val="center"/>
          </w:tcPr>
          <w:p>
            <w:pPr>
              <w:pStyle w:val="12"/>
            </w:pPr>
            <w:r>
              <w:t>95.51</w:t>
            </w:r>
          </w:p>
        </w:tc>
        <w:tc>
          <w:tcPr>
            <w:tcW w:w="1134" w:type="dxa"/>
            <w:vAlign w:val="center"/>
          </w:tcPr>
          <w:p>
            <w:pPr>
              <w:pStyle w:val="12"/>
            </w:pPr>
            <w:r>
              <w:t>95.51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521石家庄市桥西区振头街道办事处</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2969.10</w:t>
            </w:r>
          </w:p>
        </w:tc>
        <w:tc>
          <w:tcPr>
            <w:tcW w:w="1361" w:type="dxa"/>
            <w:vAlign w:val="center"/>
          </w:tcPr>
          <w:p>
            <w:pPr>
              <w:pStyle w:val="16"/>
            </w:pPr>
            <w:r>
              <w:t>1477.91</w:t>
            </w:r>
          </w:p>
        </w:tc>
        <w:tc>
          <w:tcPr>
            <w:tcW w:w="1361" w:type="dxa"/>
            <w:vAlign w:val="center"/>
          </w:tcPr>
          <w:p>
            <w:pPr>
              <w:pStyle w:val="16"/>
            </w:pPr>
            <w:r>
              <w:t>1491.19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2463.81</w:t>
            </w:r>
          </w:p>
        </w:tc>
        <w:tc>
          <w:tcPr>
            <w:tcW w:w="1361" w:type="dxa"/>
            <w:vAlign w:val="center"/>
          </w:tcPr>
          <w:p>
            <w:pPr>
              <w:pStyle w:val="12"/>
            </w:pPr>
            <w:r>
              <w:t>975.42</w:t>
            </w:r>
          </w:p>
        </w:tc>
        <w:tc>
          <w:tcPr>
            <w:tcW w:w="1361" w:type="dxa"/>
            <w:vAlign w:val="center"/>
          </w:tcPr>
          <w:p>
            <w:pPr>
              <w:pStyle w:val="12"/>
            </w:pPr>
            <w:r>
              <w:t>1488.39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2462.12</w:t>
            </w:r>
          </w:p>
        </w:tc>
        <w:tc>
          <w:tcPr>
            <w:tcW w:w="1361" w:type="dxa"/>
            <w:vAlign w:val="center"/>
          </w:tcPr>
          <w:p>
            <w:pPr>
              <w:pStyle w:val="12"/>
            </w:pPr>
            <w:r>
              <w:t>975.42</w:t>
            </w:r>
          </w:p>
        </w:tc>
        <w:tc>
          <w:tcPr>
            <w:tcW w:w="1361" w:type="dxa"/>
            <w:vAlign w:val="center"/>
          </w:tcPr>
          <w:p>
            <w:pPr>
              <w:pStyle w:val="12"/>
            </w:pPr>
            <w:r>
              <w:t>1486.70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975.42</w:t>
            </w:r>
          </w:p>
        </w:tc>
        <w:tc>
          <w:tcPr>
            <w:tcW w:w="1361" w:type="dxa"/>
            <w:vAlign w:val="center"/>
          </w:tcPr>
          <w:p>
            <w:pPr>
              <w:pStyle w:val="12"/>
            </w:pPr>
            <w:r>
              <w:t>975.42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2010399</w:t>
            </w:r>
          </w:p>
        </w:tc>
        <w:tc>
          <w:tcPr>
            <w:tcW w:w="4535" w:type="dxa"/>
            <w:vAlign w:val="center"/>
          </w:tcPr>
          <w:p>
            <w:pPr>
              <w:pStyle w:val="13"/>
            </w:pPr>
            <w:r>
              <w:t>其他政府办公厅（室）及相关机构事务支出</w:t>
            </w:r>
          </w:p>
        </w:tc>
        <w:tc>
          <w:tcPr>
            <w:tcW w:w="1361" w:type="dxa"/>
            <w:vAlign w:val="center"/>
          </w:tcPr>
          <w:p>
            <w:pPr>
              <w:pStyle w:val="12"/>
            </w:pPr>
            <w:r>
              <w:t>1486.70</w:t>
            </w:r>
          </w:p>
        </w:tc>
        <w:tc>
          <w:tcPr>
            <w:tcW w:w="1361" w:type="dxa"/>
            <w:vAlign w:val="center"/>
          </w:tcPr>
          <w:p>
            <w:pPr>
              <w:pStyle w:val="12"/>
            </w:pPr>
          </w:p>
        </w:tc>
        <w:tc>
          <w:tcPr>
            <w:tcW w:w="1361" w:type="dxa"/>
            <w:vAlign w:val="center"/>
          </w:tcPr>
          <w:p>
            <w:pPr>
              <w:pStyle w:val="12"/>
            </w:pPr>
            <w:r>
              <w:t>1486.70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20108</w:t>
            </w:r>
          </w:p>
        </w:tc>
        <w:tc>
          <w:tcPr>
            <w:tcW w:w="4535" w:type="dxa"/>
            <w:vAlign w:val="center"/>
          </w:tcPr>
          <w:p>
            <w:pPr>
              <w:pStyle w:val="13"/>
            </w:pPr>
            <w:r>
              <w:t>审计事务</w:t>
            </w:r>
          </w:p>
        </w:tc>
        <w:tc>
          <w:tcPr>
            <w:tcW w:w="1361" w:type="dxa"/>
            <w:vAlign w:val="center"/>
          </w:tcPr>
          <w:p>
            <w:pPr>
              <w:pStyle w:val="12"/>
            </w:pPr>
            <w:r>
              <w:t>1.69</w:t>
            </w:r>
          </w:p>
        </w:tc>
        <w:tc>
          <w:tcPr>
            <w:tcW w:w="1361" w:type="dxa"/>
            <w:vAlign w:val="center"/>
          </w:tcPr>
          <w:p>
            <w:pPr>
              <w:pStyle w:val="12"/>
            </w:pPr>
          </w:p>
        </w:tc>
        <w:tc>
          <w:tcPr>
            <w:tcW w:w="1361" w:type="dxa"/>
            <w:vAlign w:val="center"/>
          </w:tcPr>
          <w:p>
            <w:pPr>
              <w:pStyle w:val="12"/>
            </w:pPr>
            <w:r>
              <w:t>1.69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2010804</w:t>
            </w:r>
          </w:p>
        </w:tc>
        <w:tc>
          <w:tcPr>
            <w:tcW w:w="4535" w:type="dxa"/>
            <w:vAlign w:val="center"/>
          </w:tcPr>
          <w:p>
            <w:pPr>
              <w:pStyle w:val="13"/>
            </w:pPr>
            <w:r>
              <w:t>审计业务</w:t>
            </w:r>
          </w:p>
        </w:tc>
        <w:tc>
          <w:tcPr>
            <w:tcW w:w="1361" w:type="dxa"/>
            <w:vAlign w:val="center"/>
          </w:tcPr>
          <w:p>
            <w:pPr>
              <w:pStyle w:val="12"/>
            </w:pPr>
            <w:r>
              <w:t>1.69</w:t>
            </w:r>
          </w:p>
        </w:tc>
        <w:tc>
          <w:tcPr>
            <w:tcW w:w="1361" w:type="dxa"/>
            <w:vAlign w:val="center"/>
          </w:tcPr>
          <w:p>
            <w:pPr>
              <w:pStyle w:val="12"/>
            </w:pPr>
          </w:p>
        </w:tc>
        <w:tc>
          <w:tcPr>
            <w:tcW w:w="1361" w:type="dxa"/>
            <w:vAlign w:val="center"/>
          </w:tcPr>
          <w:p>
            <w:pPr>
              <w:pStyle w:val="12"/>
            </w:pPr>
            <w:r>
              <w:t>1.69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356.05</w:t>
            </w:r>
          </w:p>
        </w:tc>
        <w:tc>
          <w:tcPr>
            <w:tcW w:w="1361" w:type="dxa"/>
            <w:vAlign w:val="center"/>
          </w:tcPr>
          <w:p>
            <w:pPr>
              <w:pStyle w:val="12"/>
            </w:pPr>
            <w:r>
              <w:t>355.25</w:t>
            </w: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355.25</w:t>
            </w:r>
          </w:p>
        </w:tc>
        <w:tc>
          <w:tcPr>
            <w:tcW w:w="1361" w:type="dxa"/>
            <w:vAlign w:val="center"/>
          </w:tcPr>
          <w:p>
            <w:pPr>
              <w:pStyle w:val="12"/>
            </w:pPr>
            <w:r>
              <w:t>355.25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244.39</w:t>
            </w:r>
          </w:p>
        </w:tc>
        <w:tc>
          <w:tcPr>
            <w:tcW w:w="1361" w:type="dxa"/>
            <w:vAlign w:val="center"/>
          </w:tcPr>
          <w:p>
            <w:pPr>
              <w:pStyle w:val="12"/>
            </w:pPr>
            <w:r>
              <w:t>244.39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102.36</w:t>
            </w:r>
          </w:p>
        </w:tc>
        <w:tc>
          <w:tcPr>
            <w:tcW w:w="1361" w:type="dxa"/>
            <w:vAlign w:val="center"/>
          </w:tcPr>
          <w:p>
            <w:pPr>
              <w:pStyle w:val="12"/>
            </w:pPr>
            <w:r>
              <w:t>102.36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8.50</w:t>
            </w:r>
          </w:p>
        </w:tc>
        <w:tc>
          <w:tcPr>
            <w:tcW w:w="1361" w:type="dxa"/>
            <w:vAlign w:val="center"/>
          </w:tcPr>
          <w:p>
            <w:pPr>
              <w:pStyle w:val="12"/>
            </w:pPr>
            <w:r>
              <w:t>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20820</w:t>
            </w:r>
          </w:p>
        </w:tc>
        <w:tc>
          <w:tcPr>
            <w:tcW w:w="4535" w:type="dxa"/>
            <w:vAlign w:val="center"/>
          </w:tcPr>
          <w:p>
            <w:pPr>
              <w:pStyle w:val="13"/>
            </w:pPr>
            <w:r>
              <w:t>临时救助</w:t>
            </w: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2082001</w:t>
            </w:r>
          </w:p>
        </w:tc>
        <w:tc>
          <w:tcPr>
            <w:tcW w:w="4535" w:type="dxa"/>
            <w:vAlign w:val="center"/>
          </w:tcPr>
          <w:p>
            <w:pPr>
              <w:pStyle w:val="13"/>
            </w:pPr>
            <w:r>
              <w:t>临时救助支出</w:t>
            </w: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51.73</w:t>
            </w:r>
          </w:p>
        </w:tc>
        <w:tc>
          <w:tcPr>
            <w:tcW w:w="1361" w:type="dxa"/>
            <w:vAlign w:val="center"/>
          </w:tcPr>
          <w:p>
            <w:pPr>
              <w:pStyle w:val="12"/>
            </w:pPr>
            <w:r>
              <w:t>51.73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51.73</w:t>
            </w:r>
          </w:p>
        </w:tc>
        <w:tc>
          <w:tcPr>
            <w:tcW w:w="1361" w:type="dxa"/>
            <w:vAlign w:val="center"/>
          </w:tcPr>
          <w:p>
            <w:pPr>
              <w:pStyle w:val="12"/>
            </w:pPr>
            <w:r>
              <w:t>51.73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43.13</w:t>
            </w:r>
          </w:p>
        </w:tc>
        <w:tc>
          <w:tcPr>
            <w:tcW w:w="1361" w:type="dxa"/>
            <w:vAlign w:val="center"/>
          </w:tcPr>
          <w:p>
            <w:pPr>
              <w:pStyle w:val="12"/>
            </w:pPr>
            <w:r>
              <w:t>43.13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8.60</w:t>
            </w:r>
          </w:p>
        </w:tc>
        <w:tc>
          <w:tcPr>
            <w:tcW w:w="1361" w:type="dxa"/>
            <w:vAlign w:val="center"/>
          </w:tcPr>
          <w:p>
            <w:pPr>
              <w:pStyle w:val="12"/>
            </w:pPr>
            <w:r>
              <w:t>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95.51</w:t>
            </w:r>
          </w:p>
        </w:tc>
        <w:tc>
          <w:tcPr>
            <w:tcW w:w="1361" w:type="dxa"/>
            <w:vAlign w:val="center"/>
          </w:tcPr>
          <w:p>
            <w:pPr>
              <w:pStyle w:val="12"/>
            </w:pPr>
            <w:r>
              <w:t>95.51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95.51</w:t>
            </w:r>
          </w:p>
        </w:tc>
        <w:tc>
          <w:tcPr>
            <w:tcW w:w="1361" w:type="dxa"/>
            <w:vAlign w:val="center"/>
          </w:tcPr>
          <w:p>
            <w:pPr>
              <w:pStyle w:val="12"/>
            </w:pPr>
            <w:r>
              <w:t>95.51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95.51</w:t>
            </w:r>
          </w:p>
        </w:tc>
        <w:tc>
          <w:tcPr>
            <w:tcW w:w="1361" w:type="dxa"/>
            <w:vAlign w:val="center"/>
          </w:tcPr>
          <w:p>
            <w:pPr>
              <w:pStyle w:val="12"/>
            </w:pPr>
            <w:r>
              <w:t>95.51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521石家庄市桥西区振头街道办事处</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2969.10</w:t>
            </w:r>
          </w:p>
        </w:tc>
        <w:tc>
          <w:tcPr>
            <w:tcW w:w="3402" w:type="dxa"/>
            <w:vAlign w:val="center"/>
          </w:tcPr>
          <w:p>
            <w:pPr>
              <w:pStyle w:val="13"/>
            </w:pPr>
            <w:r>
              <w:t>一、一般公共服务支出</w:t>
            </w:r>
          </w:p>
        </w:tc>
        <w:tc>
          <w:tcPr>
            <w:tcW w:w="1474" w:type="dxa"/>
            <w:vAlign w:val="center"/>
          </w:tcPr>
          <w:p>
            <w:pPr>
              <w:pStyle w:val="12"/>
            </w:pPr>
            <w:r>
              <w:t>2463.81</w:t>
            </w:r>
          </w:p>
        </w:tc>
        <w:tc>
          <w:tcPr>
            <w:tcW w:w="1474" w:type="dxa"/>
            <w:vAlign w:val="center"/>
          </w:tcPr>
          <w:p>
            <w:pPr>
              <w:pStyle w:val="12"/>
            </w:pPr>
            <w:r>
              <w:t>2463.81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2.00</w:t>
            </w:r>
          </w:p>
        </w:tc>
        <w:tc>
          <w:tcPr>
            <w:tcW w:w="1474" w:type="dxa"/>
            <w:vAlign w:val="center"/>
          </w:tcPr>
          <w:p>
            <w:pPr>
              <w:pStyle w:val="12"/>
            </w:pPr>
            <w:r>
              <w:t>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356.05</w:t>
            </w:r>
          </w:p>
        </w:tc>
        <w:tc>
          <w:tcPr>
            <w:tcW w:w="1474" w:type="dxa"/>
            <w:vAlign w:val="center"/>
          </w:tcPr>
          <w:p>
            <w:pPr>
              <w:pStyle w:val="12"/>
            </w:pPr>
            <w:r>
              <w:t>356.05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51.73</w:t>
            </w:r>
          </w:p>
        </w:tc>
        <w:tc>
          <w:tcPr>
            <w:tcW w:w="1474" w:type="dxa"/>
            <w:vAlign w:val="center"/>
          </w:tcPr>
          <w:p>
            <w:pPr>
              <w:pStyle w:val="12"/>
            </w:pPr>
            <w:r>
              <w:t>51.73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95.51</w:t>
            </w:r>
          </w:p>
        </w:tc>
        <w:tc>
          <w:tcPr>
            <w:tcW w:w="1474" w:type="dxa"/>
            <w:vAlign w:val="center"/>
          </w:tcPr>
          <w:p>
            <w:pPr>
              <w:pStyle w:val="12"/>
            </w:pPr>
            <w:r>
              <w:t>95.51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2969.10</w:t>
            </w:r>
          </w:p>
        </w:tc>
        <w:tc>
          <w:tcPr>
            <w:tcW w:w="3402" w:type="dxa"/>
            <w:vAlign w:val="center"/>
          </w:tcPr>
          <w:p>
            <w:pPr>
              <w:pStyle w:val="15"/>
            </w:pPr>
            <w:r>
              <w:t>本年支出合计</w:t>
            </w:r>
          </w:p>
        </w:tc>
        <w:tc>
          <w:tcPr>
            <w:tcW w:w="1474" w:type="dxa"/>
            <w:vAlign w:val="center"/>
          </w:tcPr>
          <w:p>
            <w:pPr>
              <w:pStyle w:val="16"/>
            </w:pPr>
            <w:r>
              <w:t>2969.10</w:t>
            </w:r>
          </w:p>
        </w:tc>
        <w:tc>
          <w:tcPr>
            <w:tcW w:w="1474" w:type="dxa"/>
            <w:vAlign w:val="center"/>
          </w:tcPr>
          <w:p>
            <w:pPr>
              <w:pStyle w:val="16"/>
            </w:pPr>
            <w:r>
              <w:t>2969.10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2969.10</w:t>
            </w:r>
          </w:p>
        </w:tc>
        <w:tc>
          <w:tcPr>
            <w:tcW w:w="3402" w:type="dxa"/>
            <w:vAlign w:val="center"/>
          </w:tcPr>
          <w:p>
            <w:pPr>
              <w:pStyle w:val="15"/>
            </w:pPr>
            <w:r>
              <w:t>支出总计</w:t>
            </w:r>
          </w:p>
        </w:tc>
        <w:tc>
          <w:tcPr>
            <w:tcW w:w="1474" w:type="dxa"/>
            <w:vAlign w:val="center"/>
          </w:tcPr>
          <w:p>
            <w:pPr>
              <w:pStyle w:val="16"/>
            </w:pPr>
            <w:r>
              <w:t>2969.10</w:t>
            </w:r>
          </w:p>
        </w:tc>
        <w:tc>
          <w:tcPr>
            <w:tcW w:w="1474" w:type="dxa"/>
            <w:vAlign w:val="center"/>
          </w:tcPr>
          <w:p>
            <w:pPr>
              <w:pStyle w:val="16"/>
            </w:pPr>
            <w:r>
              <w:t>2969.10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521石家庄市桥西区振头街道办事处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2969.10</w:t>
            </w:r>
          </w:p>
        </w:tc>
        <w:tc>
          <w:tcPr>
            <w:tcW w:w="2551" w:type="dxa"/>
            <w:vAlign w:val="center"/>
          </w:tcPr>
          <w:p>
            <w:pPr>
              <w:pStyle w:val="16"/>
            </w:pPr>
            <w:r>
              <w:t>1477.91</w:t>
            </w:r>
          </w:p>
        </w:tc>
        <w:tc>
          <w:tcPr>
            <w:tcW w:w="2551" w:type="dxa"/>
            <w:vAlign w:val="center"/>
          </w:tcPr>
          <w:p>
            <w:pPr>
              <w:pStyle w:val="16"/>
            </w:pPr>
            <w:r>
              <w:t>1491.19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2463.81</w:t>
            </w:r>
          </w:p>
        </w:tc>
        <w:tc>
          <w:tcPr>
            <w:tcW w:w="2551" w:type="dxa"/>
            <w:vAlign w:val="center"/>
          </w:tcPr>
          <w:p>
            <w:pPr>
              <w:pStyle w:val="12"/>
            </w:pPr>
            <w:r>
              <w:t>975.42</w:t>
            </w:r>
          </w:p>
        </w:tc>
        <w:tc>
          <w:tcPr>
            <w:tcW w:w="2551" w:type="dxa"/>
            <w:vAlign w:val="center"/>
          </w:tcPr>
          <w:p>
            <w:pPr>
              <w:pStyle w:val="12"/>
            </w:pPr>
            <w:r>
              <w:t>1488.39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2462.12</w:t>
            </w:r>
          </w:p>
        </w:tc>
        <w:tc>
          <w:tcPr>
            <w:tcW w:w="2551" w:type="dxa"/>
            <w:vAlign w:val="center"/>
          </w:tcPr>
          <w:p>
            <w:pPr>
              <w:pStyle w:val="12"/>
            </w:pPr>
            <w:r>
              <w:t>975.42</w:t>
            </w:r>
          </w:p>
        </w:tc>
        <w:tc>
          <w:tcPr>
            <w:tcW w:w="2551" w:type="dxa"/>
            <w:vAlign w:val="center"/>
          </w:tcPr>
          <w:p>
            <w:pPr>
              <w:pStyle w:val="12"/>
            </w:pPr>
            <w:r>
              <w:t>1486.70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975.42</w:t>
            </w:r>
          </w:p>
        </w:tc>
        <w:tc>
          <w:tcPr>
            <w:tcW w:w="2551" w:type="dxa"/>
            <w:vAlign w:val="center"/>
          </w:tcPr>
          <w:p>
            <w:pPr>
              <w:pStyle w:val="12"/>
            </w:pPr>
            <w:r>
              <w:t>975.42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2010399</w:t>
            </w:r>
          </w:p>
        </w:tc>
        <w:tc>
          <w:tcPr>
            <w:tcW w:w="4535" w:type="dxa"/>
            <w:vAlign w:val="center"/>
          </w:tcPr>
          <w:p>
            <w:pPr>
              <w:pStyle w:val="13"/>
            </w:pPr>
            <w:r>
              <w:t>其他政府办公厅（室）及相关机构事务支出</w:t>
            </w:r>
          </w:p>
        </w:tc>
        <w:tc>
          <w:tcPr>
            <w:tcW w:w="2551" w:type="dxa"/>
            <w:vAlign w:val="center"/>
          </w:tcPr>
          <w:p>
            <w:pPr>
              <w:pStyle w:val="12"/>
            </w:pPr>
            <w:r>
              <w:t>1486.70</w:t>
            </w:r>
          </w:p>
        </w:tc>
        <w:tc>
          <w:tcPr>
            <w:tcW w:w="2551" w:type="dxa"/>
            <w:vAlign w:val="center"/>
          </w:tcPr>
          <w:p>
            <w:pPr>
              <w:pStyle w:val="12"/>
            </w:pPr>
          </w:p>
        </w:tc>
        <w:tc>
          <w:tcPr>
            <w:tcW w:w="2551" w:type="dxa"/>
            <w:vAlign w:val="center"/>
          </w:tcPr>
          <w:p>
            <w:pPr>
              <w:pStyle w:val="12"/>
            </w:pPr>
            <w:r>
              <w:t>1486.70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20108</w:t>
            </w:r>
          </w:p>
        </w:tc>
        <w:tc>
          <w:tcPr>
            <w:tcW w:w="4535" w:type="dxa"/>
            <w:vAlign w:val="center"/>
          </w:tcPr>
          <w:p>
            <w:pPr>
              <w:pStyle w:val="13"/>
            </w:pPr>
            <w:r>
              <w:t>审计事务</w:t>
            </w:r>
          </w:p>
        </w:tc>
        <w:tc>
          <w:tcPr>
            <w:tcW w:w="2551" w:type="dxa"/>
            <w:vAlign w:val="center"/>
          </w:tcPr>
          <w:p>
            <w:pPr>
              <w:pStyle w:val="12"/>
            </w:pPr>
            <w:r>
              <w:t>1.69</w:t>
            </w:r>
          </w:p>
        </w:tc>
        <w:tc>
          <w:tcPr>
            <w:tcW w:w="2551" w:type="dxa"/>
            <w:vAlign w:val="center"/>
          </w:tcPr>
          <w:p>
            <w:pPr>
              <w:pStyle w:val="12"/>
            </w:pPr>
          </w:p>
        </w:tc>
        <w:tc>
          <w:tcPr>
            <w:tcW w:w="2551" w:type="dxa"/>
            <w:vAlign w:val="center"/>
          </w:tcPr>
          <w:p>
            <w:pPr>
              <w:pStyle w:val="12"/>
            </w:pPr>
            <w:r>
              <w:t>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2010804</w:t>
            </w:r>
          </w:p>
        </w:tc>
        <w:tc>
          <w:tcPr>
            <w:tcW w:w="4535" w:type="dxa"/>
            <w:vAlign w:val="center"/>
          </w:tcPr>
          <w:p>
            <w:pPr>
              <w:pStyle w:val="13"/>
            </w:pPr>
            <w:r>
              <w:t>审计业务</w:t>
            </w:r>
          </w:p>
        </w:tc>
        <w:tc>
          <w:tcPr>
            <w:tcW w:w="2551" w:type="dxa"/>
            <w:vAlign w:val="center"/>
          </w:tcPr>
          <w:p>
            <w:pPr>
              <w:pStyle w:val="12"/>
            </w:pPr>
            <w:r>
              <w:t>1.69</w:t>
            </w:r>
          </w:p>
        </w:tc>
        <w:tc>
          <w:tcPr>
            <w:tcW w:w="2551" w:type="dxa"/>
            <w:vAlign w:val="center"/>
          </w:tcPr>
          <w:p>
            <w:pPr>
              <w:pStyle w:val="12"/>
            </w:pPr>
          </w:p>
        </w:tc>
        <w:tc>
          <w:tcPr>
            <w:tcW w:w="2551" w:type="dxa"/>
            <w:vAlign w:val="center"/>
          </w:tcPr>
          <w:p>
            <w:pPr>
              <w:pStyle w:val="12"/>
            </w:pPr>
            <w:r>
              <w:t>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356.05</w:t>
            </w:r>
          </w:p>
        </w:tc>
        <w:tc>
          <w:tcPr>
            <w:tcW w:w="2551" w:type="dxa"/>
            <w:vAlign w:val="center"/>
          </w:tcPr>
          <w:p>
            <w:pPr>
              <w:pStyle w:val="12"/>
            </w:pPr>
            <w:r>
              <w:t>355.25</w:t>
            </w: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355.25</w:t>
            </w:r>
          </w:p>
        </w:tc>
        <w:tc>
          <w:tcPr>
            <w:tcW w:w="2551" w:type="dxa"/>
            <w:vAlign w:val="center"/>
          </w:tcPr>
          <w:p>
            <w:pPr>
              <w:pStyle w:val="12"/>
            </w:pPr>
            <w:r>
              <w:t>355.25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244.39</w:t>
            </w:r>
          </w:p>
        </w:tc>
        <w:tc>
          <w:tcPr>
            <w:tcW w:w="2551" w:type="dxa"/>
            <w:vAlign w:val="center"/>
          </w:tcPr>
          <w:p>
            <w:pPr>
              <w:pStyle w:val="12"/>
            </w:pPr>
            <w:r>
              <w:t>244.39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102.36</w:t>
            </w:r>
          </w:p>
        </w:tc>
        <w:tc>
          <w:tcPr>
            <w:tcW w:w="2551" w:type="dxa"/>
            <w:vAlign w:val="center"/>
          </w:tcPr>
          <w:p>
            <w:pPr>
              <w:pStyle w:val="12"/>
            </w:pPr>
            <w:r>
              <w:t>102.36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20820</w:t>
            </w:r>
          </w:p>
        </w:tc>
        <w:tc>
          <w:tcPr>
            <w:tcW w:w="4535" w:type="dxa"/>
            <w:vAlign w:val="center"/>
          </w:tcPr>
          <w:p>
            <w:pPr>
              <w:pStyle w:val="13"/>
            </w:pPr>
            <w:r>
              <w:t>临时救助</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2082001</w:t>
            </w:r>
          </w:p>
        </w:tc>
        <w:tc>
          <w:tcPr>
            <w:tcW w:w="4535" w:type="dxa"/>
            <w:vAlign w:val="center"/>
          </w:tcPr>
          <w:p>
            <w:pPr>
              <w:pStyle w:val="13"/>
            </w:pPr>
            <w:r>
              <w:t>临时救助支出</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51.73</w:t>
            </w:r>
          </w:p>
        </w:tc>
        <w:tc>
          <w:tcPr>
            <w:tcW w:w="2551" w:type="dxa"/>
            <w:vAlign w:val="center"/>
          </w:tcPr>
          <w:p>
            <w:pPr>
              <w:pStyle w:val="12"/>
            </w:pPr>
            <w:r>
              <w:t>51.73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51.73</w:t>
            </w:r>
          </w:p>
        </w:tc>
        <w:tc>
          <w:tcPr>
            <w:tcW w:w="2551" w:type="dxa"/>
            <w:vAlign w:val="center"/>
          </w:tcPr>
          <w:p>
            <w:pPr>
              <w:pStyle w:val="12"/>
            </w:pPr>
            <w:r>
              <w:t>51.73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43.13</w:t>
            </w:r>
          </w:p>
        </w:tc>
        <w:tc>
          <w:tcPr>
            <w:tcW w:w="2551" w:type="dxa"/>
            <w:vAlign w:val="center"/>
          </w:tcPr>
          <w:p>
            <w:pPr>
              <w:pStyle w:val="12"/>
            </w:pPr>
            <w:r>
              <w:t>43.13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8.60</w:t>
            </w:r>
          </w:p>
        </w:tc>
        <w:tc>
          <w:tcPr>
            <w:tcW w:w="2551" w:type="dxa"/>
            <w:vAlign w:val="center"/>
          </w:tcPr>
          <w:p>
            <w:pPr>
              <w:pStyle w:val="12"/>
            </w:pPr>
            <w:r>
              <w:t>8.60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95.51</w:t>
            </w:r>
          </w:p>
        </w:tc>
        <w:tc>
          <w:tcPr>
            <w:tcW w:w="2551" w:type="dxa"/>
            <w:vAlign w:val="center"/>
          </w:tcPr>
          <w:p>
            <w:pPr>
              <w:pStyle w:val="12"/>
            </w:pPr>
            <w:r>
              <w:t>95.51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95.51</w:t>
            </w:r>
          </w:p>
        </w:tc>
        <w:tc>
          <w:tcPr>
            <w:tcW w:w="2551" w:type="dxa"/>
            <w:vAlign w:val="center"/>
          </w:tcPr>
          <w:p>
            <w:pPr>
              <w:pStyle w:val="12"/>
            </w:pPr>
            <w:r>
              <w:t>95.51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95.51</w:t>
            </w:r>
          </w:p>
        </w:tc>
        <w:tc>
          <w:tcPr>
            <w:tcW w:w="2551" w:type="dxa"/>
            <w:vAlign w:val="center"/>
          </w:tcPr>
          <w:p>
            <w:pPr>
              <w:pStyle w:val="12"/>
            </w:pPr>
            <w:r>
              <w:t>95.51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521石家庄市桥西区振头街道办事处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1477.91</w:t>
            </w:r>
          </w:p>
        </w:tc>
        <w:tc>
          <w:tcPr>
            <w:tcW w:w="2551" w:type="dxa"/>
            <w:vAlign w:val="center"/>
          </w:tcPr>
          <w:p>
            <w:pPr>
              <w:pStyle w:val="16"/>
            </w:pPr>
            <w:r>
              <w:t>1330.44</w:t>
            </w:r>
          </w:p>
        </w:tc>
        <w:tc>
          <w:tcPr>
            <w:tcW w:w="2551" w:type="dxa"/>
            <w:vAlign w:val="center"/>
          </w:tcPr>
          <w:p>
            <w:pPr>
              <w:pStyle w:val="16"/>
            </w:pPr>
            <w:r>
              <w:t>147.47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1090.05</w:t>
            </w:r>
          </w:p>
        </w:tc>
        <w:tc>
          <w:tcPr>
            <w:tcW w:w="2551" w:type="dxa"/>
            <w:vAlign w:val="center"/>
          </w:tcPr>
          <w:p>
            <w:pPr>
              <w:pStyle w:val="12"/>
            </w:pPr>
            <w:r>
              <w:t>1090.05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296.63</w:t>
            </w:r>
          </w:p>
        </w:tc>
        <w:tc>
          <w:tcPr>
            <w:tcW w:w="2551" w:type="dxa"/>
            <w:vAlign w:val="center"/>
          </w:tcPr>
          <w:p>
            <w:pPr>
              <w:pStyle w:val="12"/>
            </w:pPr>
            <w:r>
              <w:t>296.63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179.08</w:t>
            </w:r>
          </w:p>
        </w:tc>
        <w:tc>
          <w:tcPr>
            <w:tcW w:w="2551" w:type="dxa"/>
            <w:vAlign w:val="center"/>
          </w:tcPr>
          <w:p>
            <w:pPr>
              <w:pStyle w:val="12"/>
            </w:pPr>
            <w:r>
              <w:t>179.08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133.93</w:t>
            </w:r>
          </w:p>
        </w:tc>
        <w:tc>
          <w:tcPr>
            <w:tcW w:w="2551" w:type="dxa"/>
            <w:vAlign w:val="center"/>
          </w:tcPr>
          <w:p>
            <w:pPr>
              <w:pStyle w:val="12"/>
            </w:pPr>
            <w:r>
              <w:t>133.93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217.75</w:t>
            </w:r>
          </w:p>
        </w:tc>
        <w:tc>
          <w:tcPr>
            <w:tcW w:w="2551" w:type="dxa"/>
            <w:vAlign w:val="center"/>
          </w:tcPr>
          <w:p>
            <w:pPr>
              <w:pStyle w:val="12"/>
            </w:pPr>
            <w:r>
              <w:t>217.75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102.36</w:t>
            </w:r>
          </w:p>
        </w:tc>
        <w:tc>
          <w:tcPr>
            <w:tcW w:w="2551" w:type="dxa"/>
            <w:vAlign w:val="center"/>
          </w:tcPr>
          <w:p>
            <w:pPr>
              <w:pStyle w:val="12"/>
            </w:pPr>
            <w:r>
              <w:t>102.36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43.13</w:t>
            </w:r>
          </w:p>
        </w:tc>
        <w:tc>
          <w:tcPr>
            <w:tcW w:w="2551" w:type="dxa"/>
            <w:vAlign w:val="center"/>
          </w:tcPr>
          <w:p>
            <w:pPr>
              <w:pStyle w:val="12"/>
            </w:pPr>
            <w:r>
              <w:t>43.13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8.60</w:t>
            </w:r>
          </w:p>
        </w:tc>
        <w:tc>
          <w:tcPr>
            <w:tcW w:w="2551" w:type="dxa"/>
            <w:vAlign w:val="center"/>
          </w:tcPr>
          <w:p>
            <w:pPr>
              <w:pStyle w:val="12"/>
            </w:pPr>
            <w:r>
              <w:t>8.60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4.56</w:t>
            </w:r>
          </w:p>
        </w:tc>
        <w:tc>
          <w:tcPr>
            <w:tcW w:w="2551" w:type="dxa"/>
            <w:vAlign w:val="center"/>
          </w:tcPr>
          <w:p>
            <w:pPr>
              <w:pStyle w:val="12"/>
            </w:pPr>
            <w:r>
              <w:t>4.56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95.51</w:t>
            </w:r>
          </w:p>
        </w:tc>
        <w:tc>
          <w:tcPr>
            <w:tcW w:w="2551" w:type="dxa"/>
            <w:vAlign w:val="center"/>
          </w:tcPr>
          <w:p>
            <w:pPr>
              <w:pStyle w:val="12"/>
            </w:pPr>
            <w:r>
              <w:t>95.51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147.47</w:t>
            </w:r>
          </w:p>
        </w:tc>
        <w:tc>
          <w:tcPr>
            <w:tcW w:w="2551" w:type="dxa"/>
            <w:vAlign w:val="center"/>
          </w:tcPr>
          <w:p>
            <w:pPr>
              <w:pStyle w:val="12"/>
            </w:pPr>
          </w:p>
        </w:tc>
        <w:tc>
          <w:tcPr>
            <w:tcW w:w="2551" w:type="dxa"/>
            <w:vAlign w:val="center"/>
          </w:tcPr>
          <w:p>
            <w:pPr>
              <w:pStyle w:val="12"/>
            </w:pPr>
            <w:r>
              <w:t>147.47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22.00</w:t>
            </w:r>
          </w:p>
        </w:tc>
        <w:tc>
          <w:tcPr>
            <w:tcW w:w="2551" w:type="dxa"/>
            <w:vAlign w:val="center"/>
          </w:tcPr>
          <w:p>
            <w:pPr>
              <w:pStyle w:val="12"/>
            </w:pPr>
          </w:p>
        </w:tc>
        <w:tc>
          <w:tcPr>
            <w:tcW w:w="2551" w:type="dxa"/>
            <w:vAlign w:val="center"/>
          </w:tcPr>
          <w:p>
            <w:pPr>
              <w:pStyle w:val="12"/>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13.00</w:t>
            </w:r>
          </w:p>
        </w:tc>
        <w:tc>
          <w:tcPr>
            <w:tcW w:w="2551" w:type="dxa"/>
            <w:vAlign w:val="center"/>
          </w:tcPr>
          <w:p>
            <w:pPr>
              <w:pStyle w:val="12"/>
            </w:pPr>
          </w:p>
        </w:tc>
        <w:tc>
          <w:tcPr>
            <w:tcW w:w="2551"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20.52</w:t>
            </w:r>
          </w:p>
        </w:tc>
        <w:tc>
          <w:tcPr>
            <w:tcW w:w="2551" w:type="dxa"/>
            <w:vAlign w:val="center"/>
          </w:tcPr>
          <w:p>
            <w:pPr>
              <w:pStyle w:val="12"/>
            </w:pPr>
          </w:p>
        </w:tc>
        <w:tc>
          <w:tcPr>
            <w:tcW w:w="2551" w:type="dxa"/>
            <w:vAlign w:val="center"/>
          </w:tcPr>
          <w:p>
            <w:pPr>
              <w:pStyle w:val="12"/>
            </w:pPr>
            <w:r>
              <w:t>20.52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13.95</w:t>
            </w:r>
          </w:p>
        </w:tc>
        <w:tc>
          <w:tcPr>
            <w:tcW w:w="2551" w:type="dxa"/>
            <w:vAlign w:val="center"/>
          </w:tcPr>
          <w:p>
            <w:pPr>
              <w:pStyle w:val="12"/>
            </w:pPr>
          </w:p>
        </w:tc>
        <w:tc>
          <w:tcPr>
            <w:tcW w:w="2551" w:type="dxa"/>
            <w:vAlign w:val="center"/>
          </w:tcPr>
          <w:p>
            <w:pPr>
              <w:pStyle w:val="12"/>
            </w:pPr>
            <w:r>
              <w:t>13.95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4.25</w:t>
            </w:r>
          </w:p>
        </w:tc>
        <w:tc>
          <w:tcPr>
            <w:tcW w:w="2551" w:type="dxa"/>
            <w:vAlign w:val="center"/>
          </w:tcPr>
          <w:p>
            <w:pPr>
              <w:pStyle w:val="12"/>
            </w:pPr>
          </w:p>
        </w:tc>
        <w:tc>
          <w:tcPr>
            <w:tcW w:w="2551" w:type="dxa"/>
            <w:vAlign w:val="center"/>
          </w:tcPr>
          <w:p>
            <w:pPr>
              <w:pStyle w:val="12"/>
            </w:pPr>
            <w:r>
              <w:t>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9.77</w:t>
            </w:r>
          </w:p>
        </w:tc>
        <w:tc>
          <w:tcPr>
            <w:tcW w:w="2551" w:type="dxa"/>
            <w:vAlign w:val="center"/>
          </w:tcPr>
          <w:p>
            <w:pPr>
              <w:pStyle w:val="12"/>
            </w:pPr>
          </w:p>
        </w:tc>
        <w:tc>
          <w:tcPr>
            <w:tcW w:w="2551" w:type="dxa"/>
            <w:vAlign w:val="center"/>
          </w:tcPr>
          <w:p>
            <w:pPr>
              <w:pStyle w:val="12"/>
            </w:pPr>
            <w:r>
              <w:t>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16.86</w:t>
            </w:r>
          </w:p>
        </w:tc>
        <w:tc>
          <w:tcPr>
            <w:tcW w:w="2551" w:type="dxa"/>
            <w:vAlign w:val="center"/>
          </w:tcPr>
          <w:p>
            <w:pPr>
              <w:pStyle w:val="12"/>
            </w:pPr>
          </w:p>
        </w:tc>
        <w:tc>
          <w:tcPr>
            <w:tcW w:w="2551" w:type="dxa"/>
            <w:vAlign w:val="center"/>
          </w:tcPr>
          <w:p>
            <w:pPr>
              <w:pStyle w:val="12"/>
            </w:pPr>
            <w:r>
              <w:t>16.86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43.42</w:t>
            </w:r>
          </w:p>
        </w:tc>
        <w:tc>
          <w:tcPr>
            <w:tcW w:w="2551" w:type="dxa"/>
            <w:vAlign w:val="center"/>
          </w:tcPr>
          <w:p>
            <w:pPr>
              <w:pStyle w:val="12"/>
            </w:pPr>
          </w:p>
        </w:tc>
        <w:tc>
          <w:tcPr>
            <w:tcW w:w="2551" w:type="dxa"/>
            <w:vAlign w:val="center"/>
          </w:tcPr>
          <w:p>
            <w:pPr>
              <w:pStyle w:val="12"/>
            </w:pPr>
            <w:r>
              <w:t>43.42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240.39</w:t>
            </w:r>
          </w:p>
        </w:tc>
        <w:tc>
          <w:tcPr>
            <w:tcW w:w="2551" w:type="dxa"/>
            <w:vAlign w:val="center"/>
          </w:tcPr>
          <w:p>
            <w:pPr>
              <w:pStyle w:val="12"/>
            </w:pPr>
            <w:r>
              <w:t>240.39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238.32</w:t>
            </w:r>
          </w:p>
        </w:tc>
        <w:tc>
          <w:tcPr>
            <w:tcW w:w="2551" w:type="dxa"/>
            <w:vAlign w:val="center"/>
          </w:tcPr>
          <w:p>
            <w:pPr>
              <w:pStyle w:val="12"/>
            </w:pPr>
            <w:r>
              <w:t>238.32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2.07</w:t>
            </w:r>
          </w:p>
        </w:tc>
        <w:tc>
          <w:tcPr>
            <w:tcW w:w="2551" w:type="dxa"/>
            <w:vAlign w:val="center"/>
          </w:tcPr>
          <w:p>
            <w:pPr>
              <w:pStyle w:val="12"/>
            </w:pPr>
            <w:r>
              <w:t>2.07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521石家庄市桥西区振头街道办事处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521石家庄市桥西区振头街道办事处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521石家庄市桥西区振头街道办事处</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石家庄市桥西区振头街道办事处2026年部门预算信息公开情况说明</w:t>
      </w:r>
    </w:p>
    <w:p>
      <w:pPr>
        <w:jc w:val="center"/>
      </w:pPr>
      <w:r>
        <w:rPr>
          <w:rFonts w:ascii="方正小标宋_GBK" w:hAnsi="方正小标宋_GBK" w:eastAsia="方正小标宋_GBK" w:cs="方正小标宋_GBK"/>
          <w:color w:val="000000"/>
          <w:sz w:val="44"/>
        </w:rPr>
        <w:t>石家庄市桥西区振头街道办事处2026年部门预算信息公开情况说明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按照《中华人民共和国预算法》、《地方预决算公开操作规程》和《关于进一步推进预算公开工作的实施意见》规定，现将石家庄市桥西区振头街道办事处2026年部门预算公开如下：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1、宣传贯彻党的路线、方针、政策和国家的法律法规，执行上级党组织的决议、决定，协调辖区内社会单位团体、组织党员和群众，保证党和政府各项任务顺利完成。</w:t>
      </w:r>
    </w:p>
    <w:p>
      <w:pPr>
        <w:pStyle w:val="18"/>
      </w:pPr>
      <w:r>
        <w:t>2、以经济建设为中心，积极营造优良的经济社会发展环境，发展和培育区域经济，为辖区各类型企业搞好服务。</w:t>
      </w:r>
    </w:p>
    <w:p>
      <w:pPr>
        <w:pStyle w:val="18"/>
      </w:pPr>
      <w:r>
        <w:t>3、讨论决定本辖区（居）委会社区建设，精神文明建设、社会治安综合治理、人民武装等方面的重大问题，对区域性、公益性、社会性、群众性工作负全面责任。</w:t>
      </w:r>
    </w:p>
    <w:p>
      <w:pPr>
        <w:pStyle w:val="18"/>
      </w:pPr>
      <w:r>
        <w:t>4、领导人大工作室、街道办事处、武装部、工会、共青团、妇联等组织，支持和保证行政组织、经济组织和群众自治组织，依照法律和各自的章程充分行使职权，协调好各方面关系。</w:t>
      </w:r>
    </w:p>
    <w:p>
      <w:pPr>
        <w:pStyle w:val="18"/>
      </w:pPr>
      <w:r>
        <w:t>5、加强党组织的自身建设，充分发挥乡、社区党组织的领导核心作用、战斗堡垒作用和党员的先锋模范作用，加强对辖区内“两新”组织党组织的建设和领导，做好发展党员工作。</w:t>
      </w:r>
    </w:p>
    <w:p>
      <w:pPr>
        <w:pStyle w:val="18"/>
      </w:pPr>
      <w:r>
        <w:t>6、组织制订街道（居）委会社区党的建设规划，协调、指导辖区单位党组织和党员积极参加街道、（居）委会政治生活。</w:t>
      </w:r>
    </w:p>
    <w:p>
      <w:pPr>
        <w:pStyle w:val="18"/>
      </w:pPr>
      <w:r>
        <w:t>7、按照干部管理权限，做好干部的教育、培养、选拔、推荐、考核、监督和奖惩工作。</w:t>
      </w:r>
    </w:p>
    <w:p>
      <w:pPr>
        <w:pStyle w:val="18"/>
      </w:pPr>
      <w:r>
        <w:t>8、领导辖区的思想政治工作和精神文明建设，对辖区单位参加市、区两级文明单位评选和在职党员在本单位以及市、区级评优签署意见。</w:t>
      </w:r>
    </w:p>
    <w:p>
      <w:pPr>
        <w:pStyle w:val="18"/>
      </w:pPr>
      <w:r>
        <w:t>9、密切联系群众，做好群众工作，搞好信访、矛盾纠纷排查治理工作，及时妥善处理人民内部矛盾，化解各种不稳定因素，确保辖区的政治稳定和社会安定。</w:t>
      </w:r>
    </w:p>
    <w:p>
      <w:pPr>
        <w:pStyle w:val="18"/>
      </w:pPr>
      <w:r>
        <w:t>10、负责（居）委会政权建设、组织换届和拥军优属、优抚救济、民族宗教、地名管理、助残及殡葬管理工作。</w:t>
      </w:r>
    </w:p>
    <w:p>
      <w:pPr>
        <w:pStyle w:val="18"/>
      </w:pPr>
      <w:r>
        <w:t>11、落实全区经济社会发展规划，认真完成所承担的经济社会各项指标和任务，营造优良的区域发展环境，培育壮大区域经济和税源经济。</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石家庄市桥西区振头街道办事处本级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按照预算管理有关规定，目前部门预算的编制实行综合预算管理，即全部收入和支出都反映在预算中。石家庄市桥西区振头街道办事处机关及所属事业单位的收支包含在部门预算中。</w:t>
      </w:r>
    </w:p>
    <w:p>
      <w:pPr>
        <w:pStyle w:val="19"/>
      </w:pPr>
      <w:r>
        <w:t>1、收入说明</w:t>
      </w:r>
    </w:p>
    <w:p>
      <w:pPr>
        <w:pStyle w:val="19"/>
      </w:pPr>
      <w:r>
        <w:t>反映本部门当年全部收入。2026年预算收入2969.10万元，其中：一般公共预算收入2969.10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桥西区振头街道办事处年度部门预算中支出预算的总体情况。2026年支出预算2969.10万元，其中基本支出1477.91万元，包括人员经费1330.44万元和日常公用经费147.47万元；项目支出1491.19万元，主要为综合事务专项经费，社区工作经费，武装工作经费，全科政务（劳务派遣），城管绩效（劳务派遣），社工工资，2026年三馆一站免费开放区级补助资金；预计下年使用的单位资金结余0.00万元。委托业务费共计安排3.69万元，主要用于因技术原因确需对外委托的辅助性工作和确有必要对外委托开展咨询、评审、规划等工作。</w:t>
      </w:r>
    </w:p>
    <w:p>
      <w:pPr>
        <w:pStyle w:val="19"/>
      </w:pPr>
      <w:r>
        <w:t>3、比上年增减情况</w:t>
      </w:r>
    </w:p>
    <w:p>
      <w:pPr>
        <w:pStyle w:val="19"/>
      </w:pPr>
      <w:r>
        <w:t>2026年预算收支安排2969.10万元，较2025年预算减少149.53万元，其中：基本支出减少1245.65万元，主要为人员经费增加，社工工资减少。项目支出增加1096.12万元，主要为社工工资增加，石财教【2024】88号优秀科技特派员工作站补助经费减少。预计下年使用的单位资金结余增加0.00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2026年，我部门机关运行经费共计安排147.47万元，主要用于日常维修、办公用房水电费、办公用房取暖费、办公用房物业管理费等日常运行支出。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万元，其中因公出国（境）费0万元；公务用车购置及运维费0万元（其中：公务用车购置费为0万元，公务用车运维费0万元)；公务接待费0万元。与2025年相比增加0万元，增减变化的主要原因是为无新增因公出国（境）计划；公务用车购置公务用车购置费0万元，与上年持平，无增减变化，原因为无新增公务用车购置计划；公务用车运维费与上年持平，无增减变化，原因为为进一步加强“三公”经费管理，树牢过紧日子思想；公务接待费与上年持平，无增减变化，原因为无新增公务接待计划。</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2"/>
      </w:pPr>
      <w:r>
        <w:t>紧紧围绕区委、区政府发展思路，坚持以“抓党建、防风险、优环境、促发展、惠民生”为主线，着力解决实践创新能力不足问题进一步提升综合管理能力和业务水平，为加快现代化国际化美丽省会城市而努力奋斗。一是抓好社区党建工作，提升社区组织建设水平；二是加大招商引资力度，推动辖区经济稳定发展；三是扎实推进帮扶救助，持续保障和改善民生；四是加强生态文明建设，推动辖区面貌和人居环境再；五是提高社会管理水平，维护社会安全稳定；</w:t>
      </w:r>
    </w:p>
    <w:p>
      <w:pPr>
        <w:spacing w:line="500" w:lineRule="exact"/>
        <w:ind w:firstLine="560"/>
      </w:pPr>
      <w:r>
        <w:rPr>
          <w:rFonts w:eastAsia="方正仿宋_GBK"/>
          <w:color w:val="000000"/>
          <w:sz w:val="28"/>
        </w:rPr>
        <w:t>（二）分项绩效目标</w:t>
      </w:r>
    </w:p>
    <w:p>
      <w:pPr>
        <w:pStyle w:val="23"/>
        <w:rPr>
          <w:rFonts w:hint="eastAsia" w:ascii="Times New Roman" w:hAnsi="Times New Roman" w:eastAsia="方正仿宋_GBK" w:cs="Times New Roman"/>
          <w:sz w:val="28"/>
          <w:szCs w:val="24"/>
          <w:lang w:val="en-US" w:eastAsia="zh-CN" w:bidi="ar-SA"/>
        </w:rPr>
      </w:pPr>
      <w:r>
        <w:rPr>
          <w:rFonts w:hint="eastAsia"/>
          <w:lang w:val="en-US" w:eastAsia="zh-CN"/>
        </w:rPr>
        <w:t>1.</w:t>
      </w:r>
      <w:r>
        <w:rPr>
          <w:rFonts w:hint="eastAsia" w:ascii="Times New Roman" w:hAnsi="Times New Roman" w:eastAsia="方正仿宋_GBK" w:cs="Times New Roman"/>
          <w:sz w:val="28"/>
          <w:szCs w:val="24"/>
          <w:lang w:val="en-US" w:eastAsia="zh-CN" w:bidi="ar-SA"/>
        </w:rPr>
        <w:t>围绕友谊大街及城角街两条经济干线，利用腾退土地及闲置楼宇资源谋划项目，努力打造第四处西二环新石中路商业圈。</w:t>
      </w:r>
    </w:p>
    <w:p>
      <w:pPr>
        <w:pStyle w:val="23"/>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2.优化居家社区养老服务，加大居家和社区基本养老服务提升行动力度，增加服务项目和内容，加强老年助餐服务设施建设，提升服务质量。</w:t>
      </w:r>
    </w:p>
    <w:p>
      <w:pPr>
        <w:pStyle w:val="23"/>
        <w:rPr>
          <w:rFonts w:hint="eastAsia" w:ascii="仿宋" w:hAnsi="仿宋" w:eastAsia="仿宋" w:cs="仿宋"/>
          <w:spacing w:val="7"/>
          <w:kern w:val="0"/>
          <w:sz w:val="32"/>
          <w:szCs w:val="32"/>
          <w:lang w:val="en-US" w:eastAsia="zh-CN" w:bidi="ar"/>
        </w:rPr>
      </w:pPr>
      <w:r>
        <w:rPr>
          <w:rFonts w:hint="eastAsia" w:ascii="Times New Roman" w:hAnsi="Times New Roman" w:eastAsia="方正仿宋_GBK" w:cs="Times New Roman"/>
          <w:sz w:val="28"/>
          <w:szCs w:val="24"/>
          <w:lang w:val="en-US" w:eastAsia="zh-CN" w:bidi="ar-SA"/>
        </w:rPr>
        <w:t>3.着力保障东良厢城中村改造项目回迁区二期、盛世御城五区、盛世御城一区项目、城南春天商业地块、冀云数字产业园项目的正常推进，采取督促项目单位加快施工进度、筹集资金等多项措施，全力推进项目施工建设</w:t>
      </w:r>
      <w:r>
        <w:rPr>
          <w:rFonts w:hint="eastAsia" w:ascii="Times New Roman" w:hAnsi="Times New Roman" w:cs="Times New Roman"/>
          <w:sz w:val="28"/>
          <w:szCs w:val="24"/>
          <w:lang w:val="en-US" w:eastAsia="zh-CN" w:bidi="ar-SA"/>
        </w:rPr>
        <w:t>.</w:t>
      </w:r>
    </w:p>
    <w:p>
      <w:pPr>
        <w:spacing w:line="500" w:lineRule="exact"/>
        <w:ind w:firstLine="560"/>
      </w:pPr>
      <w:r>
        <w:rPr>
          <w:rFonts w:eastAsia="方正仿宋_GBK"/>
          <w:color w:val="000000"/>
          <w:sz w:val="28"/>
        </w:rPr>
        <w:t>（三）工作保障措施</w:t>
      </w:r>
    </w:p>
    <w:p>
      <w:pPr>
        <w:pStyle w:val="24"/>
      </w:pPr>
    </w:p>
    <w:p>
      <w:pPr>
        <w:pStyle w:val="24"/>
        <w:numPr>
          <w:ilvl w:val="0"/>
          <w:numId w:val="1"/>
        </w:numPr>
      </w:pPr>
      <w:r>
        <w:t>是落实主体责任，发挥领导带头作用。以习近平新时代中国特色社会主义思想和党的</w:t>
      </w:r>
      <w:r>
        <w:rPr>
          <w:rFonts w:hint="eastAsia"/>
          <w:lang w:eastAsia="zh-CN"/>
        </w:rPr>
        <w:t>二十</w:t>
      </w:r>
      <w:r>
        <w:t>大精神为引领，抓班子带队伍，凡是区委、区政府作出的决策和部署，党委书记带头执行，所有班子成员要不折不扣的执行。紧紧围绕基层党建、城市精细化管理、文明城市巩固提升、疫情常态化防控等各项工作，细化分解，责任到岗，狠抓工作及责任落实，做到件件有交代，事事有回音。</w:t>
      </w:r>
    </w:p>
    <w:p>
      <w:pPr>
        <w:pStyle w:val="24"/>
      </w:pPr>
      <w:r>
        <w:rPr>
          <w:rFonts w:hint="eastAsia"/>
          <w:lang w:val="en-US" w:eastAsia="zh-CN"/>
        </w:rPr>
        <w:t xml:space="preserve"> 2.</w:t>
      </w:r>
      <w:r>
        <w:t>加强绩效运行监控，做好绩效自评。按要求开展绩效运行监控，发现问题及时采取措施，确保绩效目标按质按量按期完成。按要求开展上年度部门预算绩效自评和重点评价工作，对评价中发现的问题及时整改，提高财政资金使用效益。</w:t>
      </w:r>
    </w:p>
    <w:p>
      <w:pPr>
        <w:pStyle w:val="24"/>
        <w:rPr>
          <w:rFonts w:hint="eastAsia" w:eastAsia="方正仿宋_GBK"/>
          <w:lang w:val="en-US" w:eastAsia="zh-CN"/>
        </w:rPr>
        <w:sectPr>
          <w:pgSz w:w="16840" w:h="11900" w:orient="landscape"/>
          <w:pgMar w:top="1361" w:right="1020" w:bottom="1361" w:left="1020" w:header="720" w:footer="720" w:gutter="0"/>
          <w:cols w:space="720" w:num="1"/>
        </w:sectPr>
      </w:pPr>
      <w:r>
        <w:rPr>
          <w:rFonts w:hint="eastAsia"/>
          <w:lang w:val="en-US" w:eastAsia="zh-CN"/>
        </w:rPr>
        <w:t>3.</w:t>
      </w:r>
      <w:r>
        <w:t>加强内部监督。加强和完善内部监督制度建设，对绩效运行、重大支出事项、资产处置及其他重要经济业务事项决策和执行进行监督，定期开展财务内部审计、确保财政资金使用安全规范。</w:t>
      </w:r>
      <w:bookmarkStart w:id="20" w:name="_GoBack"/>
      <w:bookmarkEnd w:id="20"/>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1、2026年临时救助备用金绩效目标表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13010426P00977510010H</w:t>
            </w:r>
          </w:p>
        </w:tc>
        <w:tc>
          <w:tcPr>
            <w:tcW w:w="2835" w:type="dxa"/>
            <w:vAlign w:val="center"/>
          </w:tcPr>
          <w:p>
            <w:pPr>
              <w:pStyle w:val="11"/>
            </w:pPr>
            <w:r>
              <w:t>项目名称</w:t>
            </w:r>
          </w:p>
        </w:tc>
        <w:tc>
          <w:tcPr>
            <w:tcW w:w="6095" w:type="dxa"/>
            <w:gridSpan w:val="3"/>
            <w:vAlign w:val="center"/>
          </w:tcPr>
          <w:p>
            <w:pPr>
              <w:pStyle w:val="13"/>
            </w:pPr>
            <w:r>
              <w:t>2026年临时救助备用金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实现及时高效临时救助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1.实现及时高效临时救助。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临时救助水平</w:t>
            </w:r>
          </w:p>
        </w:tc>
        <w:tc>
          <w:tcPr>
            <w:tcW w:w="5386" w:type="dxa"/>
            <w:vAlign w:val="center"/>
          </w:tcPr>
          <w:p>
            <w:pPr>
              <w:pStyle w:val="13"/>
            </w:pPr>
            <w:r>
              <w:t>临时救助水平</w:t>
            </w:r>
          </w:p>
        </w:tc>
        <w:tc>
          <w:tcPr>
            <w:tcW w:w="2268" w:type="dxa"/>
            <w:vAlign w:val="center"/>
          </w:tcPr>
          <w:p>
            <w:pPr>
              <w:pStyle w:val="13"/>
            </w:pPr>
            <w:r>
              <w:t>≥90%</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实际发放的救助金、救助品数量达</w:t>
            </w:r>
          </w:p>
        </w:tc>
        <w:tc>
          <w:tcPr>
            <w:tcW w:w="5386" w:type="dxa"/>
            <w:vAlign w:val="center"/>
          </w:tcPr>
          <w:p>
            <w:pPr>
              <w:pStyle w:val="13"/>
            </w:pPr>
            <w:r>
              <w:t>实际发放的救助金、救助品数量达到有关规定的比例</w:t>
            </w:r>
          </w:p>
        </w:tc>
        <w:tc>
          <w:tcPr>
            <w:tcW w:w="2268" w:type="dxa"/>
            <w:vAlign w:val="center"/>
          </w:tcPr>
          <w:p>
            <w:pPr>
              <w:pStyle w:val="13"/>
            </w:pPr>
            <w:r>
              <w:t>≥90%</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救助及时率</w:t>
            </w:r>
          </w:p>
        </w:tc>
        <w:tc>
          <w:tcPr>
            <w:tcW w:w="5386" w:type="dxa"/>
            <w:vAlign w:val="center"/>
          </w:tcPr>
          <w:p>
            <w:pPr>
              <w:pStyle w:val="13"/>
            </w:pPr>
            <w:r>
              <w:t>救助及时率</w:t>
            </w:r>
          </w:p>
        </w:tc>
        <w:tc>
          <w:tcPr>
            <w:tcW w:w="2268" w:type="dxa"/>
            <w:vAlign w:val="center"/>
          </w:tcPr>
          <w:p>
            <w:pPr>
              <w:pStyle w:val="13"/>
            </w:pPr>
            <w:r>
              <w:t>≥90%</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≤100%</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困难群众生活水平</w:t>
            </w:r>
          </w:p>
        </w:tc>
        <w:tc>
          <w:tcPr>
            <w:tcW w:w="5386" w:type="dxa"/>
            <w:vAlign w:val="center"/>
          </w:tcPr>
          <w:p>
            <w:pPr>
              <w:pStyle w:val="13"/>
            </w:pPr>
            <w:r>
              <w:t>提高困难群众生活水平</w:t>
            </w:r>
          </w:p>
        </w:tc>
        <w:tc>
          <w:tcPr>
            <w:tcW w:w="2268" w:type="dxa"/>
            <w:vAlign w:val="center"/>
          </w:tcPr>
          <w:p>
            <w:pPr>
              <w:pStyle w:val="13"/>
            </w:pPr>
            <w:r>
              <w:t>≥90%</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救助对象的满意度</w:t>
            </w:r>
          </w:p>
        </w:tc>
        <w:tc>
          <w:tcPr>
            <w:tcW w:w="5386" w:type="dxa"/>
            <w:vAlign w:val="center"/>
          </w:tcPr>
          <w:p>
            <w:pPr>
              <w:pStyle w:val="13"/>
            </w:pPr>
            <w:r>
              <w:t>救助对象的满意度</w:t>
            </w:r>
          </w:p>
        </w:tc>
        <w:tc>
          <w:tcPr>
            <w:tcW w:w="2268" w:type="dxa"/>
            <w:vAlign w:val="center"/>
          </w:tcPr>
          <w:p>
            <w:pPr>
              <w:pStyle w:val="13"/>
            </w:pPr>
            <w:r>
              <w:t>≥90%</w:t>
            </w:r>
          </w:p>
        </w:tc>
        <w:tc>
          <w:tcPr>
            <w:tcW w:w="1276" w:type="dxa"/>
            <w:vAlign w:val="center"/>
          </w:tcPr>
          <w:p>
            <w:pPr>
              <w:pStyle w:val="13"/>
            </w:pPr>
            <w:r>
              <w:t>往年惯例</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2、2026年三馆一站免费开放区级补助资金绩效目标表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13010426P00992510074J</w:t>
            </w:r>
          </w:p>
        </w:tc>
        <w:tc>
          <w:tcPr>
            <w:tcW w:w="2835" w:type="dxa"/>
            <w:vAlign w:val="center"/>
          </w:tcPr>
          <w:p>
            <w:pPr>
              <w:pStyle w:val="11"/>
            </w:pPr>
            <w:r>
              <w:t>项目名称</w:t>
            </w:r>
          </w:p>
        </w:tc>
        <w:tc>
          <w:tcPr>
            <w:tcW w:w="6095" w:type="dxa"/>
            <w:gridSpan w:val="3"/>
            <w:vAlign w:val="center"/>
          </w:tcPr>
          <w:p>
            <w:pPr>
              <w:pStyle w:val="13"/>
            </w:pPr>
            <w:r>
              <w:t>2026年三馆一站免费开放区级补助资金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改善基层文化设施条件，保障群众文化活动权益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1.改善基层文化设施条件，保障群众文化活动权益。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群众参与免费开放文化场馆组织的活动次数</w:t>
            </w:r>
          </w:p>
        </w:tc>
        <w:tc>
          <w:tcPr>
            <w:tcW w:w="5386" w:type="dxa"/>
            <w:vAlign w:val="center"/>
          </w:tcPr>
          <w:p>
            <w:pPr>
              <w:pStyle w:val="13"/>
            </w:pPr>
            <w:r>
              <w:t>群众参与免费开放文化场馆组织的活动次数</w:t>
            </w:r>
          </w:p>
        </w:tc>
        <w:tc>
          <w:tcPr>
            <w:tcW w:w="2268" w:type="dxa"/>
            <w:vAlign w:val="center"/>
          </w:tcPr>
          <w:p>
            <w:pPr>
              <w:pStyle w:val="13"/>
            </w:pPr>
            <w:r>
              <w:t>≥2次</w:t>
            </w:r>
          </w:p>
        </w:tc>
        <w:tc>
          <w:tcPr>
            <w:tcW w:w="1276" w:type="dxa"/>
            <w:vAlign w:val="center"/>
          </w:tcPr>
          <w:p>
            <w:pPr>
              <w:pStyle w:val="13"/>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公共文化活动质量达标率</w:t>
            </w:r>
          </w:p>
        </w:tc>
        <w:tc>
          <w:tcPr>
            <w:tcW w:w="5386" w:type="dxa"/>
            <w:vAlign w:val="center"/>
          </w:tcPr>
          <w:p>
            <w:pPr>
              <w:pStyle w:val="13"/>
            </w:pPr>
            <w:r>
              <w:t>公共文化活动质量达标率</w:t>
            </w:r>
          </w:p>
        </w:tc>
        <w:tc>
          <w:tcPr>
            <w:tcW w:w="2268" w:type="dxa"/>
            <w:vAlign w:val="center"/>
          </w:tcPr>
          <w:p>
            <w:pPr>
              <w:pStyle w:val="13"/>
            </w:pPr>
            <w:r>
              <w:t>≥95%</w:t>
            </w:r>
          </w:p>
        </w:tc>
        <w:tc>
          <w:tcPr>
            <w:tcW w:w="1276" w:type="dxa"/>
            <w:vAlign w:val="center"/>
          </w:tcPr>
          <w:p>
            <w:pPr>
              <w:pStyle w:val="13"/>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文化活动按期完成率</w:t>
            </w:r>
          </w:p>
        </w:tc>
        <w:tc>
          <w:tcPr>
            <w:tcW w:w="5386" w:type="dxa"/>
            <w:vAlign w:val="center"/>
          </w:tcPr>
          <w:p>
            <w:pPr>
              <w:pStyle w:val="13"/>
            </w:pPr>
            <w:r>
              <w:t>文化活动按期完成率</w:t>
            </w:r>
          </w:p>
        </w:tc>
        <w:tc>
          <w:tcPr>
            <w:tcW w:w="2268" w:type="dxa"/>
            <w:vAlign w:val="center"/>
          </w:tcPr>
          <w:p>
            <w:pPr>
              <w:pStyle w:val="13"/>
            </w:pPr>
            <w:r>
              <w:t>≥90%</w:t>
            </w:r>
          </w:p>
        </w:tc>
        <w:tc>
          <w:tcPr>
            <w:tcW w:w="1276" w:type="dxa"/>
            <w:vAlign w:val="center"/>
          </w:tcPr>
          <w:p>
            <w:pPr>
              <w:pStyle w:val="13"/>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群众文化活动参加人次增长率</w:t>
            </w:r>
          </w:p>
        </w:tc>
        <w:tc>
          <w:tcPr>
            <w:tcW w:w="5386" w:type="dxa"/>
            <w:vAlign w:val="center"/>
          </w:tcPr>
          <w:p>
            <w:pPr>
              <w:pStyle w:val="13"/>
            </w:pPr>
            <w:r>
              <w:t>群众文化活动参加人次增长率</w:t>
            </w:r>
          </w:p>
        </w:tc>
        <w:tc>
          <w:tcPr>
            <w:tcW w:w="2268" w:type="dxa"/>
            <w:vAlign w:val="center"/>
          </w:tcPr>
          <w:p>
            <w:pPr>
              <w:pStyle w:val="13"/>
            </w:pPr>
            <w:r>
              <w:t>≥3%</w:t>
            </w:r>
          </w:p>
        </w:tc>
        <w:tc>
          <w:tcPr>
            <w:tcW w:w="1276" w:type="dxa"/>
            <w:vAlign w:val="center"/>
          </w:tcPr>
          <w:p>
            <w:pPr>
              <w:pStyle w:val="13"/>
            </w:pPr>
            <w:r>
              <w:t>石财教{【2025】39号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群众对文化消费活动满意度</w:t>
            </w:r>
          </w:p>
        </w:tc>
        <w:tc>
          <w:tcPr>
            <w:tcW w:w="5386" w:type="dxa"/>
            <w:vAlign w:val="center"/>
          </w:tcPr>
          <w:p>
            <w:pPr>
              <w:pStyle w:val="13"/>
            </w:pPr>
            <w:r>
              <w:t>群众对文化消费活动满意度</w:t>
            </w:r>
          </w:p>
        </w:tc>
        <w:tc>
          <w:tcPr>
            <w:tcW w:w="2268" w:type="dxa"/>
            <w:vAlign w:val="center"/>
          </w:tcPr>
          <w:p>
            <w:pPr>
              <w:pStyle w:val="13"/>
            </w:pPr>
            <w:r>
              <w:t>≥90%</w:t>
            </w:r>
          </w:p>
        </w:tc>
        <w:tc>
          <w:tcPr>
            <w:tcW w:w="1276" w:type="dxa"/>
            <w:vAlign w:val="center"/>
          </w:tcPr>
          <w:p>
            <w:pPr>
              <w:pStyle w:val="13"/>
            </w:pPr>
            <w:r>
              <w:t>石财教{【2025】39号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3、2026年三馆一站免费开放省级补助资金绩效目标表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13010426P00992510100A</w:t>
            </w:r>
          </w:p>
        </w:tc>
        <w:tc>
          <w:tcPr>
            <w:tcW w:w="2835" w:type="dxa"/>
            <w:vAlign w:val="center"/>
          </w:tcPr>
          <w:p>
            <w:pPr>
              <w:pStyle w:val="11"/>
            </w:pPr>
            <w:r>
              <w:t>项目名称</w:t>
            </w:r>
          </w:p>
        </w:tc>
        <w:tc>
          <w:tcPr>
            <w:tcW w:w="6095" w:type="dxa"/>
            <w:gridSpan w:val="3"/>
            <w:vAlign w:val="center"/>
          </w:tcPr>
          <w:p>
            <w:pPr>
              <w:pStyle w:val="13"/>
            </w:pPr>
            <w:r>
              <w:t>2026年三馆一站免费开放省级补助资金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用于三馆一站免费开放服务。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1.用于三馆一站免费开放服务。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群众参与免费开放文化场馆组织的活动次数</w:t>
            </w:r>
          </w:p>
        </w:tc>
        <w:tc>
          <w:tcPr>
            <w:tcW w:w="5386" w:type="dxa"/>
            <w:vAlign w:val="center"/>
          </w:tcPr>
          <w:p>
            <w:pPr>
              <w:pStyle w:val="13"/>
            </w:pPr>
            <w:r>
              <w:t>群众参与免费开放文化场馆组织的活动次数</w:t>
            </w:r>
          </w:p>
        </w:tc>
        <w:tc>
          <w:tcPr>
            <w:tcW w:w="2268" w:type="dxa"/>
            <w:vAlign w:val="center"/>
          </w:tcPr>
          <w:p>
            <w:pPr>
              <w:pStyle w:val="13"/>
            </w:pPr>
            <w:r>
              <w:t>≥1次</w:t>
            </w:r>
          </w:p>
        </w:tc>
        <w:tc>
          <w:tcPr>
            <w:tcW w:w="1276" w:type="dxa"/>
            <w:vAlign w:val="center"/>
          </w:tcPr>
          <w:p>
            <w:pPr>
              <w:pStyle w:val="13"/>
            </w:pPr>
            <w:r>
              <w:t>石财教【2025】87号文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群众参与人次较上年增长率</w:t>
            </w:r>
          </w:p>
        </w:tc>
        <w:tc>
          <w:tcPr>
            <w:tcW w:w="5386" w:type="dxa"/>
            <w:vAlign w:val="center"/>
          </w:tcPr>
          <w:p>
            <w:pPr>
              <w:pStyle w:val="13"/>
            </w:pPr>
            <w:r>
              <w:t>群众参与人次较上年增长率</w:t>
            </w:r>
          </w:p>
        </w:tc>
        <w:tc>
          <w:tcPr>
            <w:tcW w:w="2268" w:type="dxa"/>
            <w:vAlign w:val="center"/>
          </w:tcPr>
          <w:p>
            <w:pPr>
              <w:pStyle w:val="13"/>
            </w:pPr>
            <w:r>
              <w:t>≥25%</w:t>
            </w:r>
          </w:p>
        </w:tc>
        <w:tc>
          <w:tcPr>
            <w:tcW w:w="1276" w:type="dxa"/>
            <w:vAlign w:val="center"/>
          </w:tcPr>
          <w:p>
            <w:pPr>
              <w:pStyle w:val="13"/>
            </w:pPr>
            <w:r>
              <w:t>石财教【2025】87号文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文化活动按期完成率</w:t>
            </w:r>
          </w:p>
        </w:tc>
        <w:tc>
          <w:tcPr>
            <w:tcW w:w="5386" w:type="dxa"/>
            <w:vAlign w:val="center"/>
          </w:tcPr>
          <w:p>
            <w:pPr>
              <w:pStyle w:val="13"/>
            </w:pPr>
            <w:r>
              <w:t>文化活动按期完成率</w:t>
            </w:r>
          </w:p>
        </w:tc>
        <w:tc>
          <w:tcPr>
            <w:tcW w:w="2268" w:type="dxa"/>
            <w:vAlign w:val="center"/>
          </w:tcPr>
          <w:p>
            <w:pPr>
              <w:pStyle w:val="13"/>
            </w:pPr>
            <w:r>
              <w:t>≥80%</w:t>
            </w:r>
          </w:p>
        </w:tc>
        <w:tc>
          <w:tcPr>
            <w:tcW w:w="1276" w:type="dxa"/>
            <w:vAlign w:val="center"/>
          </w:tcPr>
          <w:p>
            <w:pPr>
              <w:pStyle w:val="13"/>
            </w:pPr>
            <w:r>
              <w:t>石财教【2025】87号文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石财教【2025】87号文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免费开放文化场馆正常运转</w:t>
            </w:r>
          </w:p>
        </w:tc>
        <w:tc>
          <w:tcPr>
            <w:tcW w:w="5386" w:type="dxa"/>
            <w:vAlign w:val="center"/>
          </w:tcPr>
          <w:p>
            <w:pPr>
              <w:pStyle w:val="13"/>
            </w:pPr>
            <w:r>
              <w:t>免费开放文化场馆正常运转</w:t>
            </w:r>
          </w:p>
        </w:tc>
        <w:tc>
          <w:tcPr>
            <w:tcW w:w="2268" w:type="dxa"/>
            <w:vAlign w:val="center"/>
          </w:tcPr>
          <w:p>
            <w:pPr>
              <w:pStyle w:val="13"/>
            </w:pPr>
            <w:r>
              <w:t>≥95%</w:t>
            </w:r>
          </w:p>
        </w:tc>
        <w:tc>
          <w:tcPr>
            <w:tcW w:w="1276" w:type="dxa"/>
            <w:vAlign w:val="center"/>
          </w:tcPr>
          <w:p>
            <w:pPr>
              <w:pStyle w:val="13"/>
            </w:pPr>
            <w:r>
              <w:t>石财教【2025】87号文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石财教【2025】87号文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4、“两委”班子成员经责审计费绩效目标表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13010426P00412810119W</w:t>
            </w:r>
          </w:p>
        </w:tc>
        <w:tc>
          <w:tcPr>
            <w:tcW w:w="2835" w:type="dxa"/>
            <w:vAlign w:val="center"/>
          </w:tcPr>
          <w:p>
            <w:pPr>
              <w:pStyle w:val="11"/>
            </w:pPr>
            <w:r>
              <w:t>项目名称</w:t>
            </w:r>
          </w:p>
        </w:tc>
        <w:tc>
          <w:tcPr>
            <w:tcW w:w="6095" w:type="dxa"/>
            <w:gridSpan w:val="3"/>
            <w:vAlign w:val="center"/>
          </w:tcPr>
          <w:p>
            <w:pPr>
              <w:pStyle w:val="13"/>
            </w:pPr>
            <w:r>
              <w:t>“两委”班子成员经责审计费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1.69</w:t>
            </w:r>
          </w:p>
        </w:tc>
        <w:tc>
          <w:tcPr>
            <w:tcW w:w="2835" w:type="dxa"/>
            <w:vAlign w:val="center"/>
          </w:tcPr>
          <w:p>
            <w:pPr>
              <w:pStyle w:val="11"/>
            </w:pPr>
            <w:r>
              <w:t>其中：财政    资金</w:t>
            </w:r>
          </w:p>
        </w:tc>
        <w:tc>
          <w:tcPr>
            <w:tcW w:w="2551" w:type="dxa"/>
            <w:vAlign w:val="center"/>
          </w:tcPr>
          <w:p>
            <w:pPr>
              <w:pStyle w:val="13"/>
            </w:pPr>
            <w:r>
              <w:t>1.69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用于社区“两委”班子成员任期和离任经济责任审计。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1.完成社区“两委”班子成员任期和离任经济责任审计。</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完成社区两委班子成员审计数量</w:t>
            </w:r>
          </w:p>
        </w:tc>
        <w:tc>
          <w:tcPr>
            <w:tcW w:w="5386" w:type="dxa"/>
            <w:vAlign w:val="center"/>
          </w:tcPr>
          <w:p>
            <w:pPr>
              <w:pStyle w:val="13"/>
            </w:pPr>
            <w:r>
              <w:t>完成社区两委班子成员审计数量</w:t>
            </w:r>
          </w:p>
        </w:tc>
        <w:tc>
          <w:tcPr>
            <w:tcW w:w="2268" w:type="dxa"/>
            <w:vAlign w:val="center"/>
          </w:tcPr>
          <w:p>
            <w:pPr>
              <w:pStyle w:val="13"/>
            </w:pPr>
            <w:r>
              <w:t>≥13个</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组织实施经济责任审计质量</w:t>
            </w:r>
          </w:p>
        </w:tc>
        <w:tc>
          <w:tcPr>
            <w:tcW w:w="5386" w:type="dxa"/>
            <w:vAlign w:val="center"/>
          </w:tcPr>
          <w:p>
            <w:pPr>
              <w:pStyle w:val="13"/>
            </w:pPr>
            <w:r>
              <w:t>组织实施经济责任审计质量</w:t>
            </w:r>
          </w:p>
        </w:tc>
        <w:tc>
          <w:tcPr>
            <w:tcW w:w="2268" w:type="dxa"/>
            <w:vAlign w:val="center"/>
          </w:tcPr>
          <w:p>
            <w:pPr>
              <w:pStyle w:val="13"/>
            </w:pPr>
            <w:r>
              <w:t>≥80%</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专项资金拨付及时率</w:t>
            </w:r>
          </w:p>
        </w:tc>
        <w:tc>
          <w:tcPr>
            <w:tcW w:w="5386" w:type="dxa"/>
            <w:vAlign w:val="center"/>
          </w:tcPr>
          <w:p>
            <w:pPr>
              <w:pStyle w:val="13"/>
            </w:pPr>
            <w:r>
              <w:t>专项资金拨付及时率</w:t>
            </w:r>
          </w:p>
        </w:tc>
        <w:tc>
          <w:tcPr>
            <w:tcW w:w="2268" w:type="dxa"/>
            <w:vAlign w:val="center"/>
          </w:tcPr>
          <w:p>
            <w:pPr>
              <w:pStyle w:val="13"/>
            </w:pPr>
            <w:r>
              <w:t>≥80%</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顺利进行社区换届</w:t>
            </w:r>
          </w:p>
        </w:tc>
        <w:tc>
          <w:tcPr>
            <w:tcW w:w="5386" w:type="dxa"/>
            <w:vAlign w:val="center"/>
          </w:tcPr>
          <w:p>
            <w:pPr>
              <w:pStyle w:val="13"/>
            </w:pPr>
            <w:r>
              <w:t>顺利进行社区换届</w:t>
            </w:r>
          </w:p>
        </w:tc>
        <w:tc>
          <w:tcPr>
            <w:tcW w:w="2268" w:type="dxa"/>
            <w:vAlign w:val="center"/>
          </w:tcPr>
          <w:p>
            <w:pPr>
              <w:pStyle w:val="13"/>
            </w:pPr>
            <w:r>
              <w:t>≥80%</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5、城管绩效（劳务派遣）绩效目标表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13010426P00976110002Y</w:t>
            </w:r>
          </w:p>
        </w:tc>
        <w:tc>
          <w:tcPr>
            <w:tcW w:w="2835" w:type="dxa"/>
            <w:vAlign w:val="center"/>
          </w:tcPr>
          <w:p>
            <w:pPr>
              <w:pStyle w:val="11"/>
            </w:pPr>
            <w:r>
              <w:t>项目名称</w:t>
            </w:r>
          </w:p>
        </w:tc>
        <w:tc>
          <w:tcPr>
            <w:tcW w:w="6095" w:type="dxa"/>
            <w:gridSpan w:val="3"/>
            <w:vAlign w:val="center"/>
          </w:tcPr>
          <w:p>
            <w:pPr>
              <w:pStyle w:val="13"/>
            </w:pPr>
            <w:r>
              <w:t>城管绩效（劳务派遣）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19.80</w:t>
            </w:r>
          </w:p>
        </w:tc>
        <w:tc>
          <w:tcPr>
            <w:tcW w:w="2835" w:type="dxa"/>
            <w:vAlign w:val="center"/>
          </w:tcPr>
          <w:p>
            <w:pPr>
              <w:pStyle w:val="11"/>
            </w:pPr>
            <w:r>
              <w:t>其中：财政    资金</w:t>
            </w:r>
          </w:p>
        </w:tc>
        <w:tc>
          <w:tcPr>
            <w:tcW w:w="2551" w:type="dxa"/>
            <w:vAlign w:val="center"/>
          </w:tcPr>
          <w:p>
            <w:pPr>
              <w:pStyle w:val="13"/>
            </w:pPr>
            <w:r>
              <w:t>19.80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用于全体城管协管员绩效工资。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1.调动全体城管协管员的工作积极性，确保收入公平、公正、合理。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协管人员数量</w:t>
            </w:r>
          </w:p>
        </w:tc>
        <w:tc>
          <w:tcPr>
            <w:tcW w:w="5386" w:type="dxa"/>
            <w:vAlign w:val="center"/>
          </w:tcPr>
          <w:p>
            <w:pPr>
              <w:pStyle w:val="13"/>
            </w:pPr>
            <w:r>
              <w:t>协管人员数量</w:t>
            </w:r>
          </w:p>
        </w:tc>
        <w:tc>
          <w:tcPr>
            <w:tcW w:w="2268" w:type="dxa"/>
            <w:vAlign w:val="center"/>
          </w:tcPr>
          <w:p>
            <w:pPr>
              <w:pStyle w:val="13"/>
            </w:pPr>
            <w:r>
              <w:t>≥33人</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人员考勤正常率</w:t>
            </w:r>
          </w:p>
        </w:tc>
        <w:tc>
          <w:tcPr>
            <w:tcW w:w="5386" w:type="dxa"/>
            <w:vAlign w:val="center"/>
          </w:tcPr>
          <w:p>
            <w:pPr>
              <w:pStyle w:val="13"/>
            </w:pPr>
            <w:r>
              <w:t>人员考勤正常率</w:t>
            </w:r>
          </w:p>
        </w:tc>
        <w:tc>
          <w:tcPr>
            <w:tcW w:w="2268" w:type="dxa"/>
            <w:vAlign w:val="center"/>
          </w:tcPr>
          <w:p>
            <w:pPr>
              <w:pStyle w:val="13"/>
            </w:pPr>
            <w:r>
              <w:t>≥95%</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经费开支是否及时</w:t>
            </w:r>
          </w:p>
        </w:tc>
        <w:tc>
          <w:tcPr>
            <w:tcW w:w="5386" w:type="dxa"/>
            <w:vAlign w:val="center"/>
          </w:tcPr>
          <w:p>
            <w:pPr>
              <w:pStyle w:val="13"/>
            </w:pPr>
            <w:r>
              <w:t>每月25号前支出</w:t>
            </w:r>
          </w:p>
        </w:tc>
        <w:tc>
          <w:tcPr>
            <w:tcW w:w="2268" w:type="dxa"/>
            <w:vAlign w:val="center"/>
          </w:tcPr>
          <w:p>
            <w:pPr>
              <w:pStyle w:val="13"/>
            </w:pPr>
            <w:r>
              <w:t>≥25号</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年度资金总额</w:t>
            </w:r>
          </w:p>
        </w:tc>
        <w:tc>
          <w:tcPr>
            <w:tcW w:w="5386" w:type="dxa"/>
            <w:vAlign w:val="center"/>
          </w:tcPr>
          <w:p>
            <w:pPr>
              <w:pStyle w:val="13"/>
            </w:pPr>
            <w:r>
              <w:t>年度资金总额</w:t>
            </w:r>
          </w:p>
        </w:tc>
        <w:tc>
          <w:tcPr>
            <w:tcW w:w="2268" w:type="dxa"/>
            <w:vAlign w:val="center"/>
          </w:tcPr>
          <w:p>
            <w:pPr>
              <w:pStyle w:val="13"/>
            </w:pPr>
            <w:r>
              <w:t>≤20.4万元</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提高从业人员素质</w:t>
            </w:r>
          </w:p>
        </w:tc>
        <w:tc>
          <w:tcPr>
            <w:tcW w:w="5386" w:type="dxa"/>
            <w:vAlign w:val="center"/>
          </w:tcPr>
          <w:p>
            <w:pPr>
              <w:pStyle w:val="13"/>
            </w:pPr>
            <w:r>
              <w:t>提高从业人员素质</w:t>
            </w:r>
          </w:p>
        </w:tc>
        <w:tc>
          <w:tcPr>
            <w:tcW w:w="2268" w:type="dxa"/>
            <w:vAlign w:val="center"/>
          </w:tcPr>
          <w:p>
            <w:pPr>
              <w:pStyle w:val="13"/>
            </w:pPr>
            <w:r>
              <w:t>≥50%</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6、全科政务（劳务派遣）绩效目标表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13010426P00976110001B</w:t>
            </w:r>
          </w:p>
        </w:tc>
        <w:tc>
          <w:tcPr>
            <w:tcW w:w="2835" w:type="dxa"/>
            <w:vAlign w:val="center"/>
          </w:tcPr>
          <w:p>
            <w:pPr>
              <w:pStyle w:val="11"/>
            </w:pPr>
            <w:r>
              <w:t>项目名称</w:t>
            </w:r>
          </w:p>
        </w:tc>
        <w:tc>
          <w:tcPr>
            <w:tcW w:w="6095" w:type="dxa"/>
            <w:gridSpan w:val="3"/>
            <w:vAlign w:val="center"/>
          </w:tcPr>
          <w:p>
            <w:pPr>
              <w:pStyle w:val="13"/>
            </w:pPr>
            <w:r>
              <w:t>全科政务（劳务派遣）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34.02</w:t>
            </w:r>
          </w:p>
        </w:tc>
        <w:tc>
          <w:tcPr>
            <w:tcW w:w="2835" w:type="dxa"/>
            <w:vAlign w:val="center"/>
          </w:tcPr>
          <w:p>
            <w:pPr>
              <w:pStyle w:val="11"/>
            </w:pPr>
            <w:r>
              <w:t>其中：财政    资金</w:t>
            </w:r>
          </w:p>
        </w:tc>
        <w:tc>
          <w:tcPr>
            <w:tcW w:w="2551" w:type="dxa"/>
            <w:vAlign w:val="center"/>
          </w:tcPr>
          <w:p>
            <w:pPr>
              <w:pStyle w:val="13"/>
            </w:pPr>
            <w:r>
              <w:t>34.02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用于全科政务人员工资支出。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1.能够在政务工作中承担多种职责的工作人员，以满足多样化的服务需求。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全科政务人员数量</w:t>
            </w:r>
          </w:p>
        </w:tc>
        <w:tc>
          <w:tcPr>
            <w:tcW w:w="5386" w:type="dxa"/>
            <w:vAlign w:val="center"/>
          </w:tcPr>
          <w:p>
            <w:pPr>
              <w:pStyle w:val="13"/>
            </w:pPr>
            <w:r>
              <w:t>全科政务人员数量</w:t>
            </w:r>
          </w:p>
        </w:tc>
        <w:tc>
          <w:tcPr>
            <w:tcW w:w="2268" w:type="dxa"/>
            <w:vAlign w:val="center"/>
          </w:tcPr>
          <w:p>
            <w:pPr>
              <w:pStyle w:val="13"/>
            </w:pPr>
            <w:r>
              <w:t>≥6人</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人员考勤正常率</w:t>
            </w:r>
          </w:p>
        </w:tc>
        <w:tc>
          <w:tcPr>
            <w:tcW w:w="5386" w:type="dxa"/>
            <w:vAlign w:val="center"/>
          </w:tcPr>
          <w:p>
            <w:pPr>
              <w:pStyle w:val="13"/>
            </w:pPr>
            <w:r>
              <w:t>人员考勤正常率</w:t>
            </w:r>
          </w:p>
        </w:tc>
        <w:tc>
          <w:tcPr>
            <w:tcW w:w="2268" w:type="dxa"/>
            <w:vAlign w:val="center"/>
          </w:tcPr>
          <w:p>
            <w:pPr>
              <w:pStyle w:val="13"/>
            </w:pPr>
            <w:r>
              <w:t>≥95%</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经费开支是否及时</w:t>
            </w:r>
          </w:p>
        </w:tc>
        <w:tc>
          <w:tcPr>
            <w:tcW w:w="5386" w:type="dxa"/>
            <w:vAlign w:val="center"/>
          </w:tcPr>
          <w:p>
            <w:pPr>
              <w:pStyle w:val="13"/>
            </w:pPr>
            <w:r>
              <w:t>每月25号前支出</w:t>
            </w:r>
          </w:p>
        </w:tc>
        <w:tc>
          <w:tcPr>
            <w:tcW w:w="2268" w:type="dxa"/>
            <w:vAlign w:val="center"/>
          </w:tcPr>
          <w:p>
            <w:pPr>
              <w:pStyle w:val="13"/>
            </w:pPr>
            <w:r>
              <w:t>≥25号</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年度资金总额</w:t>
            </w:r>
          </w:p>
        </w:tc>
        <w:tc>
          <w:tcPr>
            <w:tcW w:w="5386" w:type="dxa"/>
            <w:vAlign w:val="center"/>
          </w:tcPr>
          <w:p>
            <w:pPr>
              <w:pStyle w:val="13"/>
            </w:pPr>
            <w:r>
              <w:t>年度资金总额</w:t>
            </w:r>
          </w:p>
        </w:tc>
        <w:tc>
          <w:tcPr>
            <w:tcW w:w="2268" w:type="dxa"/>
            <w:vAlign w:val="center"/>
          </w:tcPr>
          <w:p>
            <w:pPr>
              <w:pStyle w:val="13"/>
            </w:pPr>
            <w:r>
              <w:t>≤45.55万元</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提升人员职业技能水平</w:t>
            </w:r>
          </w:p>
        </w:tc>
        <w:tc>
          <w:tcPr>
            <w:tcW w:w="5386" w:type="dxa"/>
            <w:vAlign w:val="center"/>
          </w:tcPr>
          <w:p>
            <w:pPr>
              <w:pStyle w:val="13"/>
            </w:pPr>
            <w:r>
              <w:t>提升人员职业技能水平</w:t>
            </w:r>
          </w:p>
        </w:tc>
        <w:tc>
          <w:tcPr>
            <w:tcW w:w="2268" w:type="dxa"/>
            <w:vAlign w:val="center"/>
          </w:tcPr>
          <w:p>
            <w:pPr>
              <w:pStyle w:val="13"/>
            </w:pPr>
            <w:r>
              <w:t>≥50%</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对象满意度</w:t>
            </w:r>
          </w:p>
        </w:tc>
        <w:tc>
          <w:tcPr>
            <w:tcW w:w="5386" w:type="dxa"/>
            <w:vAlign w:val="center"/>
          </w:tcPr>
          <w:p>
            <w:pPr>
              <w:pStyle w:val="13"/>
            </w:pPr>
            <w:r>
              <w:t>对象满意度</w:t>
            </w:r>
          </w:p>
        </w:tc>
        <w:tc>
          <w:tcPr>
            <w:tcW w:w="2268" w:type="dxa"/>
            <w:vAlign w:val="center"/>
          </w:tcPr>
          <w:p>
            <w:pPr>
              <w:pStyle w:val="13"/>
            </w:pPr>
            <w:r>
              <w:t>≥80%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7、社工工资绩效目标表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13010426P00976110047G</w:t>
            </w:r>
          </w:p>
        </w:tc>
        <w:tc>
          <w:tcPr>
            <w:tcW w:w="2835" w:type="dxa"/>
            <w:vAlign w:val="center"/>
          </w:tcPr>
          <w:p>
            <w:pPr>
              <w:pStyle w:val="11"/>
            </w:pPr>
            <w:r>
              <w:t>项目名称</w:t>
            </w:r>
          </w:p>
        </w:tc>
        <w:tc>
          <w:tcPr>
            <w:tcW w:w="6095" w:type="dxa"/>
            <w:gridSpan w:val="3"/>
            <w:vAlign w:val="center"/>
          </w:tcPr>
          <w:p>
            <w:pPr>
              <w:pStyle w:val="13"/>
            </w:pPr>
            <w:r>
              <w:t>社工工资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1202.68</w:t>
            </w:r>
          </w:p>
        </w:tc>
        <w:tc>
          <w:tcPr>
            <w:tcW w:w="2835" w:type="dxa"/>
            <w:vAlign w:val="center"/>
          </w:tcPr>
          <w:p>
            <w:pPr>
              <w:pStyle w:val="11"/>
            </w:pPr>
            <w:r>
              <w:t>其中：财政    资金</w:t>
            </w:r>
          </w:p>
        </w:tc>
        <w:tc>
          <w:tcPr>
            <w:tcW w:w="2551" w:type="dxa"/>
            <w:vAlign w:val="center"/>
          </w:tcPr>
          <w:p>
            <w:pPr>
              <w:pStyle w:val="13"/>
            </w:pPr>
            <w:r>
              <w:t>1202.68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保障好社区工作人员工资。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1.保障好社区工作人员工资</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社工人员数量</w:t>
            </w:r>
          </w:p>
        </w:tc>
        <w:tc>
          <w:tcPr>
            <w:tcW w:w="5386" w:type="dxa"/>
            <w:vAlign w:val="center"/>
          </w:tcPr>
          <w:p>
            <w:pPr>
              <w:pStyle w:val="13"/>
            </w:pPr>
            <w:r>
              <w:t>社工人员数量</w:t>
            </w:r>
          </w:p>
        </w:tc>
        <w:tc>
          <w:tcPr>
            <w:tcW w:w="2268" w:type="dxa"/>
            <w:vAlign w:val="center"/>
          </w:tcPr>
          <w:p>
            <w:pPr>
              <w:pStyle w:val="13"/>
            </w:pPr>
            <w:r>
              <w:t>≥161人</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人员考勤正常率</w:t>
            </w:r>
          </w:p>
        </w:tc>
        <w:tc>
          <w:tcPr>
            <w:tcW w:w="5386" w:type="dxa"/>
            <w:vAlign w:val="center"/>
          </w:tcPr>
          <w:p>
            <w:pPr>
              <w:pStyle w:val="13"/>
            </w:pPr>
            <w:r>
              <w:t>人员考勤正常率</w:t>
            </w:r>
          </w:p>
        </w:tc>
        <w:tc>
          <w:tcPr>
            <w:tcW w:w="2268" w:type="dxa"/>
            <w:vAlign w:val="center"/>
          </w:tcPr>
          <w:p>
            <w:pPr>
              <w:pStyle w:val="13"/>
            </w:pPr>
            <w:r>
              <w:t>≥95%</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经费开支是否及时</w:t>
            </w:r>
          </w:p>
        </w:tc>
        <w:tc>
          <w:tcPr>
            <w:tcW w:w="5386" w:type="dxa"/>
            <w:vAlign w:val="center"/>
          </w:tcPr>
          <w:p>
            <w:pPr>
              <w:pStyle w:val="13"/>
            </w:pPr>
            <w:r>
              <w:t>每月15号前支出</w:t>
            </w:r>
          </w:p>
        </w:tc>
        <w:tc>
          <w:tcPr>
            <w:tcW w:w="2268" w:type="dxa"/>
            <w:vAlign w:val="center"/>
          </w:tcPr>
          <w:p>
            <w:pPr>
              <w:pStyle w:val="13"/>
            </w:pPr>
            <w:r>
              <w:t>≥25号</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年度资金总额</w:t>
            </w:r>
          </w:p>
        </w:tc>
        <w:tc>
          <w:tcPr>
            <w:tcW w:w="5386" w:type="dxa"/>
            <w:vAlign w:val="center"/>
          </w:tcPr>
          <w:p>
            <w:pPr>
              <w:pStyle w:val="13"/>
            </w:pPr>
            <w:r>
              <w:t>年度资金总额</w:t>
            </w:r>
          </w:p>
        </w:tc>
        <w:tc>
          <w:tcPr>
            <w:tcW w:w="2268" w:type="dxa"/>
            <w:vAlign w:val="center"/>
          </w:tcPr>
          <w:p>
            <w:pPr>
              <w:pStyle w:val="13"/>
            </w:pPr>
            <w:r>
              <w:t>≤1202.68万元</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提升人员职业技能水平</w:t>
            </w:r>
          </w:p>
        </w:tc>
        <w:tc>
          <w:tcPr>
            <w:tcW w:w="5386" w:type="dxa"/>
            <w:vAlign w:val="center"/>
          </w:tcPr>
          <w:p>
            <w:pPr>
              <w:pStyle w:val="13"/>
            </w:pPr>
            <w:r>
              <w:t>提升人员职业技能水平</w:t>
            </w:r>
          </w:p>
        </w:tc>
        <w:tc>
          <w:tcPr>
            <w:tcW w:w="2268" w:type="dxa"/>
            <w:vAlign w:val="center"/>
          </w:tcPr>
          <w:p>
            <w:pPr>
              <w:pStyle w:val="13"/>
            </w:pPr>
            <w:r>
              <w:t>≥50%</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对象满意度</w:t>
            </w:r>
          </w:p>
        </w:tc>
        <w:tc>
          <w:tcPr>
            <w:tcW w:w="5386" w:type="dxa"/>
            <w:vAlign w:val="center"/>
          </w:tcPr>
          <w:p>
            <w:pPr>
              <w:pStyle w:val="13"/>
            </w:pPr>
            <w:r>
              <w:t>对象满意度</w:t>
            </w:r>
          </w:p>
        </w:tc>
        <w:tc>
          <w:tcPr>
            <w:tcW w:w="2268" w:type="dxa"/>
            <w:vAlign w:val="center"/>
          </w:tcPr>
          <w:p>
            <w:pPr>
              <w:pStyle w:val="13"/>
            </w:pPr>
            <w:r>
              <w:t>≥80%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8、社区工作经费绩效目标表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13010426P00412810102P</w:t>
            </w:r>
          </w:p>
        </w:tc>
        <w:tc>
          <w:tcPr>
            <w:tcW w:w="2835" w:type="dxa"/>
            <w:vAlign w:val="center"/>
          </w:tcPr>
          <w:p>
            <w:pPr>
              <w:pStyle w:val="11"/>
            </w:pPr>
            <w:r>
              <w:t>项目名称</w:t>
            </w:r>
          </w:p>
        </w:tc>
        <w:tc>
          <w:tcPr>
            <w:tcW w:w="6095" w:type="dxa"/>
            <w:gridSpan w:val="3"/>
            <w:vAlign w:val="center"/>
          </w:tcPr>
          <w:p>
            <w:pPr>
              <w:pStyle w:val="13"/>
            </w:pPr>
            <w:r>
              <w:t>社区工作经费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220.00</w:t>
            </w:r>
          </w:p>
        </w:tc>
        <w:tc>
          <w:tcPr>
            <w:tcW w:w="2835" w:type="dxa"/>
            <w:vAlign w:val="center"/>
          </w:tcPr>
          <w:p>
            <w:pPr>
              <w:pStyle w:val="11"/>
            </w:pPr>
            <w:r>
              <w:t>其中：财政    资金</w:t>
            </w:r>
          </w:p>
        </w:tc>
        <w:tc>
          <w:tcPr>
            <w:tcW w:w="2551" w:type="dxa"/>
            <w:vAlign w:val="center"/>
          </w:tcPr>
          <w:p>
            <w:pPr>
              <w:pStyle w:val="13"/>
            </w:pPr>
            <w:r>
              <w:t>220.00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用于保障社区的正常运转。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1.保障社区日常办公运转，保障群众党员教育培训，做好社区老党员和困难党员的慰问。</w:t>
            </w:r>
            <w:r>
              <w:tab/>
            </w:r>
            <w:r>
              <w:tab/>
            </w:r>
            <w:r>
              <w:tab/>
            </w:r>
            <w:r>
              <w:tab/>
            </w:r>
            <w:r>
              <w:tab/>
            </w:r>
            <w:r>
              <w:tab/>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开展外宣活动数量</w:t>
            </w:r>
          </w:p>
        </w:tc>
        <w:tc>
          <w:tcPr>
            <w:tcW w:w="5386" w:type="dxa"/>
            <w:vAlign w:val="center"/>
          </w:tcPr>
          <w:p>
            <w:pPr>
              <w:pStyle w:val="13"/>
            </w:pPr>
            <w:r>
              <w:t>开展外宣活动数量</w:t>
            </w:r>
          </w:p>
        </w:tc>
        <w:tc>
          <w:tcPr>
            <w:tcW w:w="2268" w:type="dxa"/>
            <w:vAlign w:val="center"/>
          </w:tcPr>
          <w:p>
            <w:pPr>
              <w:pStyle w:val="13"/>
            </w:pPr>
            <w:r>
              <w:t>≥22次</w:t>
            </w:r>
          </w:p>
        </w:tc>
        <w:tc>
          <w:tcPr>
            <w:tcW w:w="1276" w:type="dxa"/>
            <w:vAlign w:val="center"/>
          </w:tcPr>
          <w:p>
            <w:pPr>
              <w:pStyle w:val="13"/>
            </w:pPr>
            <w:r>
              <w:t>石办发[2013]3号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5386" w:type="dxa"/>
            <w:vAlign w:val="center"/>
          </w:tcPr>
          <w:p>
            <w:pPr>
              <w:pStyle w:val="13"/>
            </w:pPr>
            <w:r>
              <w:t>群众文化活动参与率</w:t>
            </w:r>
          </w:p>
        </w:tc>
        <w:tc>
          <w:tcPr>
            <w:tcW w:w="2268" w:type="dxa"/>
            <w:vAlign w:val="center"/>
          </w:tcPr>
          <w:p>
            <w:pPr>
              <w:pStyle w:val="13"/>
            </w:pPr>
            <w:r>
              <w:t>≥80%</w:t>
            </w:r>
          </w:p>
        </w:tc>
        <w:tc>
          <w:tcPr>
            <w:tcW w:w="1276" w:type="dxa"/>
            <w:vAlign w:val="center"/>
          </w:tcPr>
          <w:p>
            <w:pPr>
              <w:pStyle w:val="13"/>
            </w:pPr>
            <w:r>
              <w:t>石办发[2013]3号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≥80%</w:t>
            </w:r>
          </w:p>
        </w:tc>
        <w:tc>
          <w:tcPr>
            <w:tcW w:w="1276" w:type="dxa"/>
            <w:vAlign w:val="center"/>
          </w:tcPr>
          <w:p>
            <w:pPr>
              <w:pStyle w:val="13"/>
            </w:pPr>
            <w:r>
              <w:t>石办发[2013]3号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石办发[2013]3号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社会组织党建工作覆盖率</w:t>
            </w:r>
          </w:p>
        </w:tc>
        <w:tc>
          <w:tcPr>
            <w:tcW w:w="5386" w:type="dxa"/>
            <w:vAlign w:val="center"/>
          </w:tcPr>
          <w:p>
            <w:pPr>
              <w:pStyle w:val="13"/>
            </w:pPr>
            <w:r>
              <w:t>社会组织党建工作覆盖率</w:t>
            </w:r>
          </w:p>
        </w:tc>
        <w:tc>
          <w:tcPr>
            <w:tcW w:w="2268" w:type="dxa"/>
            <w:vAlign w:val="center"/>
          </w:tcPr>
          <w:p>
            <w:pPr>
              <w:pStyle w:val="13"/>
            </w:pPr>
            <w:r>
              <w:t>≥80%</w:t>
            </w:r>
          </w:p>
        </w:tc>
        <w:tc>
          <w:tcPr>
            <w:tcW w:w="1276" w:type="dxa"/>
            <w:vAlign w:val="center"/>
          </w:tcPr>
          <w:p>
            <w:pPr>
              <w:pStyle w:val="13"/>
            </w:pPr>
            <w:r>
              <w:t>石办发[2013]3号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≥80%</w:t>
            </w:r>
          </w:p>
        </w:tc>
        <w:tc>
          <w:tcPr>
            <w:tcW w:w="1276" w:type="dxa"/>
            <w:vAlign w:val="center"/>
          </w:tcPr>
          <w:p>
            <w:pPr>
              <w:pStyle w:val="13"/>
            </w:pPr>
            <w:r>
              <w:t>石办发[2013]3号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9、武装工作经费绩效目标表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13010426P00RT0610023P</w:t>
            </w:r>
          </w:p>
        </w:tc>
        <w:tc>
          <w:tcPr>
            <w:tcW w:w="2835" w:type="dxa"/>
            <w:vAlign w:val="center"/>
          </w:tcPr>
          <w:p>
            <w:pPr>
              <w:pStyle w:val="11"/>
            </w:pPr>
            <w:r>
              <w:t>项目名称</w:t>
            </w:r>
          </w:p>
        </w:tc>
        <w:tc>
          <w:tcPr>
            <w:tcW w:w="6095" w:type="dxa"/>
            <w:gridSpan w:val="3"/>
            <w:vAlign w:val="center"/>
          </w:tcPr>
          <w:p>
            <w:pPr>
              <w:pStyle w:val="13"/>
            </w:pPr>
            <w:r>
              <w:t>武装工作经费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用于武装工作。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1.用于战备执勤、动员准备、民兵工作、兵员征集、国防教育、军事设施保护、双拥共建、武装工作软硬件建设等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民兵训练人员数量</w:t>
            </w:r>
          </w:p>
        </w:tc>
        <w:tc>
          <w:tcPr>
            <w:tcW w:w="5386" w:type="dxa"/>
            <w:vAlign w:val="center"/>
          </w:tcPr>
          <w:p>
            <w:pPr>
              <w:pStyle w:val="13"/>
            </w:pPr>
            <w:r>
              <w:t>民兵训练人员数量</w:t>
            </w:r>
          </w:p>
        </w:tc>
        <w:tc>
          <w:tcPr>
            <w:tcW w:w="2268" w:type="dxa"/>
            <w:vAlign w:val="center"/>
          </w:tcPr>
          <w:p>
            <w:pPr>
              <w:pStyle w:val="13"/>
            </w:pPr>
            <w:r>
              <w:t>≥60人/次</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民兵训练质量</w:t>
            </w:r>
          </w:p>
        </w:tc>
        <w:tc>
          <w:tcPr>
            <w:tcW w:w="5386" w:type="dxa"/>
            <w:vAlign w:val="center"/>
          </w:tcPr>
          <w:p>
            <w:pPr>
              <w:pStyle w:val="13"/>
            </w:pPr>
            <w:r>
              <w:t>民兵训练质量</w:t>
            </w:r>
          </w:p>
        </w:tc>
        <w:tc>
          <w:tcPr>
            <w:tcW w:w="2268" w:type="dxa"/>
            <w:vAlign w:val="center"/>
          </w:tcPr>
          <w:p>
            <w:pPr>
              <w:pStyle w:val="13"/>
            </w:pPr>
            <w:r>
              <w:t>≥90%</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征兵时间</w:t>
            </w:r>
          </w:p>
        </w:tc>
        <w:tc>
          <w:tcPr>
            <w:tcW w:w="5386" w:type="dxa"/>
            <w:vAlign w:val="center"/>
          </w:tcPr>
          <w:p>
            <w:pPr>
              <w:pStyle w:val="13"/>
            </w:pPr>
            <w:r>
              <w:t>根据上级部门规定时限</w:t>
            </w:r>
          </w:p>
        </w:tc>
        <w:tc>
          <w:tcPr>
            <w:tcW w:w="2268" w:type="dxa"/>
            <w:vAlign w:val="center"/>
          </w:tcPr>
          <w:p>
            <w:pPr>
              <w:pStyle w:val="13"/>
            </w:pPr>
            <w:r>
              <w:t>≥90%</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国防宣传、征兵工作知晓率</w:t>
            </w:r>
          </w:p>
        </w:tc>
        <w:tc>
          <w:tcPr>
            <w:tcW w:w="5386" w:type="dxa"/>
            <w:vAlign w:val="center"/>
          </w:tcPr>
          <w:p>
            <w:pPr>
              <w:pStyle w:val="13"/>
            </w:pPr>
            <w:r>
              <w:t>国防宣传、征兵工作知晓率</w:t>
            </w:r>
          </w:p>
        </w:tc>
        <w:tc>
          <w:tcPr>
            <w:tcW w:w="2268" w:type="dxa"/>
            <w:vAlign w:val="center"/>
          </w:tcPr>
          <w:p>
            <w:pPr>
              <w:pStyle w:val="13"/>
            </w:pPr>
            <w:r>
              <w:t>≥80%</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10、综合事务专项经费绩效目标表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13010426P00987010062F</w:t>
            </w:r>
          </w:p>
        </w:tc>
        <w:tc>
          <w:tcPr>
            <w:tcW w:w="2835" w:type="dxa"/>
            <w:vAlign w:val="center"/>
          </w:tcPr>
          <w:p>
            <w:pPr>
              <w:pStyle w:val="11"/>
            </w:pPr>
            <w:r>
              <w:t>项目名称</w:t>
            </w:r>
          </w:p>
        </w:tc>
        <w:tc>
          <w:tcPr>
            <w:tcW w:w="6095" w:type="dxa"/>
            <w:gridSpan w:val="3"/>
            <w:vAlign w:val="center"/>
          </w:tcPr>
          <w:p>
            <w:pPr>
              <w:pStyle w:val="13"/>
            </w:pPr>
            <w:r>
              <w:t>综合事务专项经费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保障机关日常运转。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1.综合事务经费包括环保所经费及其他保障机关日常办公运转补充经费。主要用于食堂、团委、环保开展活动，环保所推进生态环境保护工作。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开展宣传方式的品种和数量</w:t>
            </w:r>
          </w:p>
        </w:tc>
        <w:tc>
          <w:tcPr>
            <w:tcW w:w="5386" w:type="dxa"/>
            <w:vAlign w:val="center"/>
          </w:tcPr>
          <w:p>
            <w:pPr>
              <w:pStyle w:val="13"/>
            </w:pPr>
            <w:r>
              <w:t>开展宣传方式的品种和数量</w:t>
            </w:r>
          </w:p>
        </w:tc>
        <w:tc>
          <w:tcPr>
            <w:tcW w:w="2268" w:type="dxa"/>
            <w:vAlign w:val="center"/>
          </w:tcPr>
          <w:p>
            <w:pPr>
              <w:pStyle w:val="13"/>
            </w:pPr>
            <w:r>
              <w:t>≥2次</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其他各项综合事务工作</w:t>
            </w:r>
          </w:p>
        </w:tc>
        <w:tc>
          <w:tcPr>
            <w:tcW w:w="5386" w:type="dxa"/>
            <w:vAlign w:val="center"/>
          </w:tcPr>
          <w:p>
            <w:pPr>
              <w:pStyle w:val="13"/>
            </w:pPr>
            <w:r>
              <w:t>其他各项综合事务工作完成率</w:t>
            </w:r>
          </w:p>
        </w:tc>
        <w:tc>
          <w:tcPr>
            <w:tcW w:w="2268" w:type="dxa"/>
            <w:vAlign w:val="center"/>
          </w:tcPr>
          <w:p>
            <w:pPr>
              <w:pStyle w:val="13"/>
            </w:pPr>
            <w:r>
              <w:t>≥80%</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工作完成率</w:t>
            </w:r>
          </w:p>
        </w:tc>
        <w:tc>
          <w:tcPr>
            <w:tcW w:w="2268" w:type="dxa"/>
            <w:vAlign w:val="center"/>
          </w:tcPr>
          <w:p>
            <w:pPr>
              <w:pStyle w:val="13"/>
            </w:pPr>
            <w:r>
              <w:t>≥80%</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完成工作目标所需资金</w:t>
            </w:r>
          </w:p>
        </w:tc>
        <w:tc>
          <w:tcPr>
            <w:tcW w:w="5386" w:type="dxa"/>
            <w:vAlign w:val="center"/>
          </w:tcPr>
          <w:p>
            <w:pPr>
              <w:pStyle w:val="13"/>
            </w:pPr>
            <w:r>
              <w:t>完成工作目标所需资金</w:t>
            </w:r>
          </w:p>
        </w:tc>
        <w:tc>
          <w:tcPr>
            <w:tcW w:w="2268" w:type="dxa"/>
            <w:vAlign w:val="center"/>
          </w:tcPr>
          <w:p>
            <w:pPr>
              <w:pStyle w:val="13"/>
            </w:pPr>
            <w:r>
              <w:t>≤100%</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工作专业性不断提升</w:t>
            </w:r>
          </w:p>
        </w:tc>
        <w:tc>
          <w:tcPr>
            <w:tcW w:w="5386" w:type="dxa"/>
            <w:vAlign w:val="center"/>
          </w:tcPr>
          <w:p>
            <w:pPr>
              <w:pStyle w:val="13"/>
            </w:pPr>
            <w:r>
              <w:t>工作专业性不断提升</w:t>
            </w:r>
          </w:p>
        </w:tc>
        <w:tc>
          <w:tcPr>
            <w:tcW w:w="2268" w:type="dxa"/>
            <w:vAlign w:val="center"/>
          </w:tcPr>
          <w:p>
            <w:pPr>
              <w:pStyle w:val="13"/>
            </w:pPr>
            <w:r>
              <w:t>≥50%</w:t>
            </w:r>
          </w:p>
        </w:tc>
        <w:tc>
          <w:tcPr>
            <w:tcW w:w="1276" w:type="dxa"/>
            <w:vAlign w:val="center"/>
          </w:tcPr>
          <w:p>
            <w:pPr>
              <w:pStyle w:val="13"/>
            </w:pPr>
            <w:r>
              <w:t>往年惯例</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521石家庄市桥西区振头街道办事处</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4.00</w:t>
            </w:r>
          </w:p>
        </w:tc>
        <w:tc>
          <w:tcPr>
            <w:tcW w:w="964" w:type="dxa"/>
            <w:vAlign w:val="center"/>
          </w:tcPr>
          <w:p>
            <w:pPr>
              <w:pStyle w:val="16"/>
            </w:pPr>
            <w:r>
              <w:t>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石家庄市桥西区振头街道办事处本级小计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4.00</w:t>
            </w:r>
          </w:p>
        </w:tc>
        <w:tc>
          <w:tcPr>
            <w:tcW w:w="964" w:type="dxa"/>
            <w:vAlign w:val="center"/>
          </w:tcPr>
          <w:p>
            <w:pPr>
              <w:pStyle w:val="16"/>
            </w:pPr>
            <w:r>
              <w:t>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59.55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500</w:t>
            </w:r>
          </w:p>
        </w:tc>
        <w:tc>
          <w:tcPr>
            <w:tcW w:w="850" w:type="dxa"/>
            <w:vAlign w:val="center"/>
          </w:tcPr>
          <w:p>
            <w:pPr>
              <w:pStyle w:val="12"/>
            </w:pPr>
            <w:r>
              <w:t>0.00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59.55</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59.55</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2.40</w:t>
            </w:r>
          </w:p>
        </w:tc>
        <w:tc>
          <w:tcPr>
            <w:tcW w:w="964" w:type="dxa"/>
            <w:vAlign w:val="center"/>
          </w:tcPr>
          <w:p>
            <w:pPr>
              <w:pStyle w:val="12"/>
            </w:pPr>
            <w:r>
              <w:t>2.40</w:t>
            </w:r>
          </w:p>
        </w:tc>
        <w:tc>
          <w:tcPr>
            <w:tcW w:w="964" w:type="dxa"/>
            <w:vAlign w:val="center"/>
          </w:tcPr>
          <w:p>
            <w:pPr>
              <w:pStyle w:val="12"/>
            </w:pPr>
            <w:r>
              <w:t>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59.55</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石家庄市桥西区振头街道办事处（含所属单位）上年末固定资产金额为1402.18万元（详见下表）。本年度拟购置固定资产总额为0.00万元，已按要求列入政府采购预算，详见政府采购预算表。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521石家庄市桥西区振头街道办事处</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1402.18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5070</w:t>
            </w:r>
          </w:p>
        </w:tc>
        <w:tc>
          <w:tcPr>
            <w:tcW w:w="2835" w:type="dxa"/>
            <w:vAlign w:val="center"/>
          </w:tcPr>
          <w:p>
            <w:pPr>
              <w:pStyle w:val="12"/>
            </w:pPr>
            <w:r>
              <w:t>402.81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1101.03</w:t>
            </w:r>
          </w:p>
        </w:tc>
        <w:tc>
          <w:tcPr>
            <w:tcW w:w="2835" w:type="dxa"/>
            <w:vAlign w:val="center"/>
          </w:tcPr>
          <w:p>
            <w:pPr>
              <w:pStyle w:val="12"/>
            </w:pPr>
            <w:r>
              <w:t>402.81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3440</w:t>
            </w:r>
          </w:p>
        </w:tc>
        <w:tc>
          <w:tcPr>
            <w:tcW w:w="2835" w:type="dxa"/>
            <w:vAlign w:val="center"/>
          </w:tcPr>
          <w:p>
            <w:pPr>
              <w:pStyle w:val="12"/>
            </w:pPr>
            <w:r>
              <w:t>998.57</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Arial">
    <w:panose1 w:val="020B0604020202020204"/>
    <w:charset w:val="00"/>
    <w:family w:val="swiss"/>
    <w:pitch w:val="default"/>
    <w:sig w:usb0="E0002AFF" w:usb1="C0007843" w:usb2="00000009" w:usb3="00000000" w:csb0="400001FF" w:csb1="FFFF0000"/>
  </w:font>
  <w:font w:name="等线">
    <w:altName w:val="宋体"/>
    <w:panose1 w:val="02010600030101010101"/>
    <w:charset w:val="86"/>
    <w:family w:val="auto"/>
    <w:pitch w:val="default"/>
    <w:sig w:usb0="00000000" w:usb1="00000000" w:usb2="00000016" w:usb3="00000000" w:csb0="0004000F" w:csb1="00000000"/>
  </w:font>
  <w:font w:name="等线 Light">
    <w:altName w:val="宋体"/>
    <w:panose1 w:val="02010600030101010101"/>
    <w:charset w:val="86"/>
    <w:family w:val="auto"/>
    <w:pitch w:val="default"/>
    <w:sig w:usb0="00000000" w:usb1="00000000" w:usb2="00000016" w:usb3="00000000" w:csb0="0004000F" w:csb1="00000000"/>
  </w:font>
  <w:font w:name="Segoe Print">
    <w:panose1 w:val="02000600000000000000"/>
    <w:charset w:val="00"/>
    <w:family w:val="auto"/>
    <w:pitch w:val="default"/>
    <w:sig w:usb0="0000028F" w:usb1="00000000" w:usb2="00000000" w:usb3="00000000" w:csb0="2000009F" w:csb1="47010000"/>
  </w:font>
  <w:font w:name="Courier New">
    <w:panose1 w:val="02070309020205020404"/>
    <w:charset w:val="00"/>
    <w:family w:val="modern"/>
    <w:pitch w:val="default"/>
    <w:sig w:usb0="E0002AFF" w:usb1="C0007843" w:usb2="00000009" w:usb3="00000000" w:csb0="400001FF" w:csb1="FFFF0000"/>
  </w:font>
  <w:font w:name="Calibri Light">
    <w:panose1 w:val="020F0302020204030204"/>
    <w:charset w:val="00"/>
    <w:family w:val="swiss"/>
    <w:pitch w:val="default"/>
    <w:sig w:usb0="A00002EF" w:usb1="4000207B" w:usb2="00000000"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SoukouMincho">
    <w:panose1 w:val="02000600000000000000"/>
    <w:charset w:val="80"/>
    <w:family w:val="auto"/>
    <w:pitch w:val="default"/>
    <w:sig w:usb0="A00002FF" w:usb1="68C7FEFF" w:usb2="00000012" w:usb3="00000000" w:csb0="0002000D" w:csb1="00000000"/>
  </w:font>
  <w:font w:name="等线">
    <w:altName w:val="SoukouMincho"/>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altName w:val="仿宋"/>
    <w:panose1 w:val="02010609030101010101"/>
    <w:charset w:val="86"/>
    <w:family w:val="auto"/>
    <w:pitch w:val="default"/>
    <w:sig w:usb0="00000000" w:usb1="00000000" w:usb2="00000000" w:usb3="00000000" w:csb0="00040000" w:csb1="00000000"/>
  </w:font>
  <w:font w:name="方正小标宋简体">
    <w:altName w:val="黑体"/>
    <w:panose1 w:val="02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98E866D"/>
    <w:multiLevelType w:val="singleLevel"/>
    <w:tmpl w:val="698E866D"/>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4B17"/>
    <w:rsid w:val="00C64B17"/>
    <w:rsid w:val="00D26B09"/>
    <w:rsid w:val="2A23294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5">
    <w:name w:val="Default Paragraph Font"/>
    <w:unhideWhenUsed/>
    <w:uiPriority w:val="1"/>
  </w:style>
  <w:style w:type="table" w:default="1" w:styleId="6">
    <w:name w:val="Normal Table"/>
    <w:unhideWhenUsed/>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35</Pages>
  <Words>2583</Words>
  <Characters>14727</Characters>
  <Lines>122</Lines>
  <Paragraphs>34</Paragraphs>
  <ScaleCrop>false</ScaleCrop>
  <LinksUpToDate>false</LinksUpToDate>
  <CharactersWithSpaces>17276</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2026-02-11T09:10:00Z</dcterms:created>
  <dc:creator>lenovo</dc:creator>
  <cp:lastModifiedBy>lenovo</cp:lastModifiedBy>
  <dcterms:modified xsi:type="dcterms:W3CDTF">2026-02-13T01:56:31Z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