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1759.07</w:t>
            </w:r>
          </w:p>
        </w:tc>
        <w:tc>
          <w:tcPr>
            <w:tcW w:w="4535" w:type="dxa"/>
            <w:vAlign w:val="center"/>
          </w:tcPr>
          <w:p>
            <w:pPr>
              <w:pStyle w:val="13"/>
            </w:pPr>
            <w:r>
              <w:t>一、一般公共服务支出</w:t>
            </w:r>
          </w:p>
        </w:tc>
        <w:tc>
          <w:tcPr>
            <w:tcW w:w="2126" w:type="dxa"/>
            <w:vAlign w:val="center"/>
          </w:tcPr>
          <w:p>
            <w:pPr>
              <w:pStyle w:val="12"/>
            </w:pPr>
            <w:r>
              <w:t>1351.34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237.12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1759.07</w:t>
            </w:r>
          </w:p>
        </w:tc>
        <w:tc>
          <w:tcPr>
            <w:tcW w:w="4535" w:type="dxa"/>
            <w:vAlign w:val="center"/>
          </w:tcPr>
          <w:p>
            <w:pPr>
              <w:pStyle w:val="15"/>
            </w:pPr>
            <w:r>
              <w:t>本年支出合计</w:t>
            </w:r>
          </w:p>
        </w:tc>
        <w:tc>
          <w:tcPr>
            <w:tcW w:w="2126" w:type="dxa"/>
            <w:vAlign w:val="center"/>
          </w:tcPr>
          <w:p>
            <w:pPr>
              <w:pStyle w:val="16"/>
            </w:pPr>
            <w:r>
              <w:t>1759.07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1759.07</w:t>
            </w:r>
          </w:p>
        </w:tc>
        <w:tc>
          <w:tcPr>
            <w:tcW w:w="4535" w:type="dxa"/>
            <w:vAlign w:val="center"/>
          </w:tcPr>
          <w:p>
            <w:pPr>
              <w:pStyle w:val="15"/>
            </w:pPr>
            <w:r>
              <w:t>支出总计</w:t>
            </w:r>
          </w:p>
        </w:tc>
        <w:tc>
          <w:tcPr>
            <w:tcW w:w="2126" w:type="dxa"/>
            <w:vAlign w:val="center"/>
          </w:tcPr>
          <w:p>
            <w:pPr>
              <w:pStyle w:val="16"/>
            </w:pPr>
            <w:r>
              <w:t>1759.07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1759.07</w:t>
            </w:r>
          </w:p>
        </w:tc>
        <w:tc>
          <w:tcPr>
            <w:tcW w:w="1134" w:type="dxa"/>
            <w:vAlign w:val="center"/>
          </w:tcPr>
          <w:p>
            <w:pPr>
              <w:pStyle w:val="16"/>
            </w:pPr>
            <w:r>
              <w:t>1759.07</w:t>
            </w:r>
          </w:p>
        </w:tc>
        <w:tc>
          <w:tcPr>
            <w:tcW w:w="1134" w:type="dxa"/>
            <w:vAlign w:val="center"/>
          </w:tcPr>
          <w:p>
            <w:pPr>
              <w:pStyle w:val="16"/>
            </w:pPr>
            <w:r>
              <w:t>1759.07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1351.34</w:t>
            </w:r>
          </w:p>
        </w:tc>
        <w:tc>
          <w:tcPr>
            <w:tcW w:w="1134" w:type="dxa"/>
            <w:vAlign w:val="center"/>
          </w:tcPr>
          <w:p>
            <w:pPr>
              <w:pStyle w:val="12"/>
            </w:pPr>
            <w:r>
              <w:t>1351.34</w:t>
            </w:r>
          </w:p>
        </w:tc>
        <w:tc>
          <w:tcPr>
            <w:tcW w:w="1134" w:type="dxa"/>
            <w:vAlign w:val="center"/>
          </w:tcPr>
          <w:p>
            <w:pPr>
              <w:pStyle w:val="12"/>
            </w:pPr>
            <w:r>
              <w:t>1351.34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1350.82</w:t>
            </w:r>
          </w:p>
        </w:tc>
        <w:tc>
          <w:tcPr>
            <w:tcW w:w="1134" w:type="dxa"/>
            <w:vAlign w:val="center"/>
          </w:tcPr>
          <w:p>
            <w:pPr>
              <w:pStyle w:val="12"/>
            </w:pPr>
            <w:r>
              <w:t>1350.82</w:t>
            </w:r>
          </w:p>
        </w:tc>
        <w:tc>
          <w:tcPr>
            <w:tcW w:w="1134" w:type="dxa"/>
            <w:vAlign w:val="center"/>
          </w:tcPr>
          <w:p>
            <w:pPr>
              <w:pStyle w:val="12"/>
            </w:pPr>
            <w:r>
              <w:t>1350.82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759.97</w:t>
            </w:r>
          </w:p>
        </w:tc>
        <w:tc>
          <w:tcPr>
            <w:tcW w:w="1134" w:type="dxa"/>
            <w:vAlign w:val="center"/>
          </w:tcPr>
          <w:p>
            <w:pPr>
              <w:pStyle w:val="12"/>
            </w:pPr>
            <w:r>
              <w:t>759.97</w:t>
            </w:r>
          </w:p>
        </w:tc>
        <w:tc>
          <w:tcPr>
            <w:tcW w:w="1134" w:type="dxa"/>
            <w:vAlign w:val="center"/>
          </w:tcPr>
          <w:p>
            <w:pPr>
              <w:pStyle w:val="12"/>
            </w:pPr>
            <w:r>
              <w:t>759.97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590.85</w:t>
            </w:r>
          </w:p>
        </w:tc>
        <w:tc>
          <w:tcPr>
            <w:tcW w:w="1134" w:type="dxa"/>
            <w:vAlign w:val="center"/>
          </w:tcPr>
          <w:p>
            <w:pPr>
              <w:pStyle w:val="12"/>
            </w:pPr>
            <w:r>
              <w:t>590.85</w:t>
            </w:r>
          </w:p>
        </w:tc>
        <w:tc>
          <w:tcPr>
            <w:tcW w:w="1134" w:type="dxa"/>
            <w:vAlign w:val="center"/>
          </w:tcPr>
          <w:p>
            <w:pPr>
              <w:pStyle w:val="12"/>
            </w:pPr>
            <w:r>
              <w:t>590.85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0.52</w:t>
            </w:r>
          </w:p>
        </w:tc>
        <w:tc>
          <w:tcPr>
            <w:tcW w:w="1134" w:type="dxa"/>
            <w:vAlign w:val="center"/>
          </w:tcPr>
          <w:p>
            <w:pPr>
              <w:pStyle w:val="12"/>
            </w:pPr>
            <w:r>
              <w:t>0.52</w:t>
            </w:r>
          </w:p>
        </w:tc>
        <w:tc>
          <w:tcPr>
            <w:tcW w:w="1134" w:type="dxa"/>
            <w:vAlign w:val="center"/>
          </w:tcPr>
          <w:p>
            <w:pPr>
              <w:pStyle w:val="12"/>
            </w:pPr>
            <w:r>
              <w:t>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0.52</w:t>
            </w:r>
          </w:p>
        </w:tc>
        <w:tc>
          <w:tcPr>
            <w:tcW w:w="1134" w:type="dxa"/>
            <w:vAlign w:val="center"/>
          </w:tcPr>
          <w:p>
            <w:pPr>
              <w:pStyle w:val="12"/>
            </w:pPr>
            <w:r>
              <w:t>0.52</w:t>
            </w:r>
          </w:p>
        </w:tc>
        <w:tc>
          <w:tcPr>
            <w:tcW w:w="1134" w:type="dxa"/>
            <w:vAlign w:val="center"/>
          </w:tcPr>
          <w:p>
            <w:pPr>
              <w:pStyle w:val="12"/>
            </w:pPr>
            <w:r>
              <w:t>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237.12</w:t>
            </w:r>
          </w:p>
        </w:tc>
        <w:tc>
          <w:tcPr>
            <w:tcW w:w="1134" w:type="dxa"/>
            <w:vAlign w:val="center"/>
          </w:tcPr>
          <w:p>
            <w:pPr>
              <w:pStyle w:val="12"/>
            </w:pPr>
            <w:r>
              <w:t>237.12</w:t>
            </w:r>
          </w:p>
        </w:tc>
        <w:tc>
          <w:tcPr>
            <w:tcW w:w="1134" w:type="dxa"/>
            <w:vAlign w:val="center"/>
          </w:tcPr>
          <w:p>
            <w:pPr>
              <w:pStyle w:val="12"/>
            </w:pPr>
            <w:r>
              <w:t>237.12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236.32</w:t>
            </w:r>
          </w:p>
        </w:tc>
        <w:tc>
          <w:tcPr>
            <w:tcW w:w="1134" w:type="dxa"/>
            <w:vAlign w:val="center"/>
          </w:tcPr>
          <w:p>
            <w:pPr>
              <w:pStyle w:val="12"/>
            </w:pPr>
            <w:r>
              <w:t>236.32</w:t>
            </w:r>
          </w:p>
        </w:tc>
        <w:tc>
          <w:tcPr>
            <w:tcW w:w="1134" w:type="dxa"/>
            <w:vAlign w:val="center"/>
          </w:tcPr>
          <w:p>
            <w:pPr>
              <w:pStyle w:val="12"/>
            </w:pPr>
            <w:r>
              <w:t>236.32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129.98</w:t>
            </w:r>
          </w:p>
        </w:tc>
        <w:tc>
          <w:tcPr>
            <w:tcW w:w="1134" w:type="dxa"/>
            <w:vAlign w:val="center"/>
          </w:tcPr>
          <w:p>
            <w:pPr>
              <w:pStyle w:val="12"/>
            </w:pPr>
            <w:r>
              <w:t>129.98</w:t>
            </w:r>
          </w:p>
        </w:tc>
        <w:tc>
          <w:tcPr>
            <w:tcW w:w="1134" w:type="dxa"/>
            <w:vAlign w:val="center"/>
          </w:tcPr>
          <w:p>
            <w:pPr>
              <w:pStyle w:val="12"/>
            </w:pPr>
            <w:r>
              <w:t>129.98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82.34</w:t>
            </w:r>
          </w:p>
        </w:tc>
        <w:tc>
          <w:tcPr>
            <w:tcW w:w="1134" w:type="dxa"/>
            <w:vAlign w:val="center"/>
          </w:tcPr>
          <w:p>
            <w:pPr>
              <w:pStyle w:val="12"/>
            </w:pPr>
            <w:r>
              <w:t>82.34</w:t>
            </w:r>
          </w:p>
        </w:tc>
        <w:tc>
          <w:tcPr>
            <w:tcW w:w="1134" w:type="dxa"/>
            <w:vAlign w:val="center"/>
          </w:tcPr>
          <w:p>
            <w:pPr>
              <w:pStyle w:val="12"/>
            </w:pPr>
            <w:r>
              <w:t>82.34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41.27</w:t>
            </w:r>
          </w:p>
        </w:tc>
        <w:tc>
          <w:tcPr>
            <w:tcW w:w="1134" w:type="dxa"/>
            <w:vAlign w:val="center"/>
          </w:tcPr>
          <w:p>
            <w:pPr>
              <w:pStyle w:val="12"/>
            </w:pPr>
            <w:r>
              <w:t>41.27</w:t>
            </w:r>
          </w:p>
        </w:tc>
        <w:tc>
          <w:tcPr>
            <w:tcW w:w="1134" w:type="dxa"/>
            <w:vAlign w:val="center"/>
          </w:tcPr>
          <w:p>
            <w:pPr>
              <w:pStyle w:val="12"/>
            </w:pPr>
            <w:r>
              <w:t>41.27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41.27</w:t>
            </w:r>
          </w:p>
        </w:tc>
        <w:tc>
          <w:tcPr>
            <w:tcW w:w="1134" w:type="dxa"/>
            <w:vAlign w:val="center"/>
          </w:tcPr>
          <w:p>
            <w:pPr>
              <w:pStyle w:val="12"/>
            </w:pPr>
            <w:r>
              <w:t>41.27</w:t>
            </w:r>
          </w:p>
        </w:tc>
        <w:tc>
          <w:tcPr>
            <w:tcW w:w="1134" w:type="dxa"/>
            <w:vAlign w:val="center"/>
          </w:tcPr>
          <w:p>
            <w:pPr>
              <w:pStyle w:val="12"/>
            </w:pPr>
            <w:r>
              <w:t>41.27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36.24</w:t>
            </w:r>
          </w:p>
        </w:tc>
        <w:tc>
          <w:tcPr>
            <w:tcW w:w="1134" w:type="dxa"/>
            <w:vAlign w:val="center"/>
          </w:tcPr>
          <w:p>
            <w:pPr>
              <w:pStyle w:val="12"/>
            </w:pPr>
            <w:r>
              <w:t>36.24</w:t>
            </w:r>
          </w:p>
        </w:tc>
        <w:tc>
          <w:tcPr>
            <w:tcW w:w="1134" w:type="dxa"/>
            <w:vAlign w:val="center"/>
          </w:tcPr>
          <w:p>
            <w:pPr>
              <w:pStyle w:val="12"/>
            </w:pPr>
            <w:r>
              <w:t>36.24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5.03</w:t>
            </w:r>
          </w:p>
        </w:tc>
        <w:tc>
          <w:tcPr>
            <w:tcW w:w="1134" w:type="dxa"/>
            <w:vAlign w:val="center"/>
          </w:tcPr>
          <w:p>
            <w:pPr>
              <w:pStyle w:val="12"/>
            </w:pPr>
            <w:r>
              <w:t>5.03</w:t>
            </w:r>
          </w:p>
        </w:tc>
        <w:tc>
          <w:tcPr>
            <w:tcW w:w="1134" w:type="dxa"/>
            <w:vAlign w:val="center"/>
          </w:tcPr>
          <w:p>
            <w:pPr>
              <w:pStyle w:val="12"/>
            </w:pPr>
            <w:r>
              <w:t>5.03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50.40</w:t>
            </w:r>
          </w:p>
        </w:tc>
        <w:tc>
          <w:tcPr>
            <w:tcW w:w="1134" w:type="dxa"/>
            <w:vAlign w:val="center"/>
          </w:tcPr>
          <w:p>
            <w:pPr>
              <w:pStyle w:val="12"/>
            </w:pPr>
            <w:r>
              <w:t>50.40</w:t>
            </w:r>
          </w:p>
        </w:tc>
        <w:tc>
          <w:tcPr>
            <w:tcW w:w="1134" w:type="dxa"/>
            <w:vAlign w:val="center"/>
          </w:tcPr>
          <w:p>
            <w:pPr>
              <w:pStyle w:val="12"/>
            </w:pPr>
            <w:r>
              <w:t>50.40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50.40</w:t>
            </w:r>
          </w:p>
        </w:tc>
        <w:tc>
          <w:tcPr>
            <w:tcW w:w="1134" w:type="dxa"/>
            <w:vAlign w:val="center"/>
          </w:tcPr>
          <w:p>
            <w:pPr>
              <w:pStyle w:val="12"/>
            </w:pPr>
            <w:r>
              <w:t>50.40</w:t>
            </w:r>
          </w:p>
        </w:tc>
        <w:tc>
          <w:tcPr>
            <w:tcW w:w="1134" w:type="dxa"/>
            <w:vAlign w:val="center"/>
          </w:tcPr>
          <w:p>
            <w:pPr>
              <w:pStyle w:val="12"/>
            </w:pPr>
            <w:r>
              <w:t>50.40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50.40</w:t>
            </w:r>
          </w:p>
        </w:tc>
        <w:tc>
          <w:tcPr>
            <w:tcW w:w="1134" w:type="dxa"/>
            <w:vAlign w:val="center"/>
          </w:tcPr>
          <w:p>
            <w:pPr>
              <w:pStyle w:val="12"/>
            </w:pPr>
            <w:r>
              <w:t>50.40</w:t>
            </w:r>
          </w:p>
        </w:tc>
        <w:tc>
          <w:tcPr>
            <w:tcW w:w="1134" w:type="dxa"/>
            <w:vAlign w:val="center"/>
          </w:tcPr>
          <w:p>
            <w:pPr>
              <w:pStyle w:val="12"/>
            </w:pPr>
            <w:r>
              <w:t>50.40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76.94</w:t>
            </w:r>
          </w:p>
        </w:tc>
        <w:tc>
          <w:tcPr>
            <w:tcW w:w="1134" w:type="dxa"/>
            <w:vAlign w:val="center"/>
          </w:tcPr>
          <w:p>
            <w:pPr>
              <w:pStyle w:val="12"/>
            </w:pPr>
            <w:r>
              <w:t>76.94</w:t>
            </w:r>
          </w:p>
        </w:tc>
        <w:tc>
          <w:tcPr>
            <w:tcW w:w="1134" w:type="dxa"/>
            <w:vAlign w:val="center"/>
          </w:tcPr>
          <w:p>
            <w:pPr>
              <w:pStyle w:val="12"/>
            </w:pPr>
            <w:r>
              <w:t>76.94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76.94</w:t>
            </w:r>
          </w:p>
        </w:tc>
        <w:tc>
          <w:tcPr>
            <w:tcW w:w="1134" w:type="dxa"/>
            <w:vAlign w:val="center"/>
          </w:tcPr>
          <w:p>
            <w:pPr>
              <w:pStyle w:val="12"/>
            </w:pPr>
            <w:r>
              <w:t>76.94</w:t>
            </w:r>
          </w:p>
        </w:tc>
        <w:tc>
          <w:tcPr>
            <w:tcW w:w="1134" w:type="dxa"/>
            <w:vAlign w:val="center"/>
          </w:tcPr>
          <w:p>
            <w:pPr>
              <w:pStyle w:val="12"/>
            </w:pPr>
            <w:r>
              <w:t>76.94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76.94</w:t>
            </w:r>
          </w:p>
        </w:tc>
        <w:tc>
          <w:tcPr>
            <w:tcW w:w="1134" w:type="dxa"/>
            <w:vAlign w:val="center"/>
          </w:tcPr>
          <w:p>
            <w:pPr>
              <w:pStyle w:val="12"/>
            </w:pPr>
            <w:r>
              <w:t>76.94</w:t>
            </w:r>
          </w:p>
        </w:tc>
        <w:tc>
          <w:tcPr>
            <w:tcW w:w="1134" w:type="dxa"/>
            <w:vAlign w:val="center"/>
          </w:tcPr>
          <w:p>
            <w:pPr>
              <w:pStyle w:val="12"/>
            </w:pPr>
            <w:r>
              <w:t>76.94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1759.07</w:t>
            </w:r>
          </w:p>
        </w:tc>
        <w:tc>
          <w:tcPr>
            <w:tcW w:w="1361" w:type="dxa"/>
            <w:vAlign w:val="center"/>
          </w:tcPr>
          <w:p>
            <w:pPr>
              <w:pStyle w:val="16"/>
            </w:pPr>
            <w:r>
              <w:t>1114.50</w:t>
            </w:r>
          </w:p>
        </w:tc>
        <w:tc>
          <w:tcPr>
            <w:tcW w:w="1361" w:type="dxa"/>
            <w:vAlign w:val="center"/>
          </w:tcPr>
          <w:p>
            <w:pPr>
              <w:pStyle w:val="16"/>
            </w:pPr>
            <w:r>
              <w:t>644.57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1351.34</w:t>
            </w:r>
          </w:p>
        </w:tc>
        <w:tc>
          <w:tcPr>
            <w:tcW w:w="1361" w:type="dxa"/>
            <w:vAlign w:val="center"/>
          </w:tcPr>
          <w:p>
            <w:pPr>
              <w:pStyle w:val="12"/>
            </w:pPr>
            <w:r>
              <w:t>759.97</w:t>
            </w:r>
          </w:p>
        </w:tc>
        <w:tc>
          <w:tcPr>
            <w:tcW w:w="1361" w:type="dxa"/>
            <w:vAlign w:val="center"/>
          </w:tcPr>
          <w:p>
            <w:pPr>
              <w:pStyle w:val="12"/>
            </w:pPr>
            <w:r>
              <w:t>591.37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1350.82</w:t>
            </w:r>
          </w:p>
        </w:tc>
        <w:tc>
          <w:tcPr>
            <w:tcW w:w="1361" w:type="dxa"/>
            <w:vAlign w:val="center"/>
          </w:tcPr>
          <w:p>
            <w:pPr>
              <w:pStyle w:val="12"/>
            </w:pPr>
            <w:r>
              <w:t>759.97</w:t>
            </w:r>
          </w:p>
        </w:tc>
        <w:tc>
          <w:tcPr>
            <w:tcW w:w="1361" w:type="dxa"/>
            <w:vAlign w:val="center"/>
          </w:tcPr>
          <w:p>
            <w:pPr>
              <w:pStyle w:val="12"/>
            </w:pPr>
            <w:r>
              <w:t>590.85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759.97</w:t>
            </w:r>
          </w:p>
        </w:tc>
        <w:tc>
          <w:tcPr>
            <w:tcW w:w="1361" w:type="dxa"/>
            <w:vAlign w:val="center"/>
          </w:tcPr>
          <w:p>
            <w:pPr>
              <w:pStyle w:val="12"/>
            </w:pPr>
            <w:r>
              <w:t>759.97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590.85</w:t>
            </w:r>
          </w:p>
        </w:tc>
        <w:tc>
          <w:tcPr>
            <w:tcW w:w="1361" w:type="dxa"/>
            <w:vAlign w:val="center"/>
          </w:tcPr>
          <w:p>
            <w:pPr>
              <w:pStyle w:val="12"/>
            </w:pPr>
          </w:p>
        </w:tc>
        <w:tc>
          <w:tcPr>
            <w:tcW w:w="1361" w:type="dxa"/>
            <w:vAlign w:val="center"/>
          </w:tcPr>
          <w:p>
            <w:pPr>
              <w:pStyle w:val="12"/>
            </w:pPr>
            <w:r>
              <w:t>590.85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0.52</w:t>
            </w:r>
          </w:p>
        </w:tc>
        <w:tc>
          <w:tcPr>
            <w:tcW w:w="1361" w:type="dxa"/>
            <w:vAlign w:val="center"/>
          </w:tcPr>
          <w:p>
            <w:pPr>
              <w:pStyle w:val="12"/>
            </w:pPr>
          </w:p>
        </w:tc>
        <w:tc>
          <w:tcPr>
            <w:tcW w:w="1361" w:type="dxa"/>
            <w:vAlign w:val="center"/>
          </w:tcPr>
          <w:p>
            <w:pPr>
              <w:pStyle w:val="12"/>
            </w:pPr>
            <w:r>
              <w:t>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0.52</w:t>
            </w:r>
          </w:p>
        </w:tc>
        <w:tc>
          <w:tcPr>
            <w:tcW w:w="1361" w:type="dxa"/>
            <w:vAlign w:val="center"/>
          </w:tcPr>
          <w:p>
            <w:pPr>
              <w:pStyle w:val="12"/>
            </w:pPr>
          </w:p>
        </w:tc>
        <w:tc>
          <w:tcPr>
            <w:tcW w:w="1361" w:type="dxa"/>
            <w:vAlign w:val="center"/>
          </w:tcPr>
          <w:p>
            <w:pPr>
              <w:pStyle w:val="12"/>
            </w:pPr>
            <w:r>
              <w:t>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237.12</w:t>
            </w:r>
          </w:p>
        </w:tc>
        <w:tc>
          <w:tcPr>
            <w:tcW w:w="1361" w:type="dxa"/>
            <w:vAlign w:val="center"/>
          </w:tcPr>
          <w:p>
            <w:pPr>
              <w:pStyle w:val="12"/>
            </w:pPr>
            <w:r>
              <w:t>236.32</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236.32</w:t>
            </w:r>
          </w:p>
        </w:tc>
        <w:tc>
          <w:tcPr>
            <w:tcW w:w="1361" w:type="dxa"/>
            <w:vAlign w:val="center"/>
          </w:tcPr>
          <w:p>
            <w:pPr>
              <w:pStyle w:val="12"/>
            </w:pPr>
            <w:r>
              <w:t>236.32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129.98</w:t>
            </w:r>
          </w:p>
        </w:tc>
        <w:tc>
          <w:tcPr>
            <w:tcW w:w="1361" w:type="dxa"/>
            <w:vAlign w:val="center"/>
          </w:tcPr>
          <w:p>
            <w:pPr>
              <w:pStyle w:val="12"/>
            </w:pPr>
            <w:r>
              <w:t>129.98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82.34</w:t>
            </w:r>
          </w:p>
        </w:tc>
        <w:tc>
          <w:tcPr>
            <w:tcW w:w="1361" w:type="dxa"/>
            <w:vAlign w:val="center"/>
          </w:tcPr>
          <w:p>
            <w:pPr>
              <w:pStyle w:val="12"/>
            </w:pPr>
            <w:r>
              <w:t>82.34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41.27</w:t>
            </w:r>
          </w:p>
        </w:tc>
        <w:tc>
          <w:tcPr>
            <w:tcW w:w="1361" w:type="dxa"/>
            <w:vAlign w:val="center"/>
          </w:tcPr>
          <w:p>
            <w:pPr>
              <w:pStyle w:val="12"/>
            </w:pPr>
            <w:r>
              <w:t>41.27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41.27</w:t>
            </w:r>
          </w:p>
        </w:tc>
        <w:tc>
          <w:tcPr>
            <w:tcW w:w="1361" w:type="dxa"/>
            <w:vAlign w:val="center"/>
          </w:tcPr>
          <w:p>
            <w:pPr>
              <w:pStyle w:val="12"/>
            </w:pPr>
            <w:r>
              <w:t>41.27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36.24</w:t>
            </w:r>
          </w:p>
        </w:tc>
        <w:tc>
          <w:tcPr>
            <w:tcW w:w="1361" w:type="dxa"/>
            <w:vAlign w:val="center"/>
          </w:tcPr>
          <w:p>
            <w:pPr>
              <w:pStyle w:val="12"/>
            </w:pPr>
            <w:r>
              <w:t>36.24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5.03</w:t>
            </w:r>
          </w:p>
        </w:tc>
        <w:tc>
          <w:tcPr>
            <w:tcW w:w="1361" w:type="dxa"/>
            <w:vAlign w:val="center"/>
          </w:tcPr>
          <w:p>
            <w:pPr>
              <w:pStyle w:val="12"/>
            </w:pPr>
            <w:r>
              <w:t>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50.40</w:t>
            </w:r>
          </w:p>
        </w:tc>
        <w:tc>
          <w:tcPr>
            <w:tcW w:w="1361" w:type="dxa"/>
            <w:vAlign w:val="center"/>
          </w:tcPr>
          <w:p>
            <w:pPr>
              <w:pStyle w:val="12"/>
            </w:pPr>
          </w:p>
        </w:tc>
        <w:tc>
          <w:tcPr>
            <w:tcW w:w="1361" w:type="dxa"/>
            <w:vAlign w:val="center"/>
          </w:tcPr>
          <w:p>
            <w:pPr>
              <w:pStyle w:val="12"/>
            </w:pPr>
            <w:r>
              <w:t>50.40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50.40</w:t>
            </w:r>
          </w:p>
        </w:tc>
        <w:tc>
          <w:tcPr>
            <w:tcW w:w="1361" w:type="dxa"/>
            <w:vAlign w:val="center"/>
          </w:tcPr>
          <w:p>
            <w:pPr>
              <w:pStyle w:val="12"/>
            </w:pPr>
          </w:p>
        </w:tc>
        <w:tc>
          <w:tcPr>
            <w:tcW w:w="1361" w:type="dxa"/>
            <w:vAlign w:val="center"/>
          </w:tcPr>
          <w:p>
            <w:pPr>
              <w:pStyle w:val="12"/>
            </w:pPr>
            <w:r>
              <w:t>50.40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50.40</w:t>
            </w:r>
          </w:p>
        </w:tc>
        <w:tc>
          <w:tcPr>
            <w:tcW w:w="1361" w:type="dxa"/>
            <w:vAlign w:val="center"/>
          </w:tcPr>
          <w:p>
            <w:pPr>
              <w:pStyle w:val="12"/>
            </w:pPr>
          </w:p>
        </w:tc>
        <w:tc>
          <w:tcPr>
            <w:tcW w:w="1361" w:type="dxa"/>
            <w:vAlign w:val="center"/>
          </w:tcPr>
          <w:p>
            <w:pPr>
              <w:pStyle w:val="12"/>
            </w:pPr>
            <w:r>
              <w:t>50.40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76.94</w:t>
            </w:r>
          </w:p>
        </w:tc>
        <w:tc>
          <w:tcPr>
            <w:tcW w:w="1361" w:type="dxa"/>
            <w:vAlign w:val="center"/>
          </w:tcPr>
          <w:p>
            <w:pPr>
              <w:pStyle w:val="12"/>
            </w:pPr>
            <w:r>
              <w:t>76.94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76.94</w:t>
            </w:r>
          </w:p>
        </w:tc>
        <w:tc>
          <w:tcPr>
            <w:tcW w:w="1361" w:type="dxa"/>
            <w:vAlign w:val="center"/>
          </w:tcPr>
          <w:p>
            <w:pPr>
              <w:pStyle w:val="12"/>
            </w:pPr>
            <w:r>
              <w:t>76.94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76.94</w:t>
            </w:r>
          </w:p>
        </w:tc>
        <w:tc>
          <w:tcPr>
            <w:tcW w:w="1361" w:type="dxa"/>
            <w:vAlign w:val="center"/>
          </w:tcPr>
          <w:p>
            <w:pPr>
              <w:pStyle w:val="12"/>
            </w:pPr>
            <w:r>
              <w:t>76.94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1759.07</w:t>
            </w:r>
          </w:p>
        </w:tc>
        <w:tc>
          <w:tcPr>
            <w:tcW w:w="3402" w:type="dxa"/>
            <w:vAlign w:val="center"/>
          </w:tcPr>
          <w:p>
            <w:pPr>
              <w:pStyle w:val="13"/>
            </w:pPr>
            <w:r>
              <w:t>一、一般公共服务支出</w:t>
            </w:r>
          </w:p>
        </w:tc>
        <w:tc>
          <w:tcPr>
            <w:tcW w:w="1474" w:type="dxa"/>
            <w:vAlign w:val="center"/>
          </w:tcPr>
          <w:p>
            <w:pPr>
              <w:pStyle w:val="12"/>
            </w:pPr>
            <w:r>
              <w:t>1351.34</w:t>
            </w:r>
          </w:p>
        </w:tc>
        <w:tc>
          <w:tcPr>
            <w:tcW w:w="1474" w:type="dxa"/>
            <w:vAlign w:val="center"/>
          </w:tcPr>
          <w:p>
            <w:pPr>
              <w:pStyle w:val="12"/>
            </w:pPr>
            <w:r>
              <w:t>1351.34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237.12</w:t>
            </w:r>
          </w:p>
        </w:tc>
        <w:tc>
          <w:tcPr>
            <w:tcW w:w="1474" w:type="dxa"/>
            <w:vAlign w:val="center"/>
          </w:tcPr>
          <w:p>
            <w:pPr>
              <w:pStyle w:val="12"/>
            </w:pPr>
            <w:r>
              <w:t>237.12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41.27</w:t>
            </w:r>
          </w:p>
        </w:tc>
        <w:tc>
          <w:tcPr>
            <w:tcW w:w="1474" w:type="dxa"/>
            <w:vAlign w:val="center"/>
          </w:tcPr>
          <w:p>
            <w:pPr>
              <w:pStyle w:val="12"/>
            </w:pPr>
            <w:r>
              <w:t>41.27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50.40</w:t>
            </w:r>
          </w:p>
        </w:tc>
        <w:tc>
          <w:tcPr>
            <w:tcW w:w="1474" w:type="dxa"/>
            <w:vAlign w:val="center"/>
          </w:tcPr>
          <w:p>
            <w:pPr>
              <w:pStyle w:val="12"/>
            </w:pPr>
            <w:r>
              <w:t>50.40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76.94</w:t>
            </w:r>
          </w:p>
        </w:tc>
        <w:tc>
          <w:tcPr>
            <w:tcW w:w="1474" w:type="dxa"/>
            <w:vAlign w:val="center"/>
          </w:tcPr>
          <w:p>
            <w:pPr>
              <w:pStyle w:val="12"/>
            </w:pPr>
            <w:r>
              <w:t>76.94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1759.07</w:t>
            </w:r>
          </w:p>
        </w:tc>
        <w:tc>
          <w:tcPr>
            <w:tcW w:w="3402" w:type="dxa"/>
            <w:vAlign w:val="center"/>
          </w:tcPr>
          <w:p>
            <w:pPr>
              <w:pStyle w:val="15"/>
            </w:pPr>
            <w:r>
              <w:t>本年支出合计</w:t>
            </w:r>
          </w:p>
        </w:tc>
        <w:tc>
          <w:tcPr>
            <w:tcW w:w="1474" w:type="dxa"/>
            <w:vAlign w:val="center"/>
          </w:tcPr>
          <w:p>
            <w:pPr>
              <w:pStyle w:val="16"/>
            </w:pPr>
            <w:r>
              <w:t>1759.07</w:t>
            </w:r>
          </w:p>
        </w:tc>
        <w:tc>
          <w:tcPr>
            <w:tcW w:w="1474" w:type="dxa"/>
            <w:vAlign w:val="center"/>
          </w:tcPr>
          <w:p>
            <w:pPr>
              <w:pStyle w:val="16"/>
            </w:pPr>
            <w:r>
              <w:t>1759.07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1759.07</w:t>
            </w:r>
          </w:p>
        </w:tc>
        <w:tc>
          <w:tcPr>
            <w:tcW w:w="3402" w:type="dxa"/>
            <w:vAlign w:val="center"/>
          </w:tcPr>
          <w:p>
            <w:pPr>
              <w:pStyle w:val="15"/>
            </w:pPr>
            <w:r>
              <w:t>支出总计</w:t>
            </w:r>
          </w:p>
        </w:tc>
        <w:tc>
          <w:tcPr>
            <w:tcW w:w="1474" w:type="dxa"/>
            <w:vAlign w:val="center"/>
          </w:tcPr>
          <w:p>
            <w:pPr>
              <w:pStyle w:val="16"/>
            </w:pPr>
            <w:r>
              <w:t>1759.07</w:t>
            </w:r>
          </w:p>
        </w:tc>
        <w:tc>
          <w:tcPr>
            <w:tcW w:w="1474" w:type="dxa"/>
            <w:vAlign w:val="center"/>
          </w:tcPr>
          <w:p>
            <w:pPr>
              <w:pStyle w:val="16"/>
            </w:pPr>
            <w:r>
              <w:t>1759.07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1759.07</w:t>
            </w:r>
          </w:p>
        </w:tc>
        <w:tc>
          <w:tcPr>
            <w:tcW w:w="2551" w:type="dxa"/>
            <w:vAlign w:val="center"/>
          </w:tcPr>
          <w:p>
            <w:pPr>
              <w:pStyle w:val="16"/>
            </w:pPr>
            <w:r>
              <w:t>1114.50</w:t>
            </w:r>
          </w:p>
        </w:tc>
        <w:tc>
          <w:tcPr>
            <w:tcW w:w="2551" w:type="dxa"/>
            <w:vAlign w:val="center"/>
          </w:tcPr>
          <w:p>
            <w:pPr>
              <w:pStyle w:val="16"/>
            </w:pPr>
            <w:r>
              <w:t>644.57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1351.34</w:t>
            </w:r>
          </w:p>
        </w:tc>
        <w:tc>
          <w:tcPr>
            <w:tcW w:w="2551" w:type="dxa"/>
            <w:vAlign w:val="center"/>
          </w:tcPr>
          <w:p>
            <w:pPr>
              <w:pStyle w:val="12"/>
            </w:pPr>
            <w:r>
              <w:t>759.97</w:t>
            </w:r>
          </w:p>
        </w:tc>
        <w:tc>
          <w:tcPr>
            <w:tcW w:w="2551" w:type="dxa"/>
            <w:vAlign w:val="center"/>
          </w:tcPr>
          <w:p>
            <w:pPr>
              <w:pStyle w:val="12"/>
            </w:pPr>
            <w:r>
              <w:t>591.37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1350.82</w:t>
            </w:r>
          </w:p>
        </w:tc>
        <w:tc>
          <w:tcPr>
            <w:tcW w:w="2551" w:type="dxa"/>
            <w:vAlign w:val="center"/>
          </w:tcPr>
          <w:p>
            <w:pPr>
              <w:pStyle w:val="12"/>
            </w:pPr>
            <w:r>
              <w:t>759.97</w:t>
            </w:r>
          </w:p>
        </w:tc>
        <w:tc>
          <w:tcPr>
            <w:tcW w:w="2551" w:type="dxa"/>
            <w:vAlign w:val="center"/>
          </w:tcPr>
          <w:p>
            <w:pPr>
              <w:pStyle w:val="12"/>
            </w:pPr>
            <w:r>
              <w:t>590.85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759.97</w:t>
            </w:r>
          </w:p>
        </w:tc>
        <w:tc>
          <w:tcPr>
            <w:tcW w:w="2551" w:type="dxa"/>
            <w:vAlign w:val="center"/>
          </w:tcPr>
          <w:p>
            <w:pPr>
              <w:pStyle w:val="12"/>
            </w:pPr>
            <w:r>
              <w:t>759.97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590.85</w:t>
            </w:r>
          </w:p>
        </w:tc>
        <w:tc>
          <w:tcPr>
            <w:tcW w:w="2551" w:type="dxa"/>
            <w:vAlign w:val="center"/>
          </w:tcPr>
          <w:p>
            <w:pPr>
              <w:pStyle w:val="12"/>
            </w:pPr>
          </w:p>
        </w:tc>
        <w:tc>
          <w:tcPr>
            <w:tcW w:w="2551" w:type="dxa"/>
            <w:vAlign w:val="center"/>
          </w:tcPr>
          <w:p>
            <w:pPr>
              <w:pStyle w:val="12"/>
            </w:pPr>
            <w:r>
              <w:t>590.85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237.12</w:t>
            </w:r>
          </w:p>
        </w:tc>
        <w:tc>
          <w:tcPr>
            <w:tcW w:w="2551" w:type="dxa"/>
            <w:vAlign w:val="center"/>
          </w:tcPr>
          <w:p>
            <w:pPr>
              <w:pStyle w:val="12"/>
            </w:pPr>
            <w:r>
              <w:t>236.32</w:t>
            </w: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236.32</w:t>
            </w:r>
          </w:p>
        </w:tc>
        <w:tc>
          <w:tcPr>
            <w:tcW w:w="2551" w:type="dxa"/>
            <w:vAlign w:val="center"/>
          </w:tcPr>
          <w:p>
            <w:pPr>
              <w:pStyle w:val="12"/>
            </w:pPr>
            <w:r>
              <w:t>236.32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129.98</w:t>
            </w:r>
          </w:p>
        </w:tc>
        <w:tc>
          <w:tcPr>
            <w:tcW w:w="2551" w:type="dxa"/>
            <w:vAlign w:val="center"/>
          </w:tcPr>
          <w:p>
            <w:pPr>
              <w:pStyle w:val="12"/>
            </w:pPr>
            <w:r>
              <w:t>129.98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82.34</w:t>
            </w:r>
          </w:p>
        </w:tc>
        <w:tc>
          <w:tcPr>
            <w:tcW w:w="2551" w:type="dxa"/>
            <w:vAlign w:val="center"/>
          </w:tcPr>
          <w:p>
            <w:pPr>
              <w:pStyle w:val="12"/>
            </w:pPr>
            <w:r>
              <w:t>82.34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41.27</w:t>
            </w:r>
          </w:p>
        </w:tc>
        <w:tc>
          <w:tcPr>
            <w:tcW w:w="2551" w:type="dxa"/>
            <w:vAlign w:val="center"/>
          </w:tcPr>
          <w:p>
            <w:pPr>
              <w:pStyle w:val="12"/>
            </w:pPr>
            <w:r>
              <w:t>41.27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41.27</w:t>
            </w:r>
          </w:p>
        </w:tc>
        <w:tc>
          <w:tcPr>
            <w:tcW w:w="2551" w:type="dxa"/>
            <w:vAlign w:val="center"/>
          </w:tcPr>
          <w:p>
            <w:pPr>
              <w:pStyle w:val="12"/>
            </w:pPr>
            <w:r>
              <w:t>41.27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36.24</w:t>
            </w:r>
          </w:p>
        </w:tc>
        <w:tc>
          <w:tcPr>
            <w:tcW w:w="2551" w:type="dxa"/>
            <w:vAlign w:val="center"/>
          </w:tcPr>
          <w:p>
            <w:pPr>
              <w:pStyle w:val="12"/>
            </w:pPr>
            <w:r>
              <w:t>36.24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5.03</w:t>
            </w:r>
          </w:p>
        </w:tc>
        <w:tc>
          <w:tcPr>
            <w:tcW w:w="2551" w:type="dxa"/>
            <w:vAlign w:val="center"/>
          </w:tcPr>
          <w:p>
            <w:pPr>
              <w:pStyle w:val="12"/>
            </w:pPr>
            <w:r>
              <w:t>5.03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50.40</w:t>
            </w:r>
          </w:p>
        </w:tc>
        <w:tc>
          <w:tcPr>
            <w:tcW w:w="2551" w:type="dxa"/>
            <w:vAlign w:val="center"/>
          </w:tcPr>
          <w:p>
            <w:pPr>
              <w:pStyle w:val="12"/>
            </w:pPr>
          </w:p>
        </w:tc>
        <w:tc>
          <w:tcPr>
            <w:tcW w:w="2551" w:type="dxa"/>
            <w:vAlign w:val="center"/>
          </w:tcPr>
          <w:p>
            <w:pPr>
              <w:pStyle w:val="12"/>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50.40</w:t>
            </w:r>
          </w:p>
        </w:tc>
        <w:tc>
          <w:tcPr>
            <w:tcW w:w="2551" w:type="dxa"/>
            <w:vAlign w:val="center"/>
          </w:tcPr>
          <w:p>
            <w:pPr>
              <w:pStyle w:val="12"/>
            </w:pPr>
          </w:p>
        </w:tc>
        <w:tc>
          <w:tcPr>
            <w:tcW w:w="2551" w:type="dxa"/>
            <w:vAlign w:val="center"/>
          </w:tcPr>
          <w:p>
            <w:pPr>
              <w:pStyle w:val="12"/>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50.40</w:t>
            </w:r>
          </w:p>
        </w:tc>
        <w:tc>
          <w:tcPr>
            <w:tcW w:w="2551" w:type="dxa"/>
            <w:vAlign w:val="center"/>
          </w:tcPr>
          <w:p>
            <w:pPr>
              <w:pStyle w:val="12"/>
            </w:pPr>
          </w:p>
        </w:tc>
        <w:tc>
          <w:tcPr>
            <w:tcW w:w="2551" w:type="dxa"/>
            <w:vAlign w:val="center"/>
          </w:tcPr>
          <w:p>
            <w:pPr>
              <w:pStyle w:val="12"/>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76.94</w:t>
            </w:r>
          </w:p>
        </w:tc>
        <w:tc>
          <w:tcPr>
            <w:tcW w:w="2551" w:type="dxa"/>
            <w:vAlign w:val="center"/>
          </w:tcPr>
          <w:p>
            <w:pPr>
              <w:pStyle w:val="12"/>
            </w:pPr>
            <w:r>
              <w:t>76.94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76.94</w:t>
            </w:r>
          </w:p>
        </w:tc>
        <w:tc>
          <w:tcPr>
            <w:tcW w:w="2551" w:type="dxa"/>
            <w:vAlign w:val="center"/>
          </w:tcPr>
          <w:p>
            <w:pPr>
              <w:pStyle w:val="12"/>
            </w:pPr>
            <w:r>
              <w:t>76.94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76.94</w:t>
            </w:r>
          </w:p>
        </w:tc>
        <w:tc>
          <w:tcPr>
            <w:tcW w:w="2551" w:type="dxa"/>
            <w:vAlign w:val="center"/>
          </w:tcPr>
          <w:p>
            <w:pPr>
              <w:pStyle w:val="12"/>
            </w:pPr>
            <w:r>
              <w:t>76.94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1114.50</w:t>
            </w:r>
          </w:p>
        </w:tc>
        <w:tc>
          <w:tcPr>
            <w:tcW w:w="2551" w:type="dxa"/>
            <w:vAlign w:val="center"/>
          </w:tcPr>
          <w:p>
            <w:pPr>
              <w:pStyle w:val="16"/>
            </w:pPr>
            <w:r>
              <w:t>1026.21</w:t>
            </w:r>
          </w:p>
        </w:tc>
        <w:tc>
          <w:tcPr>
            <w:tcW w:w="2551" w:type="dxa"/>
            <w:vAlign w:val="center"/>
          </w:tcPr>
          <w:p>
            <w:pPr>
              <w:pStyle w:val="16"/>
            </w:pPr>
            <w:r>
              <w:t>88.29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899.20</w:t>
            </w:r>
          </w:p>
        </w:tc>
        <w:tc>
          <w:tcPr>
            <w:tcW w:w="2551" w:type="dxa"/>
            <w:vAlign w:val="center"/>
          </w:tcPr>
          <w:p>
            <w:pPr>
              <w:pStyle w:val="12"/>
            </w:pPr>
            <w:r>
              <w:t>899.20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231.55</w:t>
            </w:r>
          </w:p>
        </w:tc>
        <w:tc>
          <w:tcPr>
            <w:tcW w:w="2551" w:type="dxa"/>
            <w:vAlign w:val="center"/>
          </w:tcPr>
          <w:p>
            <w:pPr>
              <w:pStyle w:val="12"/>
            </w:pPr>
            <w:r>
              <w:t>231.55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128.05</w:t>
            </w:r>
          </w:p>
        </w:tc>
        <w:tc>
          <w:tcPr>
            <w:tcW w:w="2551" w:type="dxa"/>
            <w:vAlign w:val="center"/>
          </w:tcPr>
          <w:p>
            <w:pPr>
              <w:pStyle w:val="12"/>
            </w:pPr>
            <w:r>
              <w:t>128.05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80.68</w:t>
            </w:r>
          </w:p>
        </w:tc>
        <w:tc>
          <w:tcPr>
            <w:tcW w:w="2551" w:type="dxa"/>
            <w:vAlign w:val="center"/>
          </w:tcPr>
          <w:p>
            <w:pPr>
              <w:pStyle w:val="12"/>
            </w:pPr>
            <w:r>
              <w:t>80.68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230.67</w:t>
            </w:r>
          </w:p>
        </w:tc>
        <w:tc>
          <w:tcPr>
            <w:tcW w:w="2551" w:type="dxa"/>
            <w:vAlign w:val="center"/>
          </w:tcPr>
          <w:p>
            <w:pPr>
              <w:pStyle w:val="12"/>
            </w:pPr>
            <w:r>
              <w:t>230.67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82.34</w:t>
            </w:r>
          </w:p>
        </w:tc>
        <w:tc>
          <w:tcPr>
            <w:tcW w:w="2551" w:type="dxa"/>
            <w:vAlign w:val="center"/>
          </w:tcPr>
          <w:p>
            <w:pPr>
              <w:pStyle w:val="12"/>
            </w:pPr>
            <w:r>
              <w:t>82.34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36.24</w:t>
            </w:r>
          </w:p>
        </w:tc>
        <w:tc>
          <w:tcPr>
            <w:tcW w:w="2551" w:type="dxa"/>
            <w:vAlign w:val="center"/>
          </w:tcPr>
          <w:p>
            <w:pPr>
              <w:pStyle w:val="12"/>
            </w:pPr>
            <w:r>
              <w:t>36.24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5.03</w:t>
            </w:r>
          </w:p>
        </w:tc>
        <w:tc>
          <w:tcPr>
            <w:tcW w:w="2551" w:type="dxa"/>
            <w:vAlign w:val="center"/>
          </w:tcPr>
          <w:p>
            <w:pPr>
              <w:pStyle w:val="12"/>
            </w:pPr>
            <w:r>
              <w:t>5.03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76.94</w:t>
            </w:r>
          </w:p>
        </w:tc>
        <w:tc>
          <w:tcPr>
            <w:tcW w:w="2551" w:type="dxa"/>
            <w:vAlign w:val="center"/>
          </w:tcPr>
          <w:p>
            <w:pPr>
              <w:pStyle w:val="12"/>
            </w:pPr>
            <w:r>
              <w:t>76.94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88.29</w:t>
            </w:r>
          </w:p>
        </w:tc>
        <w:tc>
          <w:tcPr>
            <w:tcW w:w="2551" w:type="dxa"/>
            <w:vAlign w:val="center"/>
          </w:tcPr>
          <w:p>
            <w:pPr>
              <w:pStyle w:val="12"/>
            </w:pPr>
          </w:p>
        </w:tc>
        <w:tc>
          <w:tcPr>
            <w:tcW w:w="2551" w:type="dxa"/>
            <w:vAlign w:val="center"/>
          </w:tcPr>
          <w:p>
            <w:pPr>
              <w:pStyle w:val="12"/>
            </w:pPr>
            <w:r>
              <w:t>88.29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12.76</w:t>
            </w:r>
          </w:p>
        </w:tc>
        <w:tc>
          <w:tcPr>
            <w:tcW w:w="2551" w:type="dxa"/>
            <w:vAlign w:val="center"/>
          </w:tcPr>
          <w:p>
            <w:pPr>
              <w:pStyle w:val="12"/>
            </w:pPr>
          </w:p>
        </w:tc>
        <w:tc>
          <w:tcPr>
            <w:tcW w:w="2551" w:type="dxa"/>
            <w:vAlign w:val="center"/>
          </w:tcPr>
          <w:p>
            <w:pPr>
              <w:pStyle w:val="12"/>
            </w:pPr>
            <w:r>
              <w:t>12.76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0.04</w:t>
            </w:r>
          </w:p>
        </w:tc>
        <w:tc>
          <w:tcPr>
            <w:tcW w:w="2551" w:type="dxa"/>
            <w:vAlign w:val="center"/>
          </w:tcPr>
          <w:p>
            <w:pPr>
              <w:pStyle w:val="12"/>
            </w:pPr>
          </w:p>
        </w:tc>
        <w:tc>
          <w:tcPr>
            <w:tcW w:w="2551"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5.12</w:t>
            </w:r>
          </w:p>
        </w:tc>
        <w:tc>
          <w:tcPr>
            <w:tcW w:w="2551" w:type="dxa"/>
            <w:vAlign w:val="center"/>
          </w:tcPr>
          <w:p>
            <w:pPr>
              <w:pStyle w:val="12"/>
            </w:pPr>
          </w:p>
        </w:tc>
        <w:tc>
          <w:tcPr>
            <w:tcW w:w="2551" w:type="dxa"/>
            <w:vAlign w:val="center"/>
          </w:tcPr>
          <w:p>
            <w:pPr>
              <w:pStyle w:val="12"/>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12.14</w:t>
            </w:r>
          </w:p>
        </w:tc>
        <w:tc>
          <w:tcPr>
            <w:tcW w:w="2551" w:type="dxa"/>
            <w:vAlign w:val="center"/>
          </w:tcPr>
          <w:p>
            <w:pPr>
              <w:pStyle w:val="12"/>
            </w:pPr>
          </w:p>
        </w:tc>
        <w:tc>
          <w:tcPr>
            <w:tcW w:w="2551" w:type="dxa"/>
            <w:vAlign w:val="center"/>
          </w:tcPr>
          <w:p>
            <w:pPr>
              <w:pStyle w:val="12"/>
            </w:pPr>
            <w:r>
              <w:t>12.14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5.29</w:t>
            </w:r>
          </w:p>
        </w:tc>
        <w:tc>
          <w:tcPr>
            <w:tcW w:w="2551" w:type="dxa"/>
            <w:vAlign w:val="center"/>
          </w:tcPr>
          <w:p>
            <w:pPr>
              <w:pStyle w:val="12"/>
            </w:pPr>
          </w:p>
        </w:tc>
        <w:tc>
          <w:tcPr>
            <w:tcW w:w="2551" w:type="dxa"/>
            <w:vAlign w:val="center"/>
          </w:tcPr>
          <w:p>
            <w:pPr>
              <w:pStyle w:val="12"/>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0.86</w:t>
            </w:r>
          </w:p>
        </w:tc>
        <w:tc>
          <w:tcPr>
            <w:tcW w:w="2551" w:type="dxa"/>
            <w:vAlign w:val="center"/>
          </w:tcPr>
          <w:p>
            <w:pPr>
              <w:pStyle w:val="12"/>
            </w:pPr>
          </w:p>
        </w:tc>
        <w:tc>
          <w:tcPr>
            <w:tcW w:w="2551" w:type="dxa"/>
            <w:vAlign w:val="center"/>
          </w:tcPr>
          <w:p>
            <w:pPr>
              <w:pStyle w:val="12"/>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8.15</w:t>
            </w:r>
          </w:p>
        </w:tc>
        <w:tc>
          <w:tcPr>
            <w:tcW w:w="2551" w:type="dxa"/>
            <w:vAlign w:val="center"/>
          </w:tcPr>
          <w:p>
            <w:pPr>
              <w:pStyle w:val="12"/>
            </w:pPr>
          </w:p>
        </w:tc>
        <w:tc>
          <w:tcPr>
            <w:tcW w:w="2551" w:type="dxa"/>
            <w:vAlign w:val="center"/>
          </w:tcPr>
          <w:p>
            <w:pPr>
              <w:pStyle w:val="12"/>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9.78</w:t>
            </w:r>
          </w:p>
        </w:tc>
        <w:tc>
          <w:tcPr>
            <w:tcW w:w="2551" w:type="dxa"/>
            <w:vAlign w:val="center"/>
          </w:tcPr>
          <w:p>
            <w:pPr>
              <w:pStyle w:val="12"/>
            </w:pPr>
          </w:p>
        </w:tc>
        <w:tc>
          <w:tcPr>
            <w:tcW w:w="2551" w:type="dxa"/>
            <w:vAlign w:val="center"/>
          </w:tcPr>
          <w:p>
            <w:pPr>
              <w:pStyle w:val="12"/>
            </w:pPr>
            <w:r>
              <w:t>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28.05</w:t>
            </w:r>
          </w:p>
        </w:tc>
        <w:tc>
          <w:tcPr>
            <w:tcW w:w="2551" w:type="dxa"/>
            <w:vAlign w:val="center"/>
          </w:tcPr>
          <w:p>
            <w:pPr>
              <w:pStyle w:val="12"/>
            </w:pPr>
          </w:p>
        </w:tc>
        <w:tc>
          <w:tcPr>
            <w:tcW w:w="2551" w:type="dxa"/>
            <w:vAlign w:val="center"/>
          </w:tcPr>
          <w:p>
            <w:pPr>
              <w:pStyle w:val="12"/>
            </w:pPr>
            <w:r>
              <w:t>28.05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127.01</w:t>
            </w:r>
          </w:p>
        </w:tc>
        <w:tc>
          <w:tcPr>
            <w:tcW w:w="2551" w:type="dxa"/>
            <w:vAlign w:val="center"/>
          </w:tcPr>
          <w:p>
            <w:pPr>
              <w:pStyle w:val="12"/>
            </w:pPr>
            <w:r>
              <w:t>127.01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126.24</w:t>
            </w:r>
          </w:p>
        </w:tc>
        <w:tc>
          <w:tcPr>
            <w:tcW w:w="2551" w:type="dxa"/>
            <w:vAlign w:val="center"/>
          </w:tcPr>
          <w:p>
            <w:pPr>
              <w:pStyle w:val="12"/>
            </w:pPr>
            <w:r>
              <w:t>126.24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0.77</w:t>
            </w:r>
          </w:p>
        </w:tc>
        <w:tc>
          <w:tcPr>
            <w:tcW w:w="2551" w:type="dxa"/>
            <w:vAlign w:val="center"/>
          </w:tcPr>
          <w:p>
            <w:pPr>
              <w:pStyle w:val="12"/>
            </w:pPr>
            <w:r>
              <w:t>0.77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石家庄市桥西区长兴街道办事处2026年部门预算信息公开情况说明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石家庄市桥西区长兴街道办事处2026年部门预算信息公开情况说明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按照《中华人民共和国预算法》、《地方预决算公开操作规程》和《关于进一步推进预算公开工作的实施意见》规定，现将石家庄市桥西区长兴街道办事处2026年部门预算公开如下：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根据《石家庄市桥西区人民政府长兴街道办事处职能配置、内设机构和人员编制规定》，石家庄市桥西区人民政府长兴街道办事处主要职责是：</w:t>
      </w:r>
    </w:p>
    <w:p>
      <w:pPr>
        <w:pStyle w:val="18"/>
      </w:pPr>
      <w:r>
        <w:t>（一）宣传贯彻执行党的路线方针政策和党中央、上级党组织的决议。贯彻执行法律、法规、规章和上级人民代表大会及其常务委员会决议及上级政府的决定、命令，依法管理辖区公共事务。</w:t>
      </w:r>
    </w:p>
    <w:p>
      <w:pPr>
        <w:pStyle w:val="18"/>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18"/>
      </w:pPr>
      <w:r>
        <w:t>（三）负责办理上级人大常委会交办的监督、选举以及其他工作，做好人大代表工作，联系选民、反映群众意见和要求。</w:t>
      </w:r>
    </w:p>
    <w:p>
      <w:pPr>
        <w:pStyle w:val="18"/>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18"/>
      </w:pPr>
      <w:r>
        <w:t>（五）街道党工委领导群团组织，加强指导和规范，支持和保证群团组织依照国家法律法规以及各自章程履行职责。坚持党管武装的根本原则和制度，协调各方力量，对街道人民武装工作实行统一领导。</w:t>
      </w:r>
    </w:p>
    <w:p>
      <w:pPr>
        <w:pStyle w:val="18"/>
      </w:pPr>
      <w:r>
        <w:t>（六）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18"/>
      </w:pPr>
      <w:r>
        <w:t>（七）按照管理权限，对街道机关及所属单位干部进行教育、培训、选拔、考核和监督，对上级政府职能部门派出机构的工作考核和主要负责同志任免提出意见</w:t>
      </w:r>
    </w:p>
    <w:p>
      <w:pPr>
        <w:pStyle w:val="18"/>
      </w:pPr>
      <w:r>
        <w:t>(八)组织维护辖区安全稳定，协调推动社会治安综合治理做好应急管理、民族宗教工作，承担民兵、预备役、征兵、退役军人服务、拥军优属、防范邪教等工作。</w:t>
      </w:r>
    </w:p>
    <w:p>
      <w:pPr>
        <w:pStyle w:val="18"/>
      </w:pPr>
      <w:r>
        <w:t>(九)组织开展群众性文化、体育、科普活动，开展法治宣传和社会公德教育，推动社区公益事业发展。维护老年人、妇女未成年人、残疾人等合法权益。</w:t>
      </w:r>
    </w:p>
    <w:p>
      <w:pPr>
        <w:pStyle w:val="18"/>
      </w:pPr>
      <w:r>
        <w:t>(十)参与辖区设施规划、建设和验收，综合管理、统筹调度和考核督办涉及辖区的公共事务，按照有关规定统筹使用下沉到街道社区的人财物等资源。</w:t>
      </w:r>
    </w:p>
    <w:p>
      <w:pPr>
        <w:pStyle w:val="18"/>
      </w:pPr>
      <w:r>
        <w:t>(十一)承办上级党委、人大、政府交办的其他事项。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石家庄市桥西区长兴街道办事处本级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按照预算管理有关规定，目前部门预算的编制实行综合预算管理，即全部收入和支出都反映在预算中。石家庄市桥西区长兴街道办事处机关及所属事业单位的收支包含在部门预算中。</w:t>
      </w:r>
    </w:p>
    <w:p>
      <w:pPr>
        <w:pStyle w:val="19"/>
      </w:pPr>
      <w:r>
        <w:t>1、收入说明</w:t>
      </w:r>
    </w:p>
    <w:p>
      <w:pPr>
        <w:pStyle w:val="19"/>
      </w:pPr>
      <w:r>
        <w:t>反映本部门当年全部收入。2026年预算收入1759.07万元，其中：一般公共预算收入1759.07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桥西区长兴街道办事处年度部门预算中支出预算的总体情况。2026年支出预算1759.07万元，其中基本支出1114.50万元，包括人员经费1026.21万元和日常公用经费88.29万元；项目支出644.57万元，主要为社区工作经费、维稳经费、综合事务专项经费、办公用房租赁费、武装工作经费、全科政务工作、城管绩效工资、2026年三馆一站免费开放区级补助资金等；预计下年使用的单位资金结余0.00万元。委托业务费共计安排52.52万元，主要用于因技术原因确需对外委托的辅助性工作和确有必要对外委托开展咨询、评审、规划等工作。</w:t>
      </w:r>
    </w:p>
    <w:p>
      <w:pPr>
        <w:pStyle w:val="19"/>
      </w:pPr>
      <w:r>
        <w:t>3、比上年增减情况</w:t>
      </w:r>
    </w:p>
    <w:p>
      <w:pPr>
        <w:pStyle w:val="19"/>
      </w:pPr>
      <w:r>
        <w:t>2026年预算收支安排1759.07万元，较2025年预算增加83.67万元，其中：基本支出减少356.05万元，主要为厉行节俭，人员经费支出减少；项目支出增加439.72万元，主要为增加“两委”班子成员经责审计费、双代运行补贴资金、点式供气企业替代等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2026年，我部门机关运行经费共计安排88.29万元，主要用于日常维修、办公用房水电费、办公用房取暖费、办公用房物业管理费等日常运行支出。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3.00万元，其中因公出国（境）费0.00万元；公务用车购置及运维费3.00万元（其中：公务用车购置费为0.00万元，公务用车运维费3.00万元)；公务接待费0.00万元。与2025年相比增加0.00万元，增减变化的主要原因是与上年持平，无增减变化,原因是公务用车数量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1.区域社会管理与服务</w:t>
      </w:r>
    </w:p>
    <w:p>
      <w:pPr>
        <w:pStyle w:val="22"/>
      </w:pPr>
      <w:r>
        <w:t>（1）深化人民调解、社区矫正和安置帮教工作，最大限度降低信访事件和不稳定因素发生率。</w:t>
      </w:r>
    </w:p>
    <w:p>
      <w:pPr>
        <w:pStyle w:val="22"/>
      </w:pPr>
      <w:r>
        <w:t>（2）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增进广大育龄群众和计生家庭福祉，提高群众自觉实行计划生育的积极性。</w:t>
      </w:r>
    </w:p>
    <w:p>
      <w:pPr>
        <w:pStyle w:val="22"/>
      </w:pPr>
      <w:r>
        <w:t>（3）保障辖区内市容、市貌整洁有序；杜绝扬尘、有害气体排放污染环境；市场按规范经营无外溢现象。</w:t>
      </w:r>
    </w:p>
    <w:p>
      <w:pPr>
        <w:pStyle w:val="22"/>
      </w:pPr>
      <w:r>
        <w:t>（4）加强社区自治组织建设，拓展社区服务领域，为社区居民群众提供更加方便、快捷、优质的服务。公共文化设施达标，实现公共文化资源共享，基本公共文化服务标准化、均等化水平不断提高。街道社区文明程度显著提升，和谐向善的社会风气逐步形成。征用合格兵员，救助困难群众，按政策要求按时、足额发放民生补贴。</w:t>
      </w:r>
    </w:p>
    <w:p>
      <w:pPr>
        <w:pStyle w:val="22"/>
      </w:pPr>
      <w:r>
        <w:t>2.政务和应急综合管理</w:t>
      </w:r>
    </w:p>
    <w:p>
      <w:pPr>
        <w:pStyle w:val="22"/>
      </w:pPr>
      <w:r>
        <w:t>做好各类突发事件得到及时妥善处置，保障各项业务工作顺扬,保障机关正常工作高效运转。</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1、以基层党建为抓手，为基层社会治理赋能聚力</w:t>
      </w:r>
    </w:p>
    <w:p>
      <w:pPr>
        <w:pStyle w:val="23"/>
      </w:pPr>
      <w:r>
        <w:t>绩效目标：加强党员教育管理，固化主题教育成果，深入挖掘党建品牌，持续推进党建引领基层走深走实。</w:t>
      </w:r>
    </w:p>
    <w:p>
      <w:pPr>
        <w:pStyle w:val="23"/>
      </w:pPr>
      <w:r>
        <w:t>绩效指标：对主题教育检视整改问题进行“回头看”，对可能存在的整改不彻底、重复出现的问题深入挖掘原因，约谈相关责任人，限期整改；以西兴社区、华城街社区为抓手，强力打造党建品牌，发挥头雁效应，推动基层治理效能不断提升；以“三会一课、主题党日、党课”为抓手，抓实党员教育管理工作，持续做好人才政策宣讲、非公党组织建设、红组织红联盟建设、特色驿站建设、党员发展、党建惠民项目等基础性工作，提升基层党建规范化水平。加强基层治理“五支队伍”建设，持续开展社区“红色志愿服务”活动。充分发挥新时代文明实践所、站凝聚群众、引导群众、教育群众、服务群众的作用，提升新时代文明实践阵地的服务效能，增强文明实践活动吸引力。</w:t>
      </w:r>
    </w:p>
    <w:p>
      <w:pPr>
        <w:pStyle w:val="23"/>
      </w:pPr>
      <w:r>
        <w:t>2、以源头治理为抓手，夯实社会和谐稳定“第一道防线”</w:t>
      </w:r>
    </w:p>
    <w:p>
      <w:pPr>
        <w:pStyle w:val="23"/>
      </w:pPr>
      <w:r>
        <w:t>绩效目标：实现全年稳控目标，保证辖区经济社会稳定，充分发挥网格员作用，切实落实“枫桥经验”，把矛盾纠纷化解在基层。</w:t>
      </w:r>
    </w:p>
    <w:p>
      <w:pPr>
        <w:pStyle w:val="23"/>
      </w:pPr>
      <w:r>
        <w:t>绩效指标：继续发挥网格作用，促进街道社区信访稳定工作健康发展，在原有网格的基础上，本着就近方便的原则，对网格进行优化，同时对网格员每季度进行业务培训，提高为民服务本领，成为社区工作的行家里手。切实提高辖区居民反邪教能力，用好线上线下两个渠道，加大反邪教宣传力度，打造无邪教街道、社区。加大平安建设工作力度，结合各社区特点，充分发挥志愿者、网格员、楼长等群体作用，形成人人参与平安建设的浓厚氛围，打造平安社区。</w:t>
      </w:r>
    </w:p>
    <w:p>
      <w:pPr>
        <w:pStyle w:val="23"/>
      </w:pPr>
      <w:r>
        <w:t>3、以项目建设为抓手，提高经济发展水平</w:t>
      </w:r>
    </w:p>
    <w:p>
      <w:pPr>
        <w:pStyle w:val="23"/>
      </w:pPr>
      <w:r>
        <w:t>绩效目标：盘活现有土地、商铺资源，争取招引现代物流、高端制造等产业项目，推动经济高质量发展。</w:t>
      </w:r>
    </w:p>
    <w:p>
      <w:pPr>
        <w:pStyle w:val="23"/>
      </w:pPr>
      <w:r>
        <w:t>绩效指标：继续加大对固定资产工作的攻坚力度，对达到固定资产投资标准的单位做到应统尽统、颗粒归仓，对有投资意向的单位跟踪服务力度，争取早动工、早投产、早上报。积极配合区城改办，加快推进南郭、西王城中村改造回迁区建设，张营城中村改造，加快回迁区建设，启动旧村拆迁工作；加快项目二期、三期手续跑办。继续深入市场主体开展“政策找人、服务上门”活动，为各项政策落地落实打下坚实基础。利用各类活动进一步推进“信易贷”平台宣传，进一步拓宽辖区市场主体融资渠道。提质增效优化窗口服务，切实增强办事群众获得感。</w:t>
      </w:r>
    </w:p>
    <w:p>
      <w:pPr>
        <w:pStyle w:val="23"/>
      </w:pPr>
      <w:r>
        <w:t>4、以精准服务为抓手，把好事办到群众心坎上</w:t>
      </w:r>
    </w:p>
    <w:p>
      <w:pPr>
        <w:pStyle w:val="23"/>
      </w:pPr>
      <w:r>
        <w:t>绩效目标：提升红色社区社会组织品质、服务居民工作质量、辖区为老服务范围，实行退役军人网格化服务。</w:t>
      </w:r>
    </w:p>
    <w:p>
      <w:pPr>
        <w:pStyle w:val="23"/>
      </w:pPr>
      <w:r>
        <w:t>绩效指标：在目前88支红色社区社会组织基础上，筛选提炼品牌红色社区社会组织，并依托辖区律师、公证师、摄影、维修、离退休老党员等各类人才，为社区建设、治理、精神文明等谋创新、谋亮点，切实提高社区品质。简化办事程序、缩短办事时间，提升办事效率，在合规合法的情况下，能立即办理的即刻办理，不能立即办理的将情况一次性告知居民，避免空跑、多跑情况出现。依托综合居家养老服务中心，在辖区其他社区日间照料站探索餐、学、娱、住、康、医等多个方面服务升级方式，切实提高辖区老年人生活水平。建实建细三、四、五级网格，尤其是第五级网格，以服务20名左右退役军人为标准设置，切实提升退役军人服务体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提升营商“软实力”。红色动力更强劲。继续发挥云社区网格党小组作用，激励在职党员和社区直属党员发挥好政府和群众间的桥梁纽带作用，服务网格民生；深入学习贯彻党的二十大精神，抓好党员教育培养，突出专题宣传，加强宣传文化建设，提高党员干部的思想水平；继续推动“红色社区社会组织”工作。做好党建引领社区社会组织孵化工作，切实把社区社会组织党建工作落到实处；整合优化社区社会组织，以爱心车队为标杆，引导社区社会组织在发展好自身的前提下，积极主动的参与到社区治理中来；发挥好“红色联盟”的作用，组织开展好驻区单位、社区社会组织和物业企业共驻共建工作。服务水平再提升。对照《街道政务服务环境考核指标》，在精细化落实上下“硬功夫”；着力提高一体化平台推广和政务服务事项网上办理率；进一步优化事项办理和案卷规范，提高业务服务质量和案卷归档规范化；开展丰富多彩的文化进社区、进万家活动，丰富居民精神文化生活，打造真正宜居、宜养的和谐社区。社会治理再发力。围绕市域社会治理现代化试点工作这条主线，加大平安建设、扫黑除恶宣传力度，拓展宣传空间，切实提升居民群众获得感、幸福感和安全感；完善信访矛盾纠纷多元化解机制，创新群众工作方法，加强科室之间的协调配合，积极推动信息联通、工作联动和矛盾纠纷的联排、联防、联调，形成推进社会矛盾纠纷化解工作的强大合力；日常巡查和集中检查相结合，开展安全生产整治行动，以最实的措施确保辖区平安稳定，为辖区经济社会高质量发展厚植和谐沃土。</w:t>
      </w:r>
    </w:p>
    <w:p>
      <w:pPr>
        <w:pStyle w:val="24"/>
      </w:pPr>
      <w:r>
        <w:t>2、打造发展“硬环境”。生态环境更宜居。继续加大污染源排查整治力度，实现对扬尘污染、废气污染等薄弱环节的有效控制，并精准施策，加大整治力度，确保辖区点位大气综合指数持续降低；对辖区在建工地严格按照《石家庄市严管建设施工扬尘十二条》进行监管，确保工地扬尘得到有效控制；持续开展“散乱污”企业排查行动，巩固清零成果，对已取缔的企业定期进行回头看，确保不会死灰复燃；继续加强餐饮行业巡查监管力度。生活环境更便捷。协调上级部门为西王和南郭发放剩余居民安置补偿款，完成土地收储，启动回迁建设，满足居民期望；全力推进张营城中村改造工作进程，积极协调解决存在问题,确保城中村改造工作按照程序正常推进；华北商贸城地块已纳入南郭、西王城中村改造范围，下一步将按照城中村改造进程和相关政策要求，加快推进华北商贸城异地重建项目的实施；以城中村改造为契机，努力引进优质项目，同时，盘活西三环辅路、新华路沿线空地、辖区闲置商铺等资源，借助逐渐显现的区位优势，提供从政策服务到租金优惠等各方面的便利条件，加大加快招商引资力度，拉动经济快速增长，打造城区西部高端商业集群；和城中村改造相结合，创城创卫常态化，打造精品小街巷，在市容市貌上下足绣花功夫，彻底甩掉城乡结合部环境脏乱差的旧帽子。民生福祉有保障。提前着手列入明年老旧小区改造计划的小区准备工作，加强监管，善始善终，将改造向深、向细推进；牢记服务宗旨，创新工作方式方法，将卫生健康、社会保障、低保、优抚等各项惠民利民政策落地落实；督导推进党建惠民项目进度，确保项目按预期计划完成。</w:t>
      </w:r>
    </w:p>
    <w:p>
      <w:pPr>
        <w:pStyle w:val="24"/>
      </w:pPr>
      <w:r>
        <w:t>3、落实财务内部控制活动。按照内部控制全面性、重要性、制衡性、适应性原则和将内部控制贯穿到各项经济活动中的要求，街道财务部门全面梳理业务流程，分析风险隐患，完善风险评估机制，制定风险应对策略，有针对性地建立适应本单位发展实际的内部控制制度，从而有效保证内部控制良性运行。建立信息沟通制度，提高工作效率。</w:t>
      </w:r>
      <w:bookmarkStart w:id="14" w:name="_Toc_3_3_0000000015"/>
    </w:p>
    <w:p>
      <w:pPr>
        <w:pStyle w:val="24"/>
      </w:pPr>
    </w:p>
    <w:p>
      <w:pPr>
        <w:pStyle w:val="24"/>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13010426P00977510017T</w:t>
            </w:r>
          </w:p>
        </w:tc>
        <w:tc>
          <w:tcPr>
            <w:tcW w:w="2835" w:type="dxa"/>
            <w:vAlign w:val="center"/>
          </w:tcPr>
          <w:p>
            <w:pPr>
              <w:pStyle w:val="11"/>
            </w:pPr>
            <w:r>
              <w:t>项目名称</w:t>
            </w:r>
          </w:p>
        </w:tc>
        <w:tc>
          <w:tcPr>
            <w:tcW w:w="6095" w:type="dxa"/>
            <w:gridSpan w:val="3"/>
            <w:vAlign w:val="center"/>
          </w:tcPr>
          <w:p>
            <w:pPr>
              <w:pStyle w:val="13"/>
            </w:pPr>
            <w:r>
              <w:t>2026年临时救助备用金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完成临时救助资金支出发放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1.完成临时救助资金支出发放</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临时救助人员完成率</w:t>
            </w:r>
          </w:p>
        </w:tc>
        <w:tc>
          <w:tcPr>
            <w:tcW w:w="5386" w:type="dxa"/>
            <w:vAlign w:val="center"/>
          </w:tcPr>
          <w:p>
            <w:pPr>
              <w:pStyle w:val="13"/>
            </w:pPr>
            <w:r>
              <w:t>临时救助人员完成率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经费支出合规性</w:t>
            </w:r>
          </w:p>
        </w:tc>
        <w:tc>
          <w:tcPr>
            <w:tcW w:w="5386" w:type="dxa"/>
            <w:vAlign w:val="center"/>
          </w:tcPr>
          <w:p>
            <w:pPr>
              <w:pStyle w:val="13"/>
            </w:pPr>
            <w:r>
              <w:t>经费支出合规性</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经费支出及时率</w:t>
            </w:r>
          </w:p>
        </w:tc>
        <w:tc>
          <w:tcPr>
            <w:tcW w:w="5386" w:type="dxa"/>
            <w:vAlign w:val="center"/>
          </w:tcPr>
          <w:p>
            <w:pPr>
              <w:pStyle w:val="13"/>
            </w:pPr>
            <w:r>
              <w:t>经费支出及时率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预算成本</w:t>
            </w:r>
          </w:p>
        </w:tc>
        <w:tc>
          <w:tcPr>
            <w:tcW w:w="2268" w:type="dxa"/>
            <w:vAlign w:val="center"/>
          </w:tcPr>
          <w:p>
            <w:pPr>
              <w:pStyle w:val="13"/>
            </w:pPr>
            <w:r>
              <w:t>≤0.8万元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提高临时困难群众生活水平</w:t>
            </w:r>
          </w:p>
        </w:tc>
        <w:tc>
          <w:tcPr>
            <w:tcW w:w="5386" w:type="dxa"/>
            <w:vAlign w:val="center"/>
          </w:tcPr>
          <w:p>
            <w:pPr>
              <w:pStyle w:val="13"/>
            </w:pPr>
            <w:r>
              <w:t>提高临时困难群众生活水平</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13010426P00992510081K</w:t>
            </w:r>
          </w:p>
        </w:tc>
        <w:tc>
          <w:tcPr>
            <w:tcW w:w="2835" w:type="dxa"/>
            <w:vAlign w:val="center"/>
          </w:tcPr>
          <w:p>
            <w:pPr>
              <w:pStyle w:val="11"/>
            </w:pPr>
            <w:r>
              <w:t>项目名称</w:t>
            </w:r>
          </w:p>
        </w:tc>
        <w:tc>
          <w:tcPr>
            <w:tcW w:w="6095" w:type="dxa"/>
            <w:gridSpan w:val="3"/>
            <w:vAlign w:val="center"/>
          </w:tcPr>
          <w:p>
            <w:pPr>
              <w:pStyle w:val="13"/>
            </w:pPr>
            <w:r>
              <w:t>2026年三馆一站免费开放区级补助资金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为更好的开展基层公共文化服务，满足百姓的精神文化需求，全面提升公民文化素养。</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1.为更好的开展基层公共文化服务，满足百姓的精神文化需求，全面提升公民文化素养。</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举办活动次数</w:t>
            </w:r>
          </w:p>
        </w:tc>
        <w:tc>
          <w:tcPr>
            <w:tcW w:w="5386" w:type="dxa"/>
            <w:vAlign w:val="center"/>
          </w:tcPr>
          <w:p>
            <w:pPr>
              <w:pStyle w:val="13"/>
            </w:pPr>
            <w:r>
              <w:t>举办活动次数</w:t>
            </w:r>
          </w:p>
        </w:tc>
        <w:tc>
          <w:tcPr>
            <w:tcW w:w="2268" w:type="dxa"/>
            <w:vAlign w:val="center"/>
          </w:tcPr>
          <w:p>
            <w:pPr>
              <w:pStyle w:val="13"/>
            </w:pPr>
            <w:r>
              <w:t>≥4次</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文化站各项日常工作保障率</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及时保障文化站各项日常办公需要</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文化活动支出</w:t>
            </w:r>
          </w:p>
        </w:tc>
        <w:tc>
          <w:tcPr>
            <w:tcW w:w="5386" w:type="dxa"/>
            <w:vAlign w:val="center"/>
          </w:tcPr>
          <w:p>
            <w:pPr>
              <w:pStyle w:val="13"/>
            </w:pPr>
            <w:r>
              <w:t>保障文化站活动各项支出</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保障群众基本文化权益</w:t>
            </w:r>
          </w:p>
        </w:tc>
        <w:tc>
          <w:tcPr>
            <w:tcW w:w="5386" w:type="dxa"/>
            <w:vAlign w:val="center"/>
          </w:tcPr>
          <w:p>
            <w:pPr>
              <w:pStyle w:val="13"/>
            </w:pPr>
            <w:r>
              <w:t>保障群众基本文化权益</w:t>
            </w:r>
          </w:p>
        </w:tc>
        <w:tc>
          <w:tcPr>
            <w:tcW w:w="2268" w:type="dxa"/>
            <w:vAlign w:val="center"/>
          </w:tcPr>
          <w:p>
            <w:pPr>
              <w:pStyle w:val="13"/>
            </w:pPr>
            <w:r>
              <w:t>≥96%</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提供服务的满意程度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13010426P00992510114L</w:t>
            </w:r>
          </w:p>
        </w:tc>
        <w:tc>
          <w:tcPr>
            <w:tcW w:w="2835" w:type="dxa"/>
            <w:vAlign w:val="center"/>
          </w:tcPr>
          <w:p>
            <w:pPr>
              <w:pStyle w:val="11"/>
            </w:pPr>
            <w:r>
              <w:t>项目名称</w:t>
            </w:r>
          </w:p>
        </w:tc>
        <w:tc>
          <w:tcPr>
            <w:tcW w:w="6095" w:type="dxa"/>
            <w:gridSpan w:val="3"/>
            <w:vAlign w:val="center"/>
          </w:tcPr>
          <w:p>
            <w:pPr>
              <w:pStyle w:val="13"/>
            </w:pPr>
            <w:r>
              <w:t>2026年三馆一站免费开放省级补助资金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推动基本公共文化服务提升，保障群众基本文化权益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1.推动基本公共文化服务提升，保障群众基本文化权益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自办活动次数</w:t>
            </w:r>
          </w:p>
        </w:tc>
        <w:tc>
          <w:tcPr>
            <w:tcW w:w="5386" w:type="dxa"/>
            <w:vAlign w:val="center"/>
          </w:tcPr>
          <w:p>
            <w:pPr>
              <w:pStyle w:val="13"/>
            </w:pPr>
            <w:r>
              <w:t>自办活动次数</w:t>
            </w:r>
          </w:p>
        </w:tc>
        <w:tc>
          <w:tcPr>
            <w:tcW w:w="2268" w:type="dxa"/>
            <w:vAlign w:val="center"/>
          </w:tcPr>
          <w:p>
            <w:pPr>
              <w:pStyle w:val="13"/>
            </w:pPr>
            <w:r>
              <w:t>≥5次</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举办活动质量</w:t>
            </w:r>
          </w:p>
        </w:tc>
        <w:tc>
          <w:tcPr>
            <w:tcW w:w="5386" w:type="dxa"/>
            <w:vAlign w:val="center"/>
          </w:tcPr>
          <w:p>
            <w:pPr>
              <w:pStyle w:val="13"/>
            </w:pPr>
            <w:r>
              <w:t>举办活动质量</w:t>
            </w:r>
          </w:p>
        </w:tc>
        <w:tc>
          <w:tcPr>
            <w:tcW w:w="2268" w:type="dxa"/>
            <w:vAlign w:val="center"/>
          </w:tcPr>
          <w:p>
            <w:pPr>
              <w:pStyle w:val="13"/>
            </w:pPr>
            <w:r>
              <w:t>≥96百分号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资金到位及时性</w:t>
            </w:r>
          </w:p>
        </w:tc>
        <w:tc>
          <w:tcPr>
            <w:tcW w:w="5386" w:type="dxa"/>
            <w:vAlign w:val="center"/>
          </w:tcPr>
          <w:p>
            <w:pPr>
              <w:pStyle w:val="13"/>
            </w:pPr>
            <w:r>
              <w:t>资金到位及时性</w:t>
            </w:r>
          </w:p>
        </w:tc>
        <w:tc>
          <w:tcPr>
            <w:tcW w:w="2268" w:type="dxa"/>
            <w:vAlign w:val="center"/>
          </w:tcPr>
          <w:p>
            <w:pPr>
              <w:pStyle w:val="13"/>
            </w:pPr>
            <w:r>
              <w:t>100百分号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保证群众基本文化权益</w:t>
            </w:r>
          </w:p>
        </w:tc>
        <w:tc>
          <w:tcPr>
            <w:tcW w:w="5386" w:type="dxa"/>
            <w:vAlign w:val="center"/>
          </w:tcPr>
          <w:p>
            <w:pPr>
              <w:pStyle w:val="13"/>
            </w:pPr>
            <w:r>
              <w:t>保证群众基本文化权益</w:t>
            </w:r>
          </w:p>
        </w:tc>
        <w:tc>
          <w:tcPr>
            <w:tcW w:w="2268" w:type="dxa"/>
            <w:vAlign w:val="center"/>
          </w:tcPr>
          <w:p>
            <w:pPr>
              <w:pStyle w:val="13"/>
            </w:pPr>
            <w:r>
              <w:t>≥96百分号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群众满意程度</w:t>
            </w:r>
          </w:p>
        </w:tc>
        <w:tc>
          <w:tcPr>
            <w:tcW w:w="2268" w:type="dxa"/>
            <w:vAlign w:val="center"/>
          </w:tcPr>
          <w:p>
            <w:pPr>
              <w:pStyle w:val="13"/>
            </w:pPr>
            <w:r>
              <w:t>≥96百分号</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13010426P004128101381</w:t>
            </w:r>
          </w:p>
        </w:tc>
        <w:tc>
          <w:tcPr>
            <w:tcW w:w="2835" w:type="dxa"/>
            <w:vAlign w:val="center"/>
          </w:tcPr>
          <w:p>
            <w:pPr>
              <w:pStyle w:val="11"/>
            </w:pPr>
            <w:r>
              <w:t>项目名称</w:t>
            </w:r>
          </w:p>
        </w:tc>
        <w:tc>
          <w:tcPr>
            <w:tcW w:w="6095" w:type="dxa"/>
            <w:gridSpan w:val="3"/>
            <w:vAlign w:val="center"/>
          </w:tcPr>
          <w:p>
            <w:pPr>
              <w:pStyle w:val="13"/>
            </w:pPr>
            <w:r>
              <w:t>“两委”班子成员经责审计费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0.52</w:t>
            </w:r>
          </w:p>
        </w:tc>
        <w:tc>
          <w:tcPr>
            <w:tcW w:w="2835" w:type="dxa"/>
            <w:vAlign w:val="center"/>
          </w:tcPr>
          <w:p>
            <w:pPr>
              <w:pStyle w:val="11"/>
            </w:pPr>
            <w:r>
              <w:t>其中：财政    资金</w:t>
            </w:r>
          </w:p>
        </w:tc>
        <w:tc>
          <w:tcPr>
            <w:tcW w:w="2551" w:type="dxa"/>
            <w:vAlign w:val="center"/>
          </w:tcPr>
          <w:p>
            <w:pPr>
              <w:pStyle w:val="13"/>
            </w:pPr>
            <w:r>
              <w:t>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保证“两委”班子成员经责审计顺利进行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1.保证“两委”班子成员经责审计顺利进行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4个</w:t>
            </w:r>
          </w:p>
        </w:tc>
        <w:tc>
          <w:tcPr>
            <w:tcW w:w="1276" w:type="dxa"/>
            <w:vAlign w:val="center"/>
          </w:tcPr>
          <w:p>
            <w:pPr>
              <w:pStyle w:val="13"/>
            </w:pPr>
            <w:r>
              <w:t>社区数量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转款专用率</w:t>
            </w:r>
          </w:p>
        </w:tc>
        <w:tc>
          <w:tcPr>
            <w:tcW w:w="5386" w:type="dxa"/>
            <w:vAlign w:val="center"/>
          </w:tcPr>
          <w:p>
            <w:pPr>
              <w:pStyle w:val="13"/>
            </w:pPr>
            <w:r>
              <w:t>转款专用率</w:t>
            </w:r>
          </w:p>
        </w:tc>
        <w:tc>
          <w:tcPr>
            <w:tcW w:w="2268" w:type="dxa"/>
            <w:vAlign w:val="center"/>
          </w:tcPr>
          <w:p>
            <w:pPr>
              <w:pStyle w:val="13"/>
            </w:pPr>
            <w:r>
              <w:t>100%</w:t>
            </w:r>
          </w:p>
        </w:tc>
        <w:tc>
          <w:tcPr>
            <w:tcW w:w="1276" w:type="dxa"/>
            <w:vAlign w:val="center"/>
          </w:tcPr>
          <w:p>
            <w:pPr>
              <w:pStyle w:val="13"/>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w:t>
            </w:r>
          </w:p>
        </w:tc>
        <w:tc>
          <w:tcPr>
            <w:tcW w:w="1276" w:type="dxa"/>
            <w:vAlign w:val="center"/>
          </w:tcPr>
          <w:p>
            <w:pPr>
              <w:pStyle w:val="13"/>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100%</w:t>
            </w:r>
          </w:p>
        </w:tc>
        <w:tc>
          <w:tcPr>
            <w:tcW w:w="1276" w:type="dxa"/>
            <w:vAlign w:val="center"/>
          </w:tcPr>
          <w:p>
            <w:pPr>
              <w:pStyle w:val="13"/>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≥95%</w:t>
            </w:r>
          </w:p>
        </w:tc>
        <w:tc>
          <w:tcPr>
            <w:tcW w:w="1276" w:type="dxa"/>
            <w:vAlign w:val="center"/>
          </w:tcPr>
          <w:p>
            <w:pPr>
              <w:pStyle w:val="13"/>
            </w:pPr>
            <w:r>
              <w:t>客户满意度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5、办公用房租赁费绩效目标表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13010426P004158100700</w:t>
            </w:r>
          </w:p>
        </w:tc>
        <w:tc>
          <w:tcPr>
            <w:tcW w:w="2835" w:type="dxa"/>
            <w:vAlign w:val="center"/>
          </w:tcPr>
          <w:p>
            <w:pPr>
              <w:pStyle w:val="11"/>
            </w:pPr>
            <w:r>
              <w:t>项目名称</w:t>
            </w:r>
          </w:p>
        </w:tc>
        <w:tc>
          <w:tcPr>
            <w:tcW w:w="6095" w:type="dxa"/>
            <w:gridSpan w:val="3"/>
            <w:vAlign w:val="center"/>
          </w:tcPr>
          <w:p>
            <w:pPr>
              <w:pStyle w:val="13"/>
            </w:pPr>
            <w:r>
              <w:t>办公用房租赁费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主要用于办公用房租赁费支出，保障办公正常运转。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1706平方米</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办公用房内各项设施齐全，运转正常</w:t>
            </w:r>
          </w:p>
        </w:tc>
        <w:tc>
          <w:tcPr>
            <w:tcW w:w="2268" w:type="dxa"/>
            <w:vAlign w:val="center"/>
          </w:tcPr>
          <w:p>
            <w:pPr>
              <w:pStyle w:val="13"/>
            </w:pPr>
            <w:r>
              <w:t>≥80%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租赁合同签订时效</w:t>
            </w:r>
          </w:p>
        </w:tc>
        <w:tc>
          <w:tcPr>
            <w:tcW w:w="5386" w:type="dxa"/>
            <w:vAlign w:val="center"/>
          </w:tcPr>
          <w:p>
            <w:pPr>
              <w:pStyle w:val="13"/>
            </w:pPr>
            <w:r>
              <w:t>办公用房租赁合同签订时效性</w:t>
            </w:r>
          </w:p>
        </w:tc>
        <w:tc>
          <w:tcPr>
            <w:tcW w:w="2268" w:type="dxa"/>
            <w:vAlign w:val="center"/>
          </w:tcPr>
          <w:p>
            <w:pPr>
              <w:pStyle w:val="13"/>
            </w:pPr>
            <w:r>
              <w:t>100%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5386" w:type="dxa"/>
            <w:vAlign w:val="center"/>
          </w:tcPr>
          <w:p>
            <w:pPr>
              <w:pStyle w:val="13"/>
            </w:pPr>
            <w:r>
              <w:t>每平方米办公用房年度租赁费</w:t>
            </w:r>
          </w:p>
        </w:tc>
        <w:tc>
          <w:tcPr>
            <w:tcW w:w="2268" w:type="dxa"/>
            <w:vAlign w:val="center"/>
          </w:tcPr>
          <w:p>
            <w:pPr>
              <w:pStyle w:val="13"/>
            </w:pPr>
            <w:r>
              <w:t>≤0.05万元/平方米</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≥80人</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13010426P00976110025H</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w:t>
            </w:r>
          </w:p>
        </w:tc>
        <w:tc>
          <w:tcPr>
            <w:tcW w:w="2835" w:type="dxa"/>
            <w:vAlign w:val="center"/>
          </w:tcPr>
          <w:p>
            <w:pPr>
              <w:pStyle w:val="11"/>
            </w:pPr>
            <w:r>
              <w:t>其中：财政    资金</w:t>
            </w:r>
          </w:p>
        </w:tc>
        <w:tc>
          <w:tcPr>
            <w:tcW w:w="2551" w:type="dxa"/>
            <w:vAlign w:val="center"/>
          </w:tcPr>
          <w:p>
            <w:pPr>
              <w:pStyle w:val="13"/>
            </w:pPr>
            <w:r>
              <w:t>13.80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保障城管劳务派遣人员绩效资金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1.保障城管劳务派遣人员绩效资金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城管劳务派遣人数</w:t>
            </w:r>
          </w:p>
        </w:tc>
        <w:tc>
          <w:tcPr>
            <w:tcW w:w="5386" w:type="dxa"/>
            <w:vAlign w:val="center"/>
          </w:tcPr>
          <w:p>
            <w:pPr>
              <w:pStyle w:val="13"/>
            </w:pPr>
            <w:r>
              <w:t>城管劳务派遣人数</w:t>
            </w:r>
          </w:p>
        </w:tc>
        <w:tc>
          <w:tcPr>
            <w:tcW w:w="2268" w:type="dxa"/>
            <w:vAlign w:val="center"/>
          </w:tcPr>
          <w:p>
            <w:pPr>
              <w:pStyle w:val="13"/>
            </w:pPr>
            <w:r>
              <w:t>23人</w:t>
            </w:r>
          </w:p>
        </w:tc>
        <w:tc>
          <w:tcPr>
            <w:tcW w:w="1276" w:type="dxa"/>
            <w:vAlign w:val="center"/>
          </w:tcPr>
          <w:p>
            <w:pPr>
              <w:pStyle w:val="13"/>
            </w:pPr>
            <w:r>
              <w:t>相关科室提供数据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保质保量发放到位</w:t>
            </w:r>
          </w:p>
        </w:tc>
        <w:tc>
          <w:tcPr>
            <w:tcW w:w="2268" w:type="dxa"/>
            <w:vAlign w:val="center"/>
          </w:tcPr>
          <w:p>
            <w:pPr>
              <w:pStyle w:val="13"/>
            </w:pPr>
            <w:r>
              <w:t>≥90%</w:t>
            </w:r>
          </w:p>
        </w:tc>
        <w:tc>
          <w:tcPr>
            <w:tcW w:w="1276" w:type="dxa"/>
            <w:vAlign w:val="center"/>
          </w:tcPr>
          <w:p>
            <w:pPr>
              <w:pStyle w:val="13"/>
            </w:pPr>
            <w:r>
              <w:t>相关政策文件</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资金拨付时限</w:t>
            </w:r>
          </w:p>
        </w:tc>
        <w:tc>
          <w:tcPr>
            <w:tcW w:w="5386" w:type="dxa"/>
            <w:vAlign w:val="center"/>
          </w:tcPr>
          <w:p>
            <w:pPr>
              <w:pStyle w:val="13"/>
            </w:pPr>
            <w:r>
              <w:t>资金拨付时限</w:t>
            </w:r>
          </w:p>
        </w:tc>
        <w:tc>
          <w:tcPr>
            <w:tcW w:w="2268" w:type="dxa"/>
            <w:vAlign w:val="center"/>
          </w:tcPr>
          <w:p>
            <w:pPr>
              <w:pStyle w:val="13"/>
            </w:pPr>
            <w:r>
              <w:t>≥95%</w:t>
            </w:r>
          </w:p>
        </w:tc>
        <w:tc>
          <w:tcPr>
            <w:tcW w:w="1276" w:type="dxa"/>
            <w:vAlign w:val="center"/>
          </w:tcPr>
          <w:p>
            <w:pPr>
              <w:pStyle w:val="13"/>
            </w:pPr>
            <w:r>
              <w:t>相关政策文件</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在预算成本内</w:t>
            </w:r>
          </w:p>
        </w:tc>
        <w:tc>
          <w:tcPr>
            <w:tcW w:w="5386" w:type="dxa"/>
            <w:vAlign w:val="center"/>
          </w:tcPr>
          <w:p>
            <w:pPr>
              <w:pStyle w:val="13"/>
            </w:pPr>
            <w:r>
              <w:t>在预算成本内</w:t>
            </w:r>
          </w:p>
        </w:tc>
        <w:tc>
          <w:tcPr>
            <w:tcW w:w="2268" w:type="dxa"/>
            <w:vAlign w:val="center"/>
          </w:tcPr>
          <w:p>
            <w:pPr>
              <w:pStyle w:val="13"/>
            </w:pPr>
            <w:r>
              <w:t>≤13.8万元</w:t>
            </w:r>
          </w:p>
        </w:tc>
        <w:tc>
          <w:tcPr>
            <w:tcW w:w="1276" w:type="dxa"/>
            <w:vAlign w:val="center"/>
          </w:tcPr>
          <w:p>
            <w:pPr>
              <w:pStyle w:val="13"/>
            </w:pPr>
            <w:r>
              <w:t>相关政策文件</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保障城管劳务派遣人员绩效资金到位</w:t>
            </w:r>
          </w:p>
        </w:tc>
        <w:tc>
          <w:tcPr>
            <w:tcW w:w="5386" w:type="dxa"/>
            <w:vAlign w:val="center"/>
          </w:tcPr>
          <w:p>
            <w:pPr>
              <w:pStyle w:val="13"/>
            </w:pPr>
            <w:r>
              <w:t>保障城管劳务派遣人员绩效资金到位</w:t>
            </w:r>
          </w:p>
        </w:tc>
        <w:tc>
          <w:tcPr>
            <w:tcW w:w="2268" w:type="dxa"/>
            <w:vAlign w:val="center"/>
          </w:tcPr>
          <w:p>
            <w:pPr>
              <w:pStyle w:val="13"/>
            </w:pPr>
            <w:r>
              <w:t>≥95%</w:t>
            </w:r>
          </w:p>
        </w:tc>
        <w:tc>
          <w:tcPr>
            <w:tcW w:w="1276" w:type="dxa"/>
            <w:vAlign w:val="center"/>
          </w:tcPr>
          <w:p>
            <w:pPr>
              <w:pStyle w:val="13"/>
            </w:pPr>
            <w:r>
              <w:t>相关政策文件</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相关政策文件</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7、点式供气企业替代绩效目标表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13010426P00976210012G</w:t>
            </w:r>
          </w:p>
        </w:tc>
        <w:tc>
          <w:tcPr>
            <w:tcW w:w="2835" w:type="dxa"/>
            <w:vAlign w:val="center"/>
          </w:tcPr>
          <w:p>
            <w:pPr>
              <w:pStyle w:val="11"/>
            </w:pPr>
            <w:r>
              <w:t>项目名称</w:t>
            </w:r>
          </w:p>
        </w:tc>
        <w:tc>
          <w:tcPr>
            <w:tcW w:w="6095" w:type="dxa"/>
            <w:gridSpan w:val="3"/>
            <w:vAlign w:val="center"/>
          </w:tcPr>
          <w:p>
            <w:pPr>
              <w:pStyle w:val="13"/>
            </w:pPr>
            <w:r>
              <w:t>点式供气企业替代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推动辖区点式替代工作。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1.推动辖区点式替代工作。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燃气点式替代覆盖率</w:t>
            </w:r>
          </w:p>
        </w:tc>
        <w:tc>
          <w:tcPr>
            <w:tcW w:w="5386" w:type="dxa"/>
            <w:vAlign w:val="center"/>
          </w:tcPr>
          <w:p>
            <w:pPr>
              <w:pStyle w:val="13"/>
            </w:pPr>
            <w:r>
              <w:t>燃气点式替代覆盖率</w:t>
            </w:r>
          </w:p>
        </w:tc>
        <w:tc>
          <w:tcPr>
            <w:tcW w:w="2268" w:type="dxa"/>
            <w:vAlign w:val="center"/>
          </w:tcPr>
          <w:p>
            <w:pPr>
              <w:pStyle w:val="13"/>
            </w:pPr>
            <w:r>
              <w:t>≥80%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质量达到规范要求</w:t>
            </w:r>
          </w:p>
          <w:p>
            <w:pPr>
              <w:pStyle w:val="13"/>
            </w:pP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tc>
        <w:tc>
          <w:tcPr>
            <w:tcW w:w="5386" w:type="dxa"/>
            <w:vAlign w:val="center"/>
          </w:tcPr>
          <w:p>
            <w:pPr>
              <w:pStyle w:val="13"/>
            </w:pPr>
            <w:r>
              <w:t>专项资金拨付及时率</w:t>
            </w:r>
          </w:p>
        </w:tc>
        <w:tc>
          <w:tcPr>
            <w:tcW w:w="2268" w:type="dxa"/>
            <w:vAlign w:val="center"/>
          </w:tcPr>
          <w:p>
            <w:pPr>
              <w:pStyle w:val="13"/>
            </w:pPr>
            <w:r>
              <w:t>≥85%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预算（成本）控制率</w:t>
            </w:r>
          </w:p>
        </w:tc>
        <w:tc>
          <w:tcPr>
            <w:tcW w:w="2268" w:type="dxa"/>
            <w:vAlign w:val="center"/>
          </w:tcPr>
          <w:p>
            <w:pPr>
              <w:pStyle w:val="13"/>
            </w:pPr>
            <w:r>
              <w:t>≤50万元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安全性</w:t>
            </w:r>
          </w:p>
        </w:tc>
        <w:tc>
          <w:tcPr>
            <w:tcW w:w="5386" w:type="dxa"/>
            <w:vAlign w:val="center"/>
          </w:tcPr>
          <w:p>
            <w:pPr>
              <w:pStyle w:val="13"/>
            </w:pPr>
            <w:r>
              <w:t>对燃气使用安全性和合格率进行维护、保养和检测，保障工作人员人身安全</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服务对象满意度占总现住人口的比例</w:t>
            </w:r>
          </w:p>
        </w:tc>
        <w:tc>
          <w:tcPr>
            <w:tcW w:w="2268" w:type="dxa"/>
            <w:vAlign w:val="center"/>
          </w:tcPr>
          <w:p>
            <w:pPr>
              <w:pStyle w:val="13"/>
            </w:pPr>
            <w:r>
              <w:t>≥80%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13010426P009761100265</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39.69</w:t>
            </w:r>
          </w:p>
        </w:tc>
        <w:tc>
          <w:tcPr>
            <w:tcW w:w="2835" w:type="dxa"/>
            <w:vAlign w:val="center"/>
          </w:tcPr>
          <w:p>
            <w:pPr>
              <w:pStyle w:val="11"/>
            </w:pPr>
            <w:r>
              <w:t>其中：财政    资金</w:t>
            </w:r>
          </w:p>
        </w:tc>
        <w:tc>
          <w:tcPr>
            <w:tcW w:w="2551" w:type="dxa"/>
            <w:vAlign w:val="center"/>
          </w:tcPr>
          <w:p>
            <w:pPr>
              <w:pStyle w:val="13"/>
            </w:pPr>
            <w:r>
              <w:t>39.69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保障全科政务劳务派遣人员工资正常发放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1.保障全科政务劳务派遣人员工资正常发放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全科政务人数</w:t>
            </w:r>
          </w:p>
        </w:tc>
        <w:tc>
          <w:tcPr>
            <w:tcW w:w="5386" w:type="dxa"/>
            <w:vAlign w:val="center"/>
          </w:tcPr>
          <w:p>
            <w:pPr>
              <w:pStyle w:val="13"/>
            </w:pPr>
            <w:r>
              <w:t>全科政务人数</w:t>
            </w:r>
          </w:p>
        </w:tc>
        <w:tc>
          <w:tcPr>
            <w:tcW w:w="2268" w:type="dxa"/>
            <w:vAlign w:val="center"/>
          </w:tcPr>
          <w:p>
            <w:pPr>
              <w:pStyle w:val="13"/>
            </w:pPr>
            <w:r>
              <w:t>8人</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保质保量发放到位</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及时发放</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不超预算成本</w:t>
            </w:r>
          </w:p>
        </w:tc>
        <w:tc>
          <w:tcPr>
            <w:tcW w:w="5386" w:type="dxa"/>
            <w:vAlign w:val="center"/>
          </w:tcPr>
          <w:p>
            <w:pPr>
              <w:pStyle w:val="13"/>
            </w:pPr>
            <w:r>
              <w:t>不超预算成本</w:t>
            </w:r>
          </w:p>
        </w:tc>
        <w:tc>
          <w:tcPr>
            <w:tcW w:w="2268" w:type="dxa"/>
            <w:vAlign w:val="center"/>
          </w:tcPr>
          <w:p>
            <w:pPr>
              <w:pStyle w:val="13"/>
            </w:pPr>
            <w:r>
              <w:t>≤45.55万元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保障全科政务劳务派遣人员资金到位</w:t>
            </w:r>
          </w:p>
        </w:tc>
        <w:tc>
          <w:tcPr>
            <w:tcW w:w="5386" w:type="dxa"/>
            <w:vAlign w:val="center"/>
          </w:tcPr>
          <w:p>
            <w:pPr>
              <w:pStyle w:val="13"/>
            </w:pPr>
            <w:r>
              <w:t>保障全科政务劳务派遣人员资金到位</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13010426P00976110056Q</w:t>
            </w:r>
          </w:p>
        </w:tc>
        <w:tc>
          <w:tcPr>
            <w:tcW w:w="2835" w:type="dxa"/>
            <w:vAlign w:val="center"/>
          </w:tcPr>
          <w:p>
            <w:pPr>
              <w:pStyle w:val="11"/>
            </w:pPr>
            <w:r>
              <w:t>项目名称</w:t>
            </w:r>
          </w:p>
        </w:tc>
        <w:tc>
          <w:tcPr>
            <w:tcW w:w="6095" w:type="dxa"/>
            <w:gridSpan w:val="3"/>
            <w:vAlign w:val="center"/>
          </w:tcPr>
          <w:p>
            <w:pPr>
              <w:pStyle w:val="13"/>
            </w:pPr>
            <w:r>
              <w:t>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377.16</w:t>
            </w:r>
          </w:p>
        </w:tc>
        <w:tc>
          <w:tcPr>
            <w:tcW w:w="2835" w:type="dxa"/>
            <w:vAlign w:val="center"/>
          </w:tcPr>
          <w:p>
            <w:pPr>
              <w:pStyle w:val="11"/>
            </w:pPr>
            <w:r>
              <w:t>其中：财政    资金</w:t>
            </w:r>
          </w:p>
        </w:tc>
        <w:tc>
          <w:tcPr>
            <w:tcW w:w="2551" w:type="dxa"/>
            <w:vAlign w:val="center"/>
          </w:tcPr>
          <w:p>
            <w:pPr>
              <w:pStyle w:val="13"/>
            </w:pPr>
            <w:r>
              <w:t>377.16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保障社工人员工资正常发放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1.保障社工人员工资正常发放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全科政务人数</w:t>
            </w:r>
          </w:p>
        </w:tc>
        <w:tc>
          <w:tcPr>
            <w:tcW w:w="5386" w:type="dxa"/>
            <w:vAlign w:val="center"/>
          </w:tcPr>
          <w:p>
            <w:pPr>
              <w:pStyle w:val="13"/>
            </w:pPr>
            <w:r>
              <w:t>社工人数</w:t>
            </w:r>
          </w:p>
        </w:tc>
        <w:tc>
          <w:tcPr>
            <w:tcW w:w="2268" w:type="dxa"/>
            <w:vAlign w:val="center"/>
          </w:tcPr>
          <w:p>
            <w:pPr>
              <w:pStyle w:val="13"/>
            </w:pPr>
            <w:r>
              <w:t>≤42人</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保质保量发放到位</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及时发放</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不超预算成本</w:t>
            </w:r>
          </w:p>
        </w:tc>
        <w:tc>
          <w:tcPr>
            <w:tcW w:w="5386" w:type="dxa"/>
            <w:vAlign w:val="center"/>
          </w:tcPr>
          <w:p>
            <w:pPr>
              <w:pStyle w:val="13"/>
            </w:pPr>
            <w:r>
              <w:t>不超预算成本</w:t>
            </w:r>
          </w:p>
        </w:tc>
        <w:tc>
          <w:tcPr>
            <w:tcW w:w="2268" w:type="dxa"/>
            <w:vAlign w:val="center"/>
          </w:tcPr>
          <w:p>
            <w:pPr>
              <w:pStyle w:val="13"/>
            </w:pPr>
            <w:r>
              <w:t>≤377.16万元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保障全科政务劳务派遣人员资金到位</w:t>
            </w:r>
          </w:p>
        </w:tc>
        <w:tc>
          <w:tcPr>
            <w:tcW w:w="5386" w:type="dxa"/>
            <w:vAlign w:val="center"/>
          </w:tcPr>
          <w:p>
            <w:pPr>
              <w:pStyle w:val="13"/>
            </w:pPr>
            <w:r>
              <w:t>保障社工人员资金到位</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13010426P00412810110C</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主要用于做好社区经费保障工作，保障社区办公正常运转。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1.主要用于做好社区经费保障工作，保障社区办公正常运转。</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保障社区办公人数</w:t>
            </w:r>
          </w:p>
        </w:tc>
        <w:tc>
          <w:tcPr>
            <w:tcW w:w="5386" w:type="dxa"/>
            <w:vAlign w:val="center"/>
          </w:tcPr>
          <w:p>
            <w:pPr>
              <w:pStyle w:val="13"/>
            </w:pPr>
            <w:r>
              <w:t>保障社区办公人数</w:t>
            </w:r>
          </w:p>
        </w:tc>
        <w:tc>
          <w:tcPr>
            <w:tcW w:w="2268" w:type="dxa"/>
            <w:vAlign w:val="center"/>
          </w:tcPr>
          <w:p>
            <w:pPr>
              <w:pStyle w:val="13"/>
            </w:pPr>
            <w:r>
              <w:t>≥48人</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社区各项日常工作保障率</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及时保障社区各项日常办公需要</w:t>
            </w:r>
          </w:p>
        </w:tc>
        <w:tc>
          <w:tcPr>
            <w:tcW w:w="2268" w:type="dxa"/>
            <w:vAlign w:val="center"/>
          </w:tcPr>
          <w:p>
            <w:pPr>
              <w:pStyle w:val="13"/>
            </w:pPr>
            <w:r>
              <w:t>100%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办公费、水电费、交通费、会议费、工会经费、招待费及其他公用经费的支出</w:t>
            </w:r>
          </w:p>
        </w:tc>
        <w:tc>
          <w:tcPr>
            <w:tcW w:w="2268" w:type="dxa"/>
            <w:vAlign w:val="center"/>
          </w:tcPr>
          <w:p>
            <w:pPr>
              <w:pStyle w:val="13"/>
            </w:pPr>
            <w:r>
              <w:t>≤80万元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维持单位正常运转</w:t>
            </w:r>
          </w:p>
        </w:tc>
        <w:tc>
          <w:tcPr>
            <w:tcW w:w="5386" w:type="dxa"/>
            <w:vAlign w:val="center"/>
          </w:tcPr>
          <w:p>
            <w:pPr>
              <w:pStyle w:val="13"/>
            </w:pPr>
            <w:r>
              <w:t>保障社区日常办公需要，维持单位正常运转</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社区提供群众服务的满意程度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11、双代运行补贴资金绩效目标表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13010426P00003110018D</w:t>
            </w:r>
          </w:p>
        </w:tc>
        <w:tc>
          <w:tcPr>
            <w:tcW w:w="2835" w:type="dxa"/>
            <w:vAlign w:val="center"/>
          </w:tcPr>
          <w:p>
            <w:pPr>
              <w:pStyle w:val="11"/>
            </w:pPr>
            <w:r>
              <w:t>项目名称</w:t>
            </w:r>
          </w:p>
        </w:tc>
        <w:tc>
          <w:tcPr>
            <w:tcW w:w="6095" w:type="dxa"/>
            <w:gridSpan w:val="3"/>
            <w:vAlign w:val="center"/>
          </w:tcPr>
          <w:p>
            <w:pPr>
              <w:pStyle w:val="13"/>
            </w:pPr>
            <w:r>
              <w:t>双代运行补贴资金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推行双代改造，提高能源清洁，改善居住环境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1.推行双代改造，提高能源清洁，改善居住环境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双代改造率</w:t>
            </w:r>
          </w:p>
        </w:tc>
        <w:tc>
          <w:tcPr>
            <w:tcW w:w="5386" w:type="dxa"/>
            <w:vAlign w:val="center"/>
          </w:tcPr>
          <w:p>
            <w:pPr>
              <w:pStyle w:val="13"/>
            </w:pPr>
            <w:r>
              <w:t>双代改造率</w:t>
            </w:r>
          </w:p>
        </w:tc>
        <w:tc>
          <w:tcPr>
            <w:tcW w:w="2268" w:type="dxa"/>
            <w:vAlign w:val="center"/>
          </w:tcPr>
          <w:p>
            <w:pPr>
              <w:pStyle w:val="13"/>
            </w:pPr>
            <w:r>
              <w:t>≥70%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保障改造质量</w:t>
            </w:r>
          </w:p>
        </w:tc>
        <w:tc>
          <w:tcPr>
            <w:tcW w:w="5386" w:type="dxa"/>
            <w:vAlign w:val="center"/>
          </w:tcPr>
          <w:p>
            <w:pPr>
              <w:pStyle w:val="13"/>
            </w:pPr>
            <w:r>
              <w:t>保障改造质量</w:t>
            </w:r>
          </w:p>
        </w:tc>
        <w:tc>
          <w:tcPr>
            <w:tcW w:w="2268" w:type="dxa"/>
            <w:vAlign w:val="center"/>
          </w:tcPr>
          <w:p>
            <w:pPr>
              <w:pStyle w:val="13"/>
            </w:pPr>
            <w:r>
              <w:t>≥80%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及时支出</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双代补贴支出情况</w:t>
            </w:r>
          </w:p>
        </w:tc>
        <w:tc>
          <w:tcPr>
            <w:tcW w:w="5386" w:type="dxa"/>
            <w:vAlign w:val="center"/>
          </w:tcPr>
          <w:p>
            <w:pPr>
              <w:pStyle w:val="13"/>
            </w:pPr>
            <w:r>
              <w:t>保障补贴支出</w:t>
            </w:r>
          </w:p>
        </w:tc>
        <w:tc>
          <w:tcPr>
            <w:tcW w:w="2268" w:type="dxa"/>
            <w:vAlign w:val="center"/>
          </w:tcPr>
          <w:p>
            <w:pPr>
              <w:pStyle w:val="13"/>
            </w:pPr>
            <w:r>
              <w:t>≤0.4万元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提高能源清洁度，改善居住环境</w:t>
            </w:r>
          </w:p>
        </w:tc>
        <w:tc>
          <w:tcPr>
            <w:tcW w:w="5386" w:type="dxa"/>
            <w:vAlign w:val="center"/>
          </w:tcPr>
          <w:p>
            <w:pPr>
              <w:pStyle w:val="13"/>
            </w:pPr>
            <w:r>
              <w:t>提高能源清洁度，改善居住环境</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提供服务的满意程度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13010426P004P50101055</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主要用于维护社会稳定，缓解信访压力。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1.主要用于维护社会稳定，缓解信访压力。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信访案件受理数</w:t>
            </w:r>
          </w:p>
        </w:tc>
        <w:tc>
          <w:tcPr>
            <w:tcW w:w="5386" w:type="dxa"/>
            <w:vAlign w:val="center"/>
          </w:tcPr>
          <w:p>
            <w:pPr>
              <w:pStyle w:val="13"/>
            </w:pPr>
            <w:r>
              <w:t>全年受理信访案件的数量</w:t>
            </w:r>
          </w:p>
        </w:tc>
        <w:tc>
          <w:tcPr>
            <w:tcW w:w="2268" w:type="dxa"/>
            <w:vAlign w:val="center"/>
          </w:tcPr>
          <w:p>
            <w:pPr>
              <w:pStyle w:val="13"/>
            </w:pPr>
            <w:r>
              <w:t>≥20个</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信访案件的受理率</w:t>
            </w:r>
          </w:p>
        </w:tc>
        <w:tc>
          <w:tcPr>
            <w:tcW w:w="5386" w:type="dxa"/>
            <w:vAlign w:val="center"/>
          </w:tcPr>
          <w:p>
            <w:pPr>
              <w:pStyle w:val="13"/>
            </w:pPr>
            <w:r>
              <w:t>受理的信访案件占全部案件的比例</w:t>
            </w:r>
          </w:p>
        </w:tc>
        <w:tc>
          <w:tcPr>
            <w:tcW w:w="2268" w:type="dxa"/>
            <w:vAlign w:val="center"/>
          </w:tcPr>
          <w:p>
            <w:pPr>
              <w:pStyle w:val="13"/>
            </w:pPr>
            <w:r>
              <w:t>≥90%</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及时保障处理维稳案件需要</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维稳经费支出</w:t>
            </w:r>
          </w:p>
        </w:tc>
        <w:tc>
          <w:tcPr>
            <w:tcW w:w="5386" w:type="dxa"/>
            <w:vAlign w:val="center"/>
          </w:tcPr>
          <w:p>
            <w:pPr>
              <w:pStyle w:val="13"/>
            </w:pPr>
            <w:r>
              <w:t>办公费及其他公用经费的支出</w:t>
            </w:r>
          </w:p>
        </w:tc>
        <w:tc>
          <w:tcPr>
            <w:tcW w:w="2268" w:type="dxa"/>
            <w:vAlign w:val="center"/>
          </w:tcPr>
          <w:p>
            <w:pPr>
              <w:pStyle w:val="13"/>
            </w:pPr>
            <w:r>
              <w:t>14万元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信访案件按期答复率</w:t>
            </w:r>
          </w:p>
        </w:tc>
        <w:tc>
          <w:tcPr>
            <w:tcW w:w="5386" w:type="dxa"/>
            <w:vAlign w:val="center"/>
          </w:tcPr>
          <w:p>
            <w:pPr>
              <w:pStyle w:val="13"/>
            </w:pPr>
            <w:r>
              <w:t>按期答复的信访案件占总案件的比例</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服务对象对工作的满意程度</w:t>
            </w:r>
          </w:p>
        </w:tc>
        <w:tc>
          <w:tcPr>
            <w:tcW w:w="5386" w:type="dxa"/>
            <w:vAlign w:val="center"/>
          </w:tcPr>
          <w:p>
            <w:pPr>
              <w:pStyle w:val="13"/>
            </w:pPr>
            <w:r>
              <w:t>服务对象对工作的满意程度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13010426P00RT06100320</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主要用于保障武装部征兵工作及民兵训练的正常开展。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1.主要用于保障武装部征兵工作及民兵训练的正常开展。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保障武装工作办公人数</w:t>
            </w:r>
          </w:p>
        </w:tc>
        <w:tc>
          <w:tcPr>
            <w:tcW w:w="2268" w:type="dxa"/>
            <w:vAlign w:val="center"/>
          </w:tcPr>
          <w:p>
            <w:pPr>
              <w:pStyle w:val="13"/>
            </w:pPr>
            <w:r>
              <w:t>≥40人</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各项武装工作保障率</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及时保障各项武装工作需要</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预算成本</w:t>
            </w:r>
          </w:p>
        </w:tc>
        <w:tc>
          <w:tcPr>
            <w:tcW w:w="2268" w:type="dxa"/>
            <w:vAlign w:val="center"/>
          </w:tcPr>
          <w:p>
            <w:pPr>
              <w:pStyle w:val="13"/>
            </w:pPr>
            <w:r>
              <w:t>≤0.2万元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提高保障办事处职工安全</w:t>
            </w:r>
          </w:p>
        </w:tc>
        <w:tc>
          <w:tcPr>
            <w:tcW w:w="5386" w:type="dxa"/>
            <w:vAlign w:val="center"/>
          </w:tcPr>
          <w:p>
            <w:pPr>
              <w:pStyle w:val="13"/>
            </w:pPr>
            <w:r>
              <w:t>提高保障办事处职工安全</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提供服务的满意程度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13010426P009870100756</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主要用于做好经费保障工作，保障办公正常运转。</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1.主要用于做好经费保障工作，保障办公正常运转。</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≥40人</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≥90%</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办公费、水电费、交通费、会议费、工会经费、招待费及其他公用经费的支出</w:t>
            </w:r>
          </w:p>
        </w:tc>
        <w:tc>
          <w:tcPr>
            <w:tcW w:w="2268" w:type="dxa"/>
            <w:vAlign w:val="center"/>
          </w:tcPr>
          <w:p>
            <w:pPr>
              <w:pStyle w:val="13"/>
            </w:pPr>
            <w:r>
              <w:t>≤18万元</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≥95%</w:t>
            </w:r>
          </w:p>
        </w:tc>
        <w:tc>
          <w:tcPr>
            <w:tcW w:w="1276" w:type="dxa"/>
            <w:vAlign w:val="center"/>
          </w:tcPr>
          <w:p>
            <w:pPr>
              <w:pStyle w:val="13"/>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提供服务的满意程度</w:t>
            </w:r>
          </w:p>
        </w:tc>
        <w:tc>
          <w:tcPr>
            <w:tcW w:w="2268" w:type="dxa"/>
            <w:vAlign w:val="center"/>
          </w:tcPr>
          <w:p>
            <w:pPr>
              <w:pStyle w:val="13"/>
            </w:pPr>
            <w:r>
              <w:t>≥90%</w:t>
            </w:r>
          </w:p>
        </w:tc>
        <w:tc>
          <w:tcPr>
            <w:tcW w:w="1276" w:type="dxa"/>
            <w:vAlign w:val="center"/>
          </w:tcPr>
          <w:p>
            <w:pPr>
              <w:pStyle w:val="13"/>
            </w:pPr>
            <w:r>
              <w:t>相关政策文件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5.52</w:t>
            </w:r>
          </w:p>
        </w:tc>
        <w:tc>
          <w:tcPr>
            <w:tcW w:w="964" w:type="dxa"/>
            <w:vAlign w:val="center"/>
          </w:tcPr>
          <w:p>
            <w:pPr>
              <w:pStyle w:val="16"/>
            </w:pPr>
            <w:r>
              <w:t>5.52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石家庄市桥西区长兴街道办事处本级小计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5.52</w:t>
            </w:r>
          </w:p>
        </w:tc>
        <w:tc>
          <w:tcPr>
            <w:tcW w:w="964" w:type="dxa"/>
            <w:vAlign w:val="center"/>
          </w:tcPr>
          <w:p>
            <w:pPr>
              <w:pStyle w:val="16"/>
            </w:pPr>
            <w:r>
              <w:t>5.52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36.03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36.03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36.03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36.03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社区工作经费</w:t>
            </w:r>
          </w:p>
        </w:tc>
        <w:tc>
          <w:tcPr>
            <w:tcW w:w="964" w:type="dxa"/>
            <w:vAlign w:val="center"/>
          </w:tcPr>
          <w:p>
            <w:pPr>
              <w:pStyle w:val="12"/>
            </w:pPr>
            <w:r>
              <w:t>80.00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石家庄市桥西区长兴街道办事处（含所属单位）上年末固定资产金额为1067.92万元（详见下表）。本年度拟购置固定资产总额为0.00万元，已按要求列入政府采购预算，详见政府采购预算表。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514石家庄市桥西区长兴街道办事处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1067.92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1125</w:t>
            </w:r>
          </w:p>
        </w:tc>
        <w:tc>
          <w:tcPr>
            <w:tcW w:w="2835" w:type="dxa"/>
            <w:vAlign w:val="center"/>
          </w:tcPr>
          <w:p>
            <w:pPr>
              <w:pStyle w:val="12"/>
            </w:pPr>
            <w:r>
              <w:t>620.28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1125</w:t>
            </w:r>
          </w:p>
        </w:tc>
        <w:tc>
          <w:tcPr>
            <w:tcW w:w="2835" w:type="dxa"/>
            <w:vAlign w:val="center"/>
          </w:tcPr>
          <w:p>
            <w:pPr>
              <w:pStyle w:val="12"/>
            </w:pPr>
            <w:r>
              <w:t>620.28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2318</w:t>
            </w:r>
          </w:p>
        </w:tc>
        <w:tc>
          <w:tcPr>
            <w:tcW w:w="2835" w:type="dxa"/>
            <w:vAlign w:val="center"/>
          </w:tcPr>
          <w:p>
            <w:pPr>
              <w:pStyle w:val="12"/>
            </w:pPr>
            <w:r>
              <w:t>433.64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0N2IyYzBhMmUzZGJjZmVlNzgyZTI2NGFiZDNlY2UifQ=="/>
  </w:docVars>
  <w:rsids>
    <w:rsidRoot w:val="00000000"/>
    <w:rsid w:val="1F5611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TotalTime>1</TotalTime>
  <ScaleCrop>false</ScaleCrop>
  <LinksUpToDate>false</LinksUpToDate>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2026-02-12T17:17:00Z</dcterms:created>
  <dc:creator>Administrator</dc:creator>
  <cp:lastModifiedBy>Administrator</cp:lastModifiedBy>
  <dcterms:modified xsi:type="dcterms:W3CDTF">2026-02-12T09:27:50Z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31824DAC373E4B5EA4AD74B905B0E8F7_13</vt:lpwstr>
  </property>
</Properties>
</file>