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72"/>
        </w:rPr>
        <w:t>石家庄市桥西区疾病预防控制中心</w:t>
      </w:r>
    </w:p>
    <w:p>
      <w:pPr>
        <w:spacing w:before="0" w:after="0" w:line="240" w:lineRule="auto"/>
        <w:ind w:firstLine="0"/>
        <w:jc w:val="center"/>
        <w:outlineLvl w:val="9"/>
      </w:pPr>
      <w:r>
        <w:rPr>
          <w:rFonts w:ascii="方正小标宋_GBK" w:hAnsi="方正小标宋_GBK" w:eastAsia="方正小标宋_GBK" w:cs="方正小标宋_GBK"/>
          <w:color w:val="000000"/>
          <w:sz w:val="72"/>
        </w:rPr>
        <w:t>2026年</w:t>
      </w:r>
      <w:r>
        <w:rPr>
          <w:rFonts w:hint="eastAsia" w:ascii="方正小标宋_GBK" w:hAnsi="方正小标宋_GBK" w:eastAsia="方正小标宋_GBK" w:cs="方正小标宋_GBK"/>
          <w:color w:val="000000"/>
          <w:sz w:val="72"/>
          <w:lang w:eastAsia="zh-CN"/>
        </w:rPr>
        <w:t>单位</w:t>
      </w:r>
      <w:r>
        <w:rPr>
          <w:rFonts w:ascii="方正小标宋_GBK" w:hAnsi="方正小标宋_GBK" w:eastAsia="方正小标宋_GBK" w:cs="方正小标宋_GBK"/>
          <w:color w:val="000000"/>
          <w:sz w:val="72"/>
        </w:rPr>
        <w:t>预算绩效文本</w:t>
      </w:r>
    </w:p>
    <w:p>
      <w:pPr>
        <w:spacing w:before="0" w:after="0" w:line="240" w:lineRule="auto"/>
        <w:ind w:firstLine="0"/>
        <w:jc w:val="center"/>
        <w:outlineLvl w:val="9"/>
      </w:pP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宋体" w:hAnsi="宋体" w:eastAsia="宋体" w:cs="宋体"/>
          <w:color w:val="000000"/>
          <w:sz w:val="21"/>
        </w:rPr>
        <w:t xml:space="preserve"> </w:t>
      </w:r>
    </w:p>
    <w:p>
      <w:pPr>
        <w:spacing w:before="0" w:after="0" w:line="240" w:lineRule="auto"/>
        <w:ind w:firstLine="0"/>
        <w:jc w:val="center"/>
        <w:outlineLvl w:val="9"/>
      </w:pPr>
      <w:r>
        <w:rPr>
          <w:rFonts w:ascii="方正楷体_GBK" w:hAnsi="方正楷体_GBK" w:eastAsia="方正楷体_GBK" w:cs="方正楷体_GBK"/>
          <w:b/>
          <w:color w:val="000000"/>
          <w:sz w:val="32"/>
        </w:rPr>
        <w:t>石家庄市桥西区疾病预防控制中心编制</w:t>
      </w:r>
    </w:p>
    <w:p>
      <w:pPr>
        <w:spacing w:before="0" w:after="0" w:line="240" w:lineRule="auto"/>
        <w:ind w:firstLine="0"/>
        <w:jc w:val="center"/>
        <w:outlineLvl w:val="9"/>
        <w:sectPr>
          <w:pgSz w:w="11900" w:h="16840"/>
          <w:pgMar w:top="1984" w:right="1304" w:bottom="1134" w:left="1304" w:header="720" w:footer="720" w:gutter="0"/>
          <w:cols w:space="720" w:num="1"/>
          <w:titlePg/>
        </w:sectPr>
      </w:pPr>
      <w:r>
        <w:rPr>
          <w:rFonts w:ascii="方正楷体_GBK" w:hAnsi="方正楷体_GBK" w:eastAsia="方正楷体_GBK" w:cs="方正楷体_GBK"/>
          <w:b/>
          <w:color w:val="000000"/>
          <w:sz w:val="32"/>
        </w:rPr>
        <w:t>石家庄市桥西区财政局审核</w:t>
      </w:r>
    </w:p>
    <w:p>
      <w:pPr>
        <w:spacing w:before="0" w:after="0" w:line="240" w:lineRule="auto"/>
        <w:ind w:firstLine="0"/>
        <w:jc w:val="center"/>
        <w:outlineLvl w:val="9"/>
        <w:sectPr>
          <w:pgSz w:w="11900" w:h="16840"/>
          <w:pgMar w:top="1984" w:right="1304" w:bottom="1134" w:left="1304" w:header="720" w:footer="720" w:gutter="0"/>
          <w:cols w:space="720" w:num="1"/>
          <w:titlePg/>
        </w:sectPr>
      </w:pPr>
    </w:p>
    <w:p>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pPr>
        <w:spacing w:before="0" w:after="0" w:line="240" w:lineRule="auto"/>
        <w:ind w:firstLine="0"/>
        <w:jc w:val="center"/>
        <w:outlineLvl w:val="0"/>
      </w:pPr>
      <w:r>
        <w:rPr>
          <w:rFonts w:ascii="方正小标宋_GBK" w:hAnsi="方正小标宋_GBK" w:eastAsia="方正小标宋_GBK" w:cs="方正小标宋_GBK"/>
          <w:color w:val="000000"/>
          <w:sz w:val="36"/>
        </w:rPr>
        <w:t>目    录</w:t>
      </w:r>
    </w:p>
    <w:p>
      <w:pPr>
        <w:spacing w:before="0" w:after="0" w:line="240" w:lineRule="auto"/>
        <w:ind w:firstLine="0"/>
        <w:jc w:val="center"/>
        <w:outlineLvl w:val="9"/>
      </w:pPr>
      <w:r>
        <w:rPr>
          <w:rFonts w:ascii="方正小标宋_GBK" w:hAnsi="方正小标宋_GBK" w:eastAsia="方正小标宋_GBK" w:cs="方正小标宋_GBK"/>
          <w:color w:val="000000"/>
          <w:sz w:val="30"/>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30"/>
        </w:rPr>
        <w:t xml:space="preserve">第一部分 </w:t>
      </w:r>
      <w:r>
        <w:rPr>
          <w:rFonts w:hint="eastAsia" w:ascii="方正小标宋_GBK" w:hAnsi="方正小标宋_GBK" w:eastAsia="方正小标宋_GBK" w:cs="方正小标宋_GBK"/>
          <w:color w:val="000000"/>
          <w:sz w:val="30"/>
          <w:lang w:eastAsia="zh-CN"/>
        </w:rPr>
        <w:t>单位</w:t>
      </w:r>
      <w:r>
        <w:rPr>
          <w:rFonts w:ascii="方正小标宋_GBK" w:hAnsi="方正小标宋_GBK" w:eastAsia="方正小标宋_GBK" w:cs="方正小标宋_GBK"/>
          <w:color w:val="000000"/>
          <w:sz w:val="30"/>
        </w:rPr>
        <w:t>整体绩效目标</w:t>
      </w:r>
    </w:p>
    <w:p>
      <w:pPr>
        <w:pStyle w:val="2"/>
        <w:tabs>
          <w:tab w:val="right" w:leader="dot" w:pos="928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一、总体绩效目标</w:t>
      </w:r>
      <w:r>
        <w:tab/>
      </w:r>
      <w:r>
        <w:fldChar w:fldCharType="begin"/>
      </w:r>
      <w:r>
        <w:instrText xml:space="preserve">PAGEREF _Toc_2_2_0000000001 \h</w:instrText>
      </w:r>
      <w:r>
        <w:fldChar w:fldCharType="separate"/>
      </w:r>
      <w:r>
        <w:t>1</w:t>
      </w:r>
      <w:r>
        <w:fldChar w:fldCharType="end"/>
      </w:r>
      <w:r>
        <w:fldChar w:fldCharType="end"/>
      </w:r>
    </w:p>
    <w:p>
      <w:pPr>
        <w:pStyle w:val="2"/>
        <w:tabs>
          <w:tab w:val="right" w:leader="dot" w:pos="9282"/>
        </w:tabs>
      </w:pPr>
      <w:r>
        <w:fldChar w:fldCharType="begin"/>
      </w:r>
      <w:r>
        <w:instrText xml:space="preserve">HYPERLINK \l _Toc_2_2_0000000002</w:instrText>
      </w:r>
      <w:r>
        <w:fldChar w:fldCharType="separate"/>
      </w:r>
      <w:r>
        <w:t>二、分项绩效目标</w:t>
      </w:r>
      <w:r>
        <w:tab/>
      </w:r>
      <w:r>
        <w:fldChar w:fldCharType="begin"/>
      </w:r>
      <w:r>
        <w:instrText xml:space="preserve">PAGEREF _Toc_2_2_0000000002 \h</w:instrText>
      </w:r>
      <w:r>
        <w:fldChar w:fldCharType="separate"/>
      </w:r>
      <w:r>
        <w:t>1</w:t>
      </w:r>
      <w:r>
        <w:fldChar w:fldCharType="end"/>
      </w:r>
      <w:r>
        <w:fldChar w:fldCharType="end"/>
      </w:r>
    </w:p>
    <w:p>
      <w:pPr>
        <w:pStyle w:val="2"/>
        <w:tabs>
          <w:tab w:val="right" w:leader="dot" w:pos="9282"/>
        </w:tabs>
      </w:pPr>
      <w:r>
        <w:fldChar w:fldCharType="begin"/>
      </w:r>
      <w:r>
        <w:instrText xml:space="preserve">HYPERLINK \l _Toc_2_2_0000000003</w:instrText>
      </w:r>
      <w:r>
        <w:fldChar w:fldCharType="separate"/>
      </w:r>
      <w:r>
        <w:t>三、工作保障措施</w:t>
      </w:r>
      <w:r>
        <w:tab/>
      </w:r>
      <w:r>
        <w:fldChar w:fldCharType="begin"/>
      </w:r>
      <w:r>
        <w:instrText xml:space="preserve">PAGEREF _Toc_2_2_0000000003 \h</w:instrText>
      </w:r>
      <w:r>
        <w:fldChar w:fldCharType="separate"/>
      </w:r>
      <w:r>
        <w:t>4</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30"/>
        </w:rPr>
        <w:t>第二部分 预算项目绩效目标</w:t>
      </w:r>
    </w:p>
    <w:p>
      <w:pPr>
        <w:pStyle w:val="2"/>
        <w:tabs>
          <w:tab w:val="right" w:leader="dot" w:pos="9282"/>
        </w:tabs>
      </w:pPr>
      <w:r>
        <w:fldChar w:fldCharType="begin"/>
      </w:r>
      <w:r>
        <w:instrText xml:space="preserve">TOC \o "4-4" \h \z \u</w:instrText>
      </w:r>
      <w:r>
        <w:fldChar w:fldCharType="separate"/>
      </w:r>
      <w:r>
        <w:fldChar w:fldCharType="begin"/>
      </w:r>
      <w:r>
        <w:instrText xml:space="preserve">HYPERLINK \l _Toc_4_4_0000000004</w:instrText>
      </w:r>
      <w:r>
        <w:fldChar w:fldCharType="separate"/>
      </w:r>
      <w:r>
        <w:t>1.14周岁女孩免费接种国产2价HPV疫苗补助资金绩效目标表</w:t>
      </w:r>
      <w:r>
        <w:tab/>
      </w:r>
      <w:r>
        <w:fldChar w:fldCharType="begin"/>
      </w:r>
      <w:r>
        <w:instrText xml:space="preserve">PAGEREF _Toc_4_4_0000000004 \h</w:instrText>
      </w:r>
      <w:r>
        <w:fldChar w:fldCharType="separate"/>
      </w:r>
      <w:r>
        <w:t>8</w:t>
      </w:r>
      <w:r>
        <w:fldChar w:fldCharType="end"/>
      </w:r>
      <w:r>
        <w:fldChar w:fldCharType="end"/>
      </w:r>
    </w:p>
    <w:p>
      <w:pPr>
        <w:pStyle w:val="2"/>
        <w:tabs>
          <w:tab w:val="right" w:leader="dot" w:pos="9282"/>
        </w:tabs>
      </w:pPr>
      <w:r>
        <w:fldChar w:fldCharType="begin"/>
      </w:r>
      <w:r>
        <w:instrText xml:space="preserve">HYPERLINK \l _Toc_4_4_0000000005</w:instrText>
      </w:r>
      <w:r>
        <w:fldChar w:fldCharType="separate"/>
      </w:r>
      <w:r>
        <w:t>2.采样检测费绩效目标表</w:t>
      </w:r>
      <w:r>
        <w:tab/>
      </w:r>
      <w:r>
        <w:fldChar w:fldCharType="begin"/>
      </w:r>
      <w:r>
        <w:instrText xml:space="preserve">PAGEREF _Toc_4_4_0000000005 \h</w:instrText>
      </w:r>
      <w:r>
        <w:fldChar w:fldCharType="separate"/>
      </w:r>
      <w:r>
        <w:t>11</w:t>
      </w:r>
      <w:r>
        <w:fldChar w:fldCharType="end"/>
      </w:r>
      <w:r>
        <w:fldChar w:fldCharType="end"/>
      </w:r>
    </w:p>
    <w:p>
      <w:pPr>
        <w:pStyle w:val="2"/>
        <w:tabs>
          <w:tab w:val="right" w:leader="dot" w:pos="9282"/>
        </w:tabs>
      </w:pPr>
      <w:r>
        <w:fldChar w:fldCharType="begin"/>
      </w:r>
      <w:r>
        <w:instrText xml:space="preserve">HYPERLINK \l _Toc_4_4_0000000006</w:instrText>
      </w:r>
      <w:r>
        <w:fldChar w:fldCharType="separate"/>
      </w:r>
      <w:r>
        <w:t>3.法律保障经费绩效目标表</w:t>
      </w:r>
      <w:r>
        <w:tab/>
      </w:r>
      <w:r>
        <w:fldChar w:fldCharType="begin"/>
      </w:r>
      <w:r>
        <w:instrText xml:space="preserve">PAGEREF _Toc_4_4_0000000006 \h</w:instrText>
      </w:r>
      <w:r>
        <w:fldChar w:fldCharType="separate"/>
      </w:r>
      <w:r>
        <w:t>14</w:t>
      </w:r>
      <w:r>
        <w:fldChar w:fldCharType="end"/>
      </w:r>
      <w:r>
        <w:fldChar w:fldCharType="end"/>
      </w:r>
    </w:p>
    <w:p>
      <w:pPr>
        <w:pStyle w:val="2"/>
        <w:tabs>
          <w:tab w:val="right" w:leader="dot" w:pos="9282"/>
        </w:tabs>
      </w:pPr>
      <w:r>
        <w:fldChar w:fldCharType="begin"/>
      </w:r>
      <w:r>
        <w:instrText xml:space="preserve">HYPERLINK \l _Toc_4_4_0000000007</w:instrText>
      </w:r>
      <w:r>
        <w:fldChar w:fldCharType="separate"/>
      </w:r>
      <w:r>
        <w:t>4.购执法文书经费绩效目标表</w:t>
      </w:r>
      <w:r>
        <w:tab/>
      </w:r>
      <w:r>
        <w:fldChar w:fldCharType="begin"/>
      </w:r>
      <w:r>
        <w:instrText xml:space="preserve">PAGEREF _Toc_4_4_0000000007 \h</w:instrText>
      </w:r>
      <w:r>
        <w:fldChar w:fldCharType="separate"/>
      </w:r>
      <w:r>
        <w:t>17</w:t>
      </w:r>
      <w:r>
        <w:fldChar w:fldCharType="end"/>
      </w:r>
      <w:r>
        <w:fldChar w:fldCharType="end"/>
      </w:r>
    </w:p>
    <w:p>
      <w:pPr>
        <w:pStyle w:val="2"/>
        <w:tabs>
          <w:tab w:val="right" w:leader="dot" w:pos="9282"/>
        </w:tabs>
      </w:pPr>
      <w:r>
        <w:fldChar w:fldCharType="begin"/>
      </w:r>
      <w:r>
        <w:instrText xml:space="preserve">HYPERLINK \l _Toc_4_4_0000000008</w:instrText>
      </w:r>
      <w:r>
        <w:fldChar w:fldCharType="separate"/>
      </w:r>
      <w:r>
        <w:t>5.慢性病综防示范区建设及万步有约健走激励大赛经费绩效目标表</w:t>
      </w:r>
      <w:r>
        <w:tab/>
      </w:r>
      <w:r>
        <w:fldChar w:fldCharType="begin"/>
      </w:r>
      <w:r>
        <w:instrText xml:space="preserve">PAGEREF _Toc_4_4_0000000008 \h</w:instrText>
      </w:r>
      <w:r>
        <w:fldChar w:fldCharType="separate"/>
      </w:r>
      <w:r>
        <w:t>18</w:t>
      </w:r>
      <w:r>
        <w:fldChar w:fldCharType="end"/>
      </w:r>
      <w:r>
        <w:fldChar w:fldCharType="end"/>
      </w:r>
    </w:p>
    <w:p>
      <w:pPr>
        <w:pStyle w:val="2"/>
        <w:tabs>
          <w:tab w:val="right" w:leader="dot" w:pos="9282"/>
        </w:tabs>
      </w:pPr>
      <w:r>
        <w:fldChar w:fldCharType="begin"/>
      </w:r>
      <w:r>
        <w:instrText xml:space="preserve">HYPERLINK \l _Toc_4_4_0000000009</w:instrText>
      </w:r>
      <w:r>
        <w:fldChar w:fldCharType="separate"/>
      </w:r>
      <w:r>
        <w:t>6.石财社〔2025〕115号 石家庄市财政局石家庄市卫生健康委员会关于提前下达2026年中央财政重大公共卫生服务补助资金绩效目标表</w:t>
      </w:r>
      <w:r>
        <w:tab/>
      </w:r>
      <w:r>
        <w:fldChar w:fldCharType="begin"/>
      </w:r>
      <w:r>
        <w:instrText xml:space="preserve">PAGEREF _Toc_4_4_0000000009 \h</w:instrText>
      </w:r>
      <w:r>
        <w:fldChar w:fldCharType="separate"/>
      </w:r>
      <w:r>
        <w:t>19</w:t>
      </w:r>
      <w:r>
        <w:fldChar w:fldCharType="end"/>
      </w:r>
      <w:r>
        <w:fldChar w:fldCharType="end"/>
      </w:r>
    </w:p>
    <w:p>
      <w:pPr>
        <w:pStyle w:val="2"/>
        <w:tabs>
          <w:tab w:val="right" w:leader="dot" w:pos="9282"/>
        </w:tabs>
      </w:pPr>
      <w:r>
        <w:fldChar w:fldCharType="begin"/>
      </w:r>
      <w:r>
        <w:instrText xml:space="preserve">HYPERLINK \l _Toc_4_4_0000000010</w:instrText>
      </w:r>
      <w:r>
        <w:fldChar w:fldCharType="separate"/>
      </w:r>
      <w:r>
        <w:t>7.实验室相关耗材经费绩效目标表</w:t>
      </w:r>
      <w:r>
        <w:tab/>
      </w:r>
      <w:r>
        <w:fldChar w:fldCharType="begin"/>
      </w:r>
      <w:r>
        <w:instrText xml:space="preserve">PAGEREF _Toc_4_4_0000000010 \h</w:instrText>
      </w:r>
      <w:r>
        <w:fldChar w:fldCharType="separate"/>
      </w:r>
      <w:r>
        <w:t>23</w:t>
      </w:r>
      <w:r>
        <w:fldChar w:fldCharType="end"/>
      </w:r>
      <w:r>
        <w:fldChar w:fldCharType="end"/>
      </w:r>
    </w:p>
    <w:p>
      <w:pPr>
        <w:pStyle w:val="2"/>
        <w:tabs>
          <w:tab w:val="right" w:leader="dot" w:pos="9282"/>
        </w:tabs>
      </w:pPr>
      <w:r>
        <w:fldChar w:fldCharType="begin"/>
      </w:r>
      <w:r>
        <w:instrText xml:space="preserve">HYPERLINK \l _Toc_4_4_0000000011</w:instrText>
      </w:r>
      <w:r>
        <w:fldChar w:fldCharType="separate"/>
      </w:r>
      <w:r>
        <w:t>8.突发公共卫生事件应急处理及演练绩效目标表</w:t>
      </w:r>
      <w:r>
        <w:tab/>
      </w:r>
      <w:r>
        <w:fldChar w:fldCharType="begin"/>
      </w:r>
      <w:r>
        <w:instrText xml:space="preserve">PAGEREF _Toc_4_4_0000000011 \h</w:instrText>
      </w:r>
      <w:r>
        <w:fldChar w:fldCharType="separate"/>
      </w:r>
      <w:r>
        <w:t>26</w:t>
      </w:r>
      <w:r>
        <w:fldChar w:fldCharType="end"/>
      </w:r>
      <w:r>
        <w:fldChar w:fldCharType="end"/>
      </w:r>
    </w:p>
    <w:p>
      <w:pPr>
        <w:pStyle w:val="2"/>
        <w:tabs>
          <w:tab w:val="right" w:leader="dot" w:pos="9282"/>
        </w:tabs>
      </w:pPr>
      <w:r>
        <w:fldChar w:fldCharType="begin"/>
      </w:r>
      <w:r>
        <w:instrText xml:space="preserve">HYPERLINK \l _Toc_4_4_0000000012</w:instrText>
      </w:r>
      <w:r>
        <w:fldChar w:fldCharType="separate"/>
      </w:r>
      <w:r>
        <w:t>9.卫生监督执法人员服装经费绩效目标表</w:t>
      </w:r>
      <w:r>
        <w:tab/>
      </w:r>
      <w:r>
        <w:fldChar w:fldCharType="begin"/>
      </w:r>
      <w:r>
        <w:instrText xml:space="preserve">PAGEREF _Toc_4_4_0000000012 \h</w:instrText>
      </w:r>
      <w:r>
        <w:fldChar w:fldCharType="separate"/>
      </w:r>
      <w:r>
        <w:t>27</w:t>
      </w:r>
      <w:r>
        <w:fldChar w:fldCharType="end"/>
      </w:r>
      <w:r>
        <w:fldChar w:fldCharType="end"/>
      </w:r>
    </w:p>
    <w:p>
      <w:pPr>
        <w:pStyle w:val="2"/>
        <w:tabs>
          <w:tab w:val="right" w:leader="dot" w:pos="9282"/>
        </w:tabs>
      </w:pPr>
      <w:r>
        <w:fldChar w:fldCharType="begin"/>
      </w:r>
      <w:r>
        <w:instrText xml:space="preserve">HYPERLINK \l _Toc_4_4_0000000013</w:instrText>
      </w:r>
      <w:r>
        <w:fldChar w:fldCharType="separate"/>
      </w:r>
      <w:r>
        <w:t>10.物业管理费绩效目标表</w:t>
      </w:r>
      <w:r>
        <w:tab/>
      </w:r>
      <w:r>
        <w:fldChar w:fldCharType="begin"/>
      </w:r>
      <w:r>
        <w:instrText xml:space="preserve">PAGEREF _Toc_4_4_0000000013 \h</w:instrText>
      </w:r>
      <w:r>
        <w:fldChar w:fldCharType="separate"/>
      </w:r>
      <w:r>
        <w:t>29</w:t>
      </w:r>
      <w:r>
        <w:fldChar w:fldCharType="end"/>
      </w:r>
      <w:r>
        <w:fldChar w:fldCharType="end"/>
      </w:r>
    </w:p>
    <w:p>
      <w:pPr>
        <w:pStyle w:val="2"/>
        <w:tabs>
          <w:tab w:val="right" w:leader="dot" w:pos="9282"/>
        </w:tabs>
      </w:pPr>
      <w:r>
        <w:fldChar w:fldCharType="begin"/>
      </w:r>
      <w:r>
        <w:instrText xml:space="preserve">HYPERLINK \l _Toc_4_4_0000000014</w:instrText>
      </w:r>
      <w:r>
        <w:fldChar w:fldCharType="separate"/>
      </w:r>
      <w:r>
        <w:t>11.疫苗储运费绩效目标表</w:t>
      </w:r>
      <w:r>
        <w:tab/>
      </w:r>
      <w:r>
        <w:fldChar w:fldCharType="begin"/>
      </w:r>
      <w:r>
        <w:instrText xml:space="preserve">PAGEREF _Toc_4_4_0000000014 \h</w:instrText>
      </w:r>
      <w:r>
        <w:fldChar w:fldCharType="separate"/>
      </w:r>
      <w:r>
        <w:t>30</w:t>
      </w:r>
      <w:r>
        <w:fldChar w:fldCharType="end"/>
      </w:r>
      <w:r>
        <w:fldChar w:fldCharType="end"/>
      </w:r>
    </w:p>
    <w:p>
      <w:r>
        <w:fldChar w:fldCharType="end"/>
      </w:r>
    </w:p>
    <w:p>
      <w:pPr>
        <w:sectPr>
          <w:footerReference r:id="rId3" w:type="default"/>
          <w:footerReference r:id="rId4" w:type="even"/>
          <w:pgSz w:w="11900" w:h="16840"/>
          <w:pgMar w:top="1984" w:right="1304" w:bottom="1134" w:left="1304" w:header="720" w:footer="720" w:gutter="0"/>
          <w:pgNumType w:start="1"/>
          <w:cols w:space="720" w:num="1"/>
        </w:sectPr>
      </w:pPr>
      <w:r>
        <w:br w:type="page"/>
      </w:r>
      <w:r>
        <w:br w:type="textWrapping"/>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第一部分</w:t>
      </w:r>
    </w:p>
    <w:p>
      <w:pPr>
        <w:spacing w:before="0" w:after="0" w:line="240" w:lineRule="auto"/>
        <w:ind w:firstLine="0"/>
        <w:jc w:val="center"/>
        <w:outlineLvl w:val="0"/>
      </w:pPr>
      <w:r>
        <w:rPr>
          <w:rFonts w:hint="eastAsia" w:ascii="方正小标宋_GBK" w:hAnsi="方正小标宋_GBK" w:eastAsia="方正小标宋_GBK" w:cs="方正小标宋_GBK"/>
          <w:color w:val="000000"/>
          <w:sz w:val="44"/>
          <w:lang w:eastAsia="zh-CN"/>
        </w:rPr>
        <w:t>单位</w:t>
      </w:r>
      <w:bookmarkStart w:id="14" w:name="_GoBack"/>
      <w:bookmarkEnd w:id="14"/>
      <w:r>
        <w:rPr>
          <w:rFonts w:ascii="方正小标宋_GBK" w:hAnsi="方正小标宋_GBK" w:eastAsia="方正小标宋_GBK" w:cs="方正小标宋_GBK"/>
          <w:color w:val="000000"/>
          <w:sz w:val="44"/>
        </w:rPr>
        <w:t>整体绩效目标</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10" w:after="10"/>
        <w:ind w:firstLine="560"/>
        <w:jc w:val="left"/>
        <w:outlineLvl w:val="1"/>
      </w:pPr>
      <w:bookmarkStart w:id="0" w:name="_Toc_2_2_0000000001"/>
      <w:r>
        <w:rPr>
          <w:rFonts w:ascii="方正黑体_GBK" w:hAnsi="方正黑体_GBK" w:eastAsia="方正黑体_GBK" w:cs="方正黑体_GBK"/>
          <w:color w:val="000000"/>
          <w:sz w:val="28"/>
        </w:rPr>
        <w:t>一、总体绩效目标</w:t>
      </w:r>
      <w:bookmarkEnd w:id="0"/>
    </w:p>
    <w:p>
      <w:pPr>
        <w:pStyle w:val="8"/>
      </w:pPr>
      <w:r>
        <w:t>全区传染病疫情保持平稳，艾滋病、结核病等重大传染病以及新冠病毒感染、手足口、诺如病毒等急性传染病得到有效控制；儿童疫苗接种率达到国家免疫规划的要求；慢性非传染性疾病、地方病防治成果得到巩固；卫生健康行政执法体系进一步健全。最大程度地防范和减少突发急性传染病在我区发生与流行。</w:t>
      </w:r>
    </w:p>
    <w:p>
      <w:pPr>
        <w:spacing w:before="10" w:after="10"/>
        <w:ind w:firstLine="560"/>
        <w:jc w:val="left"/>
        <w:outlineLvl w:val="1"/>
      </w:pPr>
      <w:bookmarkStart w:id="1" w:name="_Toc_2_2_0000000002"/>
      <w:r>
        <w:rPr>
          <w:rFonts w:ascii="方正黑体_GBK" w:hAnsi="方正黑体_GBK" w:eastAsia="方正黑体_GBK" w:cs="方正黑体_GBK"/>
          <w:color w:val="000000"/>
          <w:sz w:val="28"/>
        </w:rPr>
        <w:t>二、分项绩效目标</w:t>
      </w:r>
      <w:bookmarkEnd w:id="1"/>
    </w:p>
    <w:p>
      <w:pPr>
        <w:pStyle w:val="9"/>
      </w:pPr>
      <w:r>
        <w:t>1.传染病预防控制</w:t>
      </w:r>
    </w:p>
    <w:p>
      <w:pPr>
        <w:pStyle w:val="9"/>
      </w:pPr>
      <w:r>
        <w:t>绩效目标：完成本年度重点传染病监测、培训和督导考核工作任务、科学有效处置重大传染病疫情及突发公共卫生事件。该项绩效通过申请石财社〔2024〕96号石家庄市财政局关于提前下达2025年中央财政重大公共卫生服务补助资金、突发公共卫生事件应急处理及演练等项目进行相关落实。</w:t>
      </w:r>
    </w:p>
    <w:p>
      <w:pPr>
        <w:pStyle w:val="9"/>
      </w:pPr>
      <w:r>
        <w:t>评价指标：传染病总发病率与自身前五年发病率作纵向比较，持平或下降，传染病监测完成率100%，疫情报告督导覆盖率100%。</w:t>
      </w:r>
    </w:p>
    <w:p>
      <w:pPr>
        <w:pStyle w:val="9"/>
      </w:pPr>
      <w:r>
        <w:t>2.慢性非传染性疾病预防控制</w:t>
      </w:r>
    </w:p>
    <w:p>
      <w:pPr>
        <w:pStyle w:val="9"/>
      </w:pPr>
      <w:r>
        <w:t>绩效目标：依据《国家基本公共卫生项目服务规范》、《全国慢性病预防控制工作规范》等评价辖区内开展慢性病综合防控情况。紧紧围绕国家慢性病综合防控示范区工作要求，对慢性病危险因素进行干预，实施慢性病预防控制措施。该项绩效通过申请慢性病综防示范区建设经费、万步有约健走激励大赛经费等项目进行相关落实。</w:t>
      </w:r>
    </w:p>
    <w:p>
      <w:pPr>
        <w:pStyle w:val="9"/>
      </w:pPr>
      <w:r>
        <w:t>评价指标：全民健康生活方式覆盖率≥50%；慢性病综合防控示范区覆盖率达规划目标；慢性病综合干预覆盖率达规划目标；管理人群血糖、血压控制率达60%以上。重性精神疾病患者管理率达70%以上。</w:t>
      </w:r>
    </w:p>
    <w:p>
      <w:pPr>
        <w:pStyle w:val="9"/>
      </w:pPr>
      <w:r>
        <w:t>3.突发公共卫生事件处置</w:t>
      </w:r>
    </w:p>
    <w:p>
      <w:pPr>
        <w:pStyle w:val="9"/>
      </w:pPr>
      <w:r>
        <w:t>绩效目标：开展突发公共卫生事件处置和救灾防病的应急准备；对突发公共卫生事件和灾后疫病进行监测报告，提供预测预警信息；开展现场调查处置和效果评估。该项绩效通过申请突发公共卫生事件应急处理及演练、实验室相关耗材经费等项目进行相关落实。</w:t>
      </w:r>
    </w:p>
    <w:p>
      <w:pPr>
        <w:pStyle w:val="9"/>
      </w:pPr>
      <w:r>
        <w:t>评价指标：卫生应急队伍培训演练每年1-2次，应急物品储备齐全率≥90%，突发公共卫生事件报告及时率100%，突发公共卫生事件规范处置指数≥0.70。</w:t>
      </w:r>
    </w:p>
    <w:p>
      <w:pPr>
        <w:pStyle w:val="9"/>
      </w:pPr>
      <w:r>
        <w:t>4.免疫规划实施</w:t>
      </w:r>
    </w:p>
    <w:p>
      <w:pPr>
        <w:pStyle w:val="9"/>
      </w:pPr>
      <w:r>
        <w:t>绩效目标：按照本地区预防、控制传染病的发生、流行的需要，保证第一类疫苗充足用量；规范疫苗冷链运输和储存管理；依法采购符合要求的二类疫苗，按规定供应全区的接种单位。该项绩效通过申请石财社〔2024〕84号《石家庄市财政局关于提前下达2025年14周岁女孩免费接种HPV疫苗市级补助资金的通知》、14周岁女孩免费接种国产2价HPV疫苗补助资金等项目进行相关落实。</w:t>
      </w:r>
    </w:p>
    <w:p>
      <w:pPr>
        <w:pStyle w:val="9"/>
      </w:pPr>
      <w:r>
        <w:t>评价指标：儿童疫苗接种率达到国家免疫规划的要求；冷链运转管理使用完好率100%，疑似预防接种异常反应监测合格率100%。</w:t>
      </w:r>
    </w:p>
    <w:p>
      <w:pPr>
        <w:pStyle w:val="9"/>
      </w:pPr>
      <w:r>
        <w:t>5.健康危害因素评价与干预</w:t>
      </w:r>
    </w:p>
    <w:p>
      <w:pPr>
        <w:pStyle w:val="9"/>
      </w:pPr>
      <w:r>
        <w:t>绩效目标：开展食源性、环境性疾病监测，调查处置和公众营养监测与评价；对生产、生活、工作学习环境中影响人群健康的危害因素进行监测与评价；提出干预策略与措施。该项绩效通过申请临聘人员解除劳动关系相关费用、石财社〔2024〕84号《石家庄市财政局关于提前下达2025年14周岁女孩免费接种HPV疫苗市级补助资金的通知》、14周岁女孩免费接种国产2价HPV疫苗补助资金、慢性病综防示范区建设经费、万步有约健走激励大赛经费、实验室相关耗材经费等项目进行相关落实。</w:t>
      </w:r>
    </w:p>
    <w:p>
      <w:pPr>
        <w:pStyle w:val="9"/>
      </w:pPr>
      <w:r>
        <w:t>评价指标：重点职业病危害因素监测覆盖率达100%，食品安全风险监测完成率达100%，生活饮用水监测覆盖率达100%，公共场所监测率达100%，学生常见病防治督导监测覆盖率达100%。</w:t>
      </w:r>
    </w:p>
    <w:p>
      <w:pPr>
        <w:pStyle w:val="9"/>
      </w:pPr>
      <w:r>
        <w:t>6.健康教育和健康促进</w:t>
      </w:r>
    </w:p>
    <w:p>
      <w:pPr>
        <w:pStyle w:val="9"/>
      </w:pPr>
      <w:r>
        <w:t>绩效目标：开展健康教育、健康促进；普及卫生防病知识；对公众进行健康指导；协同有关部门和组织对公众不良健康行为进行干预；促进公众掌握自我保健与防护技能。该项绩效通过申请采样检测费、实验室相关耗材经费等项目进行相关落实。</w:t>
      </w:r>
    </w:p>
    <w:p>
      <w:pPr>
        <w:pStyle w:val="9"/>
      </w:pPr>
      <w:r>
        <w:t>评价指标：居民基本卫生防病知识知晓率≥75%，居民基本卫生防病行为形成率≥75%。</w:t>
      </w:r>
    </w:p>
    <w:p>
      <w:pPr>
        <w:pStyle w:val="9"/>
      </w:pPr>
      <w:r>
        <w:t>7.实验室检测检验与评价</w:t>
      </w:r>
    </w:p>
    <w:p>
      <w:pPr>
        <w:pStyle w:val="9"/>
      </w:pPr>
      <w:r>
        <w:t>绩效目标：开展传染性疾病病原微生物的检测检验；开展中毒事件的毒物分析；开展疾病和健康危害因素的生物、物理、化学因子的检测、鉴定和评价；为突发公共卫生事件的应急处置、传染性疾病的诊断、疾病和健康相关危害因素的预防控制及卫生监督执法等提供技术支撑。该项绩效通过申请采样检测费、实验室相关耗材经费等项目进行相关落实。</w:t>
      </w:r>
    </w:p>
    <w:p>
      <w:pPr>
        <w:pStyle w:val="9"/>
      </w:pPr>
      <w:r>
        <w:t>绩效指标：实验室检测能力达标率≥95%，实验仪器设备达标率≥90%，无实验室安全事故。</w:t>
      </w:r>
    </w:p>
    <w:p>
      <w:pPr>
        <w:pStyle w:val="9"/>
      </w:pPr>
      <w:r>
        <w:t>8.随机监督抽查</w:t>
      </w:r>
    </w:p>
    <w:p>
      <w:pPr>
        <w:pStyle w:val="9"/>
      </w:pPr>
      <w:r>
        <w:t>绩效目标：开展学校卫生、公共场所卫生、生活饮用水卫生、医疗卫生、职业卫生、放射卫生、医疗机构传染病防治、消毒产品等随机监督检查和检测，规范执法行为。该项绩效通过申请法律保障经费、采样检测费、购执法文书经费、实验室相关耗材经费等项目进行相关落实。</w:t>
      </w:r>
    </w:p>
    <w:p>
      <w:pPr>
        <w:pStyle w:val="9"/>
      </w:pPr>
      <w:r>
        <w:t>绩效指标：对随机抽查单位按要求开展卫生监督检查，覆盖率100%；对随机抽查单位有检测任务的进行检测，检测率100%；对发现的违法行为立案调查处理。</w:t>
      </w:r>
    </w:p>
    <w:p>
      <w:pPr>
        <w:pStyle w:val="9"/>
      </w:pPr>
      <w:r>
        <w:t>9.日常卫生监督检查</w:t>
      </w:r>
    </w:p>
    <w:p>
      <w:pPr>
        <w:pStyle w:val="9"/>
      </w:pPr>
      <w:r>
        <w:t>绩效目标：开展学校卫生、公共场所卫生、生活饮用水卫生、医疗卫生、职业卫生、放射卫生、医疗机构传染病防治、消毒产品等开展日常监督检查，及时受理查处回复群众投诉举报，维护人民群众的利益和生命安全。该项绩效通过申请法律保障经费、采样检测费、实验室相关耗材经费等项目进行相关落实。</w:t>
      </w:r>
    </w:p>
    <w:p>
      <w:pPr>
        <w:pStyle w:val="9"/>
      </w:pPr>
      <w:r>
        <w:t>绩效指标：及时开展检查行动，及时受理查处回复群众投诉举报，按时回复率100%；查处违法违规行为，进一步规范从业单位依法依规执业行为。</w:t>
      </w:r>
    </w:p>
    <w:p>
      <w:pPr>
        <w:pStyle w:val="9"/>
      </w:pPr>
      <w:r>
        <w:t>10.卫生监督执法能力提升</w:t>
      </w:r>
    </w:p>
    <w:p>
      <w:pPr>
        <w:pStyle w:val="9"/>
      </w:pPr>
      <w:r>
        <w:t>绩效目标：强化培训，着力提升卫生监督执法水平，保障各项工作顺利推进。该项绩效通过申请法律保障经费、购执法文书经费等项目进行相关落实。</w:t>
      </w:r>
    </w:p>
    <w:p>
      <w:pPr>
        <w:pStyle w:val="9"/>
      </w:pPr>
      <w:r>
        <w:t>绩效指标：中青年学科骨干进修学习完成率90%；着装合格率100%；执法手持终端使用率100%；执法全程记录仪使用率100%。</w:t>
      </w:r>
    </w:p>
    <w:p>
      <w:pPr>
        <w:pStyle w:val="9"/>
      </w:pPr>
      <w:r>
        <w:t>11.卫生健康行政执法体系进一步健全</w:t>
      </w:r>
    </w:p>
    <w:p>
      <w:pPr>
        <w:pStyle w:val="9"/>
      </w:pPr>
      <w:r>
        <w:t>绩效目标：进一步健全卫生健康行政执法体系，保障单位正常运转，各项工作顺利推进。该项绩效通过申请单位物业管理费、临聘人员解除劳动关系相关费用等项目进行相关落实。</w:t>
      </w:r>
    </w:p>
    <w:p>
      <w:pPr>
        <w:pStyle w:val="9"/>
      </w:pPr>
      <w:r>
        <w:t>绩效指标：改善办公条件、提高工作效率，实现机构合并、人员整合的单位效能提升，保障本单位相关工作正常开展。</w:t>
      </w:r>
    </w:p>
    <w:p>
      <w:pPr>
        <w:spacing w:before="10" w:after="10"/>
        <w:ind w:firstLine="560"/>
        <w:jc w:val="left"/>
        <w:outlineLvl w:val="1"/>
      </w:pPr>
      <w:bookmarkStart w:id="2" w:name="_Toc_2_2_0000000003"/>
      <w:r>
        <w:rPr>
          <w:rFonts w:ascii="方正黑体_GBK" w:hAnsi="方正黑体_GBK" w:eastAsia="方正黑体_GBK" w:cs="方正黑体_GBK"/>
          <w:color w:val="000000"/>
          <w:sz w:val="28"/>
        </w:rPr>
        <w:t>三、工作保障措施</w:t>
      </w:r>
      <w:bookmarkEnd w:id="2"/>
    </w:p>
    <w:p>
      <w:pPr>
        <w:pStyle w:val="10"/>
      </w:pPr>
      <w:r>
        <w:t>1、完善制度建设。按照《全国疾病预防控制机构工作规范》和《关于整合区疾病预防控制中心和区卫生计生监督所的通知》（西编〔2023〕7号）的要求，强化疾控机构科学化、规范化管理，实行疾控机构绩效考核综合评估制度，增强机构自律性管理，提高服务能力和质量。建立职能分工明确，精干高效的疾病预防控制中心。</w:t>
      </w:r>
    </w:p>
    <w:p>
      <w:pPr>
        <w:pStyle w:val="10"/>
      </w:pPr>
      <w:r>
        <w:t>2、加强支出管理。通过优化支出结构、编细编实预算、加快履行政府采购手续、尽快启动项目、及时支付资金、6月底前细化代编预算、按规定及时下达资金等多种措施，确保支出进度达标。政府财政投入是确保疾控中心发展规划实施和做好日常疾病预防与控制工作的需要，我们要不断争取政府政策和区财政的大力支持，以确保疾控中心始终坚持公益事业性质，保证突发公共卫生事件处理、重点疫情监测、重大疾病预防控制、计划免疫等工作开展的需要，解决工作因资金问题受限，不断拓宽服务领域，提供优质服务。</w:t>
      </w:r>
    </w:p>
    <w:p>
      <w:pPr>
        <w:pStyle w:val="10"/>
      </w:pPr>
      <w:r>
        <w:t>3、加强绩效运行监控。按要求开展绩效运行监控，发现问题及时采取措施，确保绩效目标如期保质实现。</w:t>
      </w:r>
    </w:p>
    <w:p>
      <w:pPr>
        <w:pStyle w:val="10"/>
      </w:pPr>
      <w:r>
        <w:t>4、做好绩效自评。按要求开展上年度部门预算绩效自评和重点评价工作，对评价中发现的问题及时整改，调整优化支出结构，提高财政资金使用效益。</w:t>
      </w:r>
    </w:p>
    <w:p>
      <w:pPr>
        <w:pStyle w:val="10"/>
      </w:pPr>
      <w:r>
        <w:t>规范财务资产管理。完善财务管理制度，严格审批程序，加强固定资产登记、使用和报废处置管理，做到支出合理，物尽其用。</w:t>
      </w:r>
    </w:p>
    <w:p>
      <w:pPr>
        <w:pStyle w:val="10"/>
      </w:pPr>
      <w:r>
        <w:t>5、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10"/>
      </w:pPr>
      <w:r>
        <w:t>6、加强宣传培训调研等。加强人员培训，提高本部门职工业务素质；加强调研，提出优化财政资金配置、提高资金使用效益的意见意见；加大宣传力度，强化预算绩效管理意识，促进预算绩效管理水平进一步提升。并加大人才培养力度，建立规范有序的在职人员培训机制，提高的专业技术水平。改善疾病预防控制人力储备缺乏的现状，切实提高疾病预防控制机构综合防病和应变服务能力。</w:t>
      </w:r>
    </w:p>
    <w:p>
      <w:pPr>
        <w:pStyle w:val="10"/>
      </w:pPr>
      <w:r>
        <w:t>7、加强交流与合作，争取多方支持。进一步加强地区各级疾控机构交流与联防工作，积极争取项目资金与技术援助，支持我区疾病预防控制工作的开展。</w:t>
      </w:r>
    </w:p>
    <w:p>
      <w:pPr>
        <w:spacing w:before="0" w:after="0" w:line="240" w:lineRule="auto"/>
        <w:ind w:firstLine="0"/>
        <w:jc w:val="center"/>
        <w:outlineLvl w:val="9"/>
        <w:sectPr>
          <w:pgSz w:w="11900" w:h="16840"/>
          <w:pgMar w:top="1984" w:right="1304" w:bottom="1134" w:left="1304" w:header="720" w:footer="720" w:gutter="0"/>
          <w:pgNumType w:start="1"/>
          <w:cols w:space="720" w:num="1"/>
        </w:sectPr>
      </w:pPr>
      <w:r>
        <w:rPr>
          <w:rFonts w:ascii="方正书宋_GBK" w:hAnsi="方正书宋_GBK" w:eastAsia="方正书宋_GBK" w:cs="方正书宋_GBK"/>
          <w:color w:val="000000"/>
          <w:sz w:val="21"/>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第二部分</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pPr>
      <w:r>
        <w:rPr>
          <w:rFonts w:ascii="方正小标宋_GBK" w:hAnsi="方正小标宋_GBK" w:eastAsia="方正小标宋_GBK" w:cs="方正小标宋_GBK"/>
          <w:color w:val="000000"/>
          <w:sz w:val="44"/>
        </w:rPr>
        <w:t>预算项目绩效目标</w:t>
      </w:r>
    </w:p>
    <w:p>
      <w:pPr>
        <w:spacing w:before="0" w:after="0" w:line="240" w:lineRule="auto"/>
        <w:ind w:firstLine="0"/>
        <w:jc w:val="center"/>
        <w:outlineLvl w:val="9"/>
        <w:sectPr>
          <w:pgSz w:w="11900" w:h="16840"/>
          <w:pgMar w:top="1984" w:right="1304" w:bottom="1134" w:left="1304" w:header="720" w:footer="720" w:gutter="0"/>
          <w:cols w:space="720" w:num="1"/>
        </w:sectPr>
      </w:pPr>
      <w:r>
        <w:rPr>
          <w:rFonts w:ascii="方正书宋_GBK" w:hAnsi="方正书宋_GBK" w:eastAsia="方正书宋_GBK" w:cs="方正书宋_GBK"/>
          <w:color w:val="000000"/>
          <w:sz w:val="21"/>
        </w:rPr>
        <w:t xml:space="preserve"> </w:t>
      </w: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3" w:name="_Toc_4_4_0000000004"/>
      <w:r>
        <w:rPr>
          <w:rFonts w:ascii="方正仿宋_GBK" w:hAnsi="方正仿宋_GBK" w:eastAsia="方正仿宋_GBK" w:cs="方正仿宋_GBK"/>
          <w:color w:val="000000"/>
          <w:sz w:val="28"/>
        </w:rPr>
        <w:t>1.14周岁女孩免费接种国产2价HPV疫苗补助资金绩效目标表</w:t>
      </w:r>
      <w:bookmarkEnd w:id="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364001石家庄市桥西区疾病预防控制中心本级</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13010426P00976210021Q</w:t>
            </w:r>
          </w:p>
        </w:tc>
        <w:tc>
          <w:tcPr>
            <w:tcW w:w="1587" w:type="dxa"/>
            <w:vAlign w:val="center"/>
          </w:tcPr>
          <w:p>
            <w:pPr>
              <w:pStyle w:val="14"/>
            </w:pPr>
            <w:r>
              <w:t>项目名称</w:t>
            </w:r>
          </w:p>
        </w:tc>
        <w:tc>
          <w:tcPr>
            <w:tcW w:w="4423" w:type="dxa"/>
            <w:gridSpan w:val="3"/>
            <w:vAlign w:val="center"/>
          </w:tcPr>
          <w:p>
            <w:pPr>
              <w:pStyle w:val="13"/>
            </w:pPr>
            <w:r>
              <w:t>14周岁女孩免费接种国产2价HPV疫苗补助资金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22.46</w:t>
            </w:r>
          </w:p>
        </w:tc>
        <w:tc>
          <w:tcPr>
            <w:tcW w:w="1587" w:type="dxa"/>
            <w:vAlign w:val="center"/>
          </w:tcPr>
          <w:p>
            <w:pPr>
              <w:pStyle w:val="14"/>
            </w:pPr>
            <w:r>
              <w:t>其中：财政    资金</w:t>
            </w:r>
          </w:p>
        </w:tc>
        <w:tc>
          <w:tcPr>
            <w:tcW w:w="1304" w:type="dxa"/>
            <w:vAlign w:val="center"/>
          </w:tcPr>
          <w:p>
            <w:pPr>
              <w:pStyle w:val="13"/>
            </w:pPr>
            <w:r>
              <w:t>22.46</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主要用于保障非免疫规划疫苗供应。</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1.保障非免疫规划疫苗供应</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接种量</w:t>
            </w:r>
          </w:p>
        </w:tc>
        <w:tc>
          <w:tcPr>
            <w:tcW w:w="2891" w:type="dxa"/>
            <w:vAlign w:val="center"/>
          </w:tcPr>
          <w:p>
            <w:pPr>
              <w:pStyle w:val="13"/>
            </w:pPr>
            <w:r>
              <w:t>在校14周岁女孩疫苗接种覆盖率</w:t>
            </w:r>
          </w:p>
        </w:tc>
        <w:tc>
          <w:tcPr>
            <w:tcW w:w="1276" w:type="dxa"/>
            <w:vAlign w:val="center"/>
          </w:tcPr>
          <w:p>
            <w:pPr>
              <w:pStyle w:val="13"/>
            </w:pPr>
            <w:r>
              <w:t>≥90百分比</w:t>
            </w:r>
          </w:p>
        </w:tc>
        <w:tc>
          <w:tcPr>
            <w:tcW w:w="1843" w:type="dxa"/>
            <w:vAlign w:val="center"/>
          </w:tcPr>
          <w:p>
            <w:pPr>
              <w:pStyle w:val="13"/>
            </w:pPr>
            <w:r>
              <w:t>石卫妇幼〔2025〕2号《关于切实做好2025年14周岁女孩免费HPV疫苗接种工作的通知》、《2025年石家庄市14周岁女孩免费接种国产2价HPV疫苗项目实施方案》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接种质量</w:t>
            </w:r>
          </w:p>
        </w:tc>
        <w:tc>
          <w:tcPr>
            <w:tcW w:w="2891" w:type="dxa"/>
            <w:vAlign w:val="center"/>
          </w:tcPr>
          <w:p>
            <w:pPr>
              <w:pStyle w:val="13"/>
            </w:pPr>
            <w:r>
              <w:t>国产2价疫苗选择及采购满足《疫苗管理法》及省级有关规定</w:t>
            </w:r>
          </w:p>
        </w:tc>
        <w:tc>
          <w:tcPr>
            <w:tcW w:w="1276" w:type="dxa"/>
            <w:vAlign w:val="center"/>
          </w:tcPr>
          <w:p>
            <w:pPr>
              <w:pStyle w:val="13"/>
            </w:pPr>
            <w:r>
              <w:t>按要求完成</w:t>
            </w:r>
          </w:p>
        </w:tc>
        <w:tc>
          <w:tcPr>
            <w:tcW w:w="1843" w:type="dxa"/>
            <w:vAlign w:val="center"/>
          </w:tcPr>
          <w:p>
            <w:pPr>
              <w:pStyle w:val="13"/>
            </w:pPr>
            <w:r>
              <w:t>石卫妇幼〔2025〕2号《关于切实做好2025年14周岁女孩免费HPV疫苗接种工作的通知》、《2025年石家庄市14周岁女孩免费接种国产2价HPV疫苗项目实施方案》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接种时效</w:t>
            </w:r>
          </w:p>
        </w:tc>
        <w:tc>
          <w:tcPr>
            <w:tcW w:w="2891" w:type="dxa"/>
            <w:vAlign w:val="center"/>
          </w:tcPr>
          <w:p>
            <w:pPr>
              <w:pStyle w:val="13"/>
            </w:pPr>
            <w:r>
              <w:t>按文件要求及时开展疫苗接种</w:t>
            </w:r>
          </w:p>
        </w:tc>
        <w:tc>
          <w:tcPr>
            <w:tcW w:w="1276" w:type="dxa"/>
            <w:vAlign w:val="center"/>
          </w:tcPr>
          <w:p>
            <w:pPr>
              <w:pStyle w:val="13"/>
            </w:pPr>
            <w:r>
              <w:t>按要求及时开展疫苗接种</w:t>
            </w:r>
          </w:p>
        </w:tc>
        <w:tc>
          <w:tcPr>
            <w:tcW w:w="1843" w:type="dxa"/>
            <w:vAlign w:val="center"/>
          </w:tcPr>
          <w:p>
            <w:pPr>
              <w:pStyle w:val="13"/>
            </w:pPr>
            <w:r>
              <w:t>石卫妇幼〔2025〕2号《关于切实做好2025年14周岁女孩免费HPV疫苗接种工作的通知》、《2025年石家庄市14周岁女孩免费接种国产2价HPV疫苗项目实施方案》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采购疫苗成本</w:t>
            </w:r>
          </w:p>
        </w:tc>
        <w:tc>
          <w:tcPr>
            <w:tcW w:w="2891" w:type="dxa"/>
            <w:vAlign w:val="center"/>
          </w:tcPr>
          <w:p>
            <w:pPr>
              <w:pStyle w:val="13"/>
            </w:pPr>
            <w:r>
              <w:t>188元/人/2剂次</w:t>
            </w:r>
          </w:p>
        </w:tc>
        <w:tc>
          <w:tcPr>
            <w:tcW w:w="1276" w:type="dxa"/>
            <w:vAlign w:val="center"/>
          </w:tcPr>
          <w:p>
            <w:pPr>
              <w:pStyle w:val="13"/>
            </w:pPr>
            <w:r>
              <w:t>188元</w:t>
            </w:r>
          </w:p>
        </w:tc>
        <w:tc>
          <w:tcPr>
            <w:tcW w:w="1843" w:type="dxa"/>
            <w:vAlign w:val="center"/>
          </w:tcPr>
          <w:p>
            <w:pPr>
              <w:pStyle w:val="13"/>
            </w:pPr>
            <w:r>
              <w:t>石卫妇幼〔2025〕2号《关于切实做好2025年14周岁女孩免费HPV疫苗接种工作的通知》、《2025年石家庄市14周岁女孩免费接种国产2价HPV疫苗项目实施方案》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经济效益指标</w:t>
            </w:r>
          </w:p>
        </w:tc>
        <w:tc>
          <w:tcPr>
            <w:tcW w:w="1332" w:type="dxa"/>
            <w:vAlign w:val="center"/>
          </w:tcPr>
          <w:p>
            <w:pPr>
              <w:pStyle w:val="13"/>
            </w:pPr>
            <w:r>
              <w:t>预防传染病有效性</w:t>
            </w:r>
          </w:p>
        </w:tc>
        <w:tc>
          <w:tcPr>
            <w:tcW w:w="2891" w:type="dxa"/>
            <w:vAlign w:val="center"/>
          </w:tcPr>
          <w:p>
            <w:pPr>
              <w:pStyle w:val="13"/>
            </w:pPr>
            <w:r>
              <w:t>有效的预防宫颈癌</w:t>
            </w:r>
          </w:p>
        </w:tc>
        <w:tc>
          <w:tcPr>
            <w:tcW w:w="1276" w:type="dxa"/>
            <w:vAlign w:val="center"/>
          </w:tcPr>
          <w:p>
            <w:pPr>
              <w:pStyle w:val="13"/>
            </w:pPr>
            <w:r>
              <w:t>降低传染病的发病率，降低了医疗费用</w:t>
            </w:r>
          </w:p>
        </w:tc>
        <w:tc>
          <w:tcPr>
            <w:tcW w:w="1843" w:type="dxa"/>
            <w:vAlign w:val="center"/>
          </w:tcPr>
          <w:p>
            <w:pPr>
              <w:pStyle w:val="13"/>
            </w:pPr>
            <w:r>
              <w:t>石卫妇幼〔2025〕2号《关于切实做好2025年14周岁女孩免费HPV疫苗接种工作的通知》、《2025年石家庄市14周岁女孩免费接种国产2价HPV疫苗项目实施方案》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社会效益指标</w:t>
            </w:r>
          </w:p>
        </w:tc>
        <w:tc>
          <w:tcPr>
            <w:tcW w:w="1332" w:type="dxa"/>
            <w:vAlign w:val="center"/>
          </w:tcPr>
          <w:p>
            <w:pPr>
              <w:pStyle w:val="13"/>
            </w:pPr>
            <w:r>
              <w:t>降低疫苗针对疾病发病率</w:t>
            </w:r>
          </w:p>
        </w:tc>
        <w:tc>
          <w:tcPr>
            <w:tcW w:w="2891" w:type="dxa"/>
            <w:vAlign w:val="center"/>
          </w:tcPr>
          <w:p>
            <w:pPr>
              <w:pStyle w:val="13"/>
            </w:pPr>
            <w:r>
              <w:t>大幅度降低了疫苗针对疾病的发病率</w:t>
            </w:r>
          </w:p>
        </w:tc>
        <w:tc>
          <w:tcPr>
            <w:tcW w:w="1276" w:type="dxa"/>
            <w:vAlign w:val="center"/>
          </w:tcPr>
          <w:p>
            <w:pPr>
              <w:pStyle w:val="13"/>
            </w:pPr>
            <w:r>
              <w:t>降低居民的疾病负担</w:t>
            </w:r>
          </w:p>
        </w:tc>
        <w:tc>
          <w:tcPr>
            <w:tcW w:w="1843" w:type="dxa"/>
            <w:vAlign w:val="center"/>
          </w:tcPr>
          <w:p>
            <w:pPr>
              <w:pStyle w:val="13"/>
            </w:pPr>
            <w:r>
              <w:t>石卫妇幼〔2025〕2号《关于切实做好2025年14周岁女孩免费HPV疫苗接种工作的通知》、《2025年石家庄市14周岁女孩免费接种国产2价HPV疫苗项目实施方案》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提高健康水平</w:t>
            </w:r>
          </w:p>
        </w:tc>
        <w:tc>
          <w:tcPr>
            <w:tcW w:w="2891" w:type="dxa"/>
            <w:vAlign w:val="center"/>
          </w:tcPr>
          <w:p>
            <w:pPr>
              <w:pStyle w:val="13"/>
            </w:pPr>
            <w:r>
              <w:t>提高了居民身体健康的水平</w:t>
            </w:r>
          </w:p>
        </w:tc>
        <w:tc>
          <w:tcPr>
            <w:tcW w:w="1276" w:type="dxa"/>
            <w:vAlign w:val="center"/>
          </w:tcPr>
          <w:p>
            <w:pPr>
              <w:pStyle w:val="13"/>
            </w:pPr>
            <w:r>
              <w:t>促进居民身体健康。</w:t>
            </w:r>
          </w:p>
        </w:tc>
        <w:tc>
          <w:tcPr>
            <w:tcW w:w="1843" w:type="dxa"/>
            <w:vAlign w:val="center"/>
          </w:tcPr>
          <w:p>
            <w:pPr>
              <w:pStyle w:val="13"/>
            </w:pPr>
            <w:r>
              <w:t>石卫妇幼〔2025〕2号《关于切实做好2025年14周岁女孩免费HPV疫苗接种工作的通知》、《2025年石家庄市14周岁女孩免费接种国产2价HPV疫苗项目实施方案》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疫苗接种满意度</w:t>
            </w:r>
          </w:p>
        </w:tc>
        <w:tc>
          <w:tcPr>
            <w:tcW w:w="2891" w:type="dxa"/>
            <w:vAlign w:val="center"/>
          </w:tcPr>
          <w:p>
            <w:pPr>
              <w:pStyle w:val="13"/>
            </w:pPr>
            <w:r>
              <w:t>居民接种满意度，减少疫苗接种投诉事件发生。</w:t>
            </w:r>
          </w:p>
        </w:tc>
        <w:tc>
          <w:tcPr>
            <w:tcW w:w="1276" w:type="dxa"/>
            <w:vAlign w:val="center"/>
          </w:tcPr>
          <w:p>
            <w:pPr>
              <w:pStyle w:val="13"/>
            </w:pPr>
            <w:r>
              <w:t>减少疫苗接种投诉事件。</w:t>
            </w:r>
          </w:p>
        </w:tc>
        <w:tc>
          <w:tcPr>
            <w:tcW w:w="1843" w:type="dxa"/>
            <w:vAlign w:val="center"/>
          </w:tcPr>
          <w:p>
            <w:pPr>
              <w:pStyle w:val="13"/>
            </w:pPr>
            <w:r>
              <w:t>石卫妇幼〔2025〕2号《关于切实做好2025年14周岁女孩免费HPV疫苗接种工作的通知》、《2025年石家庄市14周岁女孩免费接种国产2价HPV疫苗项目实施方案》</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4" w:name="_Toc_4_4_0000000005"/>
      <w:r>
        <w:rPr>
          <w:rFonts w:ascii="方正仿宋_GBK" w:hAnsi="方正仿宋_GBK" w:eastAsia="方正仿宋_GBK" w:cs="方正仿宋_GBK"/>
          <w:color w:val="000000"/>
          <w:sz w:val="28"/>
        </w:rPr>
        <w:t>2.采样检测费绩效目标表</w:t>
      </w:r>
      <w:bookmarkEnd w:id="4"/>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364001石家庄市桥西区疾病预防控制中心本级</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13010426P009762100186</w:t>
            </w:r>
          </w:p>
        </w:tc>
        <w:tc>
          <w:tcPr>
            <w:tcW w:w="1587" w:type="dxa"/>
            <w:vAlign w:val="center"/>
          </w:tcPr>
          <w:p>
            <w:pPr>
              <w:pStyle w:val="14"/>
            </w:pPr>
            <w:r>
              <w:t>项目名称</w:t>
            </w:r>
          </w:p>
        </w:tc>
        <w:tc>
          <w:tcPr>
            <w:tcW w:w="4423" w:type="dxa"/>
            <w:gridSpan w:val="3"/>
            <w:vAlign w:val="center"/>
          </w:tcPr>
          <w:p>
            <w:pPr>
              <w:pStyle w:val="13"/>
            </w:pPr>
            <w:r>
              <w:t>采样检测费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50.00</w:t>
            </w:r>
          </w:p>
        </w:tc>
        <w:tc>
          <w:tcPr>
            <w:tcW w:w="1587" w:type="dxa"/>
            <w:vAlign w:val="center"/>
          </w:tcPr>
          <w:p>
            <w:pPr>
              <w:pStyle w:val="14"/>
            </w:pPr>
            <w:r>
              <w:t>其中：财政    资金</w:t>
            </w:r>
          </w:p>
        </w:tc>
        <w:tc>
          <w:tcPr>
            <w:tcW w:w="1304" w:type="dxa"/>
            <w:vAlign w:val="center"/>
          </w:tcPr>
          <w:p>
            <w:pPr>
              <w:pStyle w:val="13"/>
            </w:pPr>
            <w:r>
              <w:t>50.00</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主要用于按检测项目要求进行采样、检测，预防和控制传染病传播，保障公共场所卫生安全。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1.预防和控制传染病传播</w:t>
            </w:r>
          </w:p>
          <w:p>
            <w:pPr>
              <w:pStyle w:val="13"/>
            </w:pPr>
            <w:r>
              <w:t>2.保障公共场所卫生安全</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监督抽检率</w:t>
            </w:r>
          </w:p>
        </w:tc>
        <w:tc>
          <w:tcPr>
            <w:tcW w:w="2891" w:type="dxa"/>
            <w:vAlign w:val="center"/>
          </w:tcPr>
          <w:p>
            <w:pPr>
              <w:pStyle w:val="13"/>
            </w:pPr>
            <w:r>
              <w:t>公共场所中需要检测的数量</w:t>
            </w:r>
          </w:p>
        </w:tc>
        <w:tc>
          <w:tcPr>
            <w:tcW w:w="1276" w:type="dxa"/>
            <w:vAlign w:val="center"/>
          </w:tcPr>
          <w:p>
            <w:pPr>
              <w:pStyle w:val="13"/>
            </w:pPr>
            <w:r>
              <w:t>100百分比</w:t>
            </w:r>
          </w:p>
        </w:tc>
        <w:tc>
          <w:tcPr>
            <w:tcW w:w="1843" w:type="dxa"/>
            <w:vAlign w:val="center"/>
          </w:tcPr>
          <w:p>
            <w:pPr>
              <w:pStyle w:val="13"/>
            </w:pPr>
            <w:r>
              <w:t>市卫健委《关于开展2025年全市“双随机”监督抽查工作的通知》（石卫综合监督【2025】2号）第二项第（四）条、桥西区财政局《关于解决疾控中心采样检测费的意见》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抽检质量保证率</w:t>
            </w:r>
          </w:p>
        </w:tc>
        <w:tc>
          <w:tcPr>
            <w:tcW w:w="2891" w:type="dxa"/>
            <w:vAlign w:val="center"/>
          </w:tcPr>
          <w:p>
            <w:pPr>
              <w:pStyle w:val="13"/>
            </w:pPr>
            <w:r>
              <w:t>按检测项目要求进行采样、检测。</w:t>
            </w:r>
          </w:p>
        </w:tc>
        <w:tc>
          <w:tcPr>
            <w:tcW w:w="1276" w:type="dxa"/>
            <w:vAlign w:val="center"/>
          </w:tcPr>
          <w:p>
            <w:pPr>
              <w:pStyle w:val="13"/>
            </w:pPr>
            <w:r>
              <w:t>100百分比</w:t>
            </w:r>
          </w:p>
        </w:tc>
        <w:tc>
          <w:tcPr>
            <w:tcW w:w="1843" w:type="dxa"/>
            <w:vAlign w:val="center"/>
          </w:tcPr>
          <w:p>
            <w:pPr>
              <w:pStyle w:val="13"/>
            </w:pPr>
            <w:r>
              <w:t>市卫健委《关于开展2025年全市“双随机”监督抽查工作的通知》（石卫综合监督【2025】2号）第二项第（四）条、桥西区财政局《关于解决疾控中心采样检测费的意见》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抽样检测及时性</w:t>
            </w:r>
          </w:p>
        </w:tc>
        <w:tc>
          <w:tcPr>
            <w:tcW w:w="2891" w:type="dxa"/>
            <w:vAlign w:val="center"/>
          </w:tcPr>
          <w:p>
            <w:pPr>
              <w:pStyle w:val="13"/>
            </w:pPr>
            <w:r>
              <w:t>抽检工作及时性</w:t>
            </w:r>
          </w:p>
        </w:tc>
        <w:tc>
          <w:tcPr>
            <w:tcW w:w="1276" w:type="dxa"/>
            <w:vAlign w:val="center"/>
          </w:tcPr>
          <w:p>
            <w:pPr>
              <w:pStyle w:val="13"/>
            </w:pPr>
            <w:r>
              <w:t>100百分比</w:t>
            </w:r>
          </w:p>
        </w:tc>
        <w:tc>
          <w:tcPr>
            <w:tcW w:w="1843" w:type="dxa"/>
            <w:vAlign w:val="center"/>
          </w:tcPr>
          <w:p>
            <w:pPr>
              <w:pStyle w:val="13"/>
            </w:pPr>
            <w:r>
              <w:t>市卫健委《关于开展2025年全市“双随机”监督抽查工作的通知》（石卫综合监督【2025】2号）第二项第（四）条、桥西区财政局《关于解决疾控中心采样检测费的意见》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单项样品检测标准</w:t>
            </w:r>
          </w:p>
        </w:tc>
        <w:tc>
          <w:tcPr>
            <w:tcW w:w="2891" w:type="dxa"/>
            <w:vAlign w:val="center"/>
          </w:tcPr>
          <w:p>
            <w:pPr>
              <w:pStyle w:val="13"/>
            </w:pPr>
            <w:r>
              <w:t>依据委托方各项检测标准费用执行</w:t>
            </w:r>
          </w:p>
        </w:tc>
        <w:tc>
          <w:tcPr>
            <w:tcW w:w="1276" w:type="dxa"/>
            <w:vAlign w:val="center"/>
          </w:tcPr>
          <w:p>
            <w:pPr>
              <w:pStyle w:val="13"/>
            </w:pPr>
            <w:r>
              <w:t>按合同约定</w:t>
            </w:r>
          </w:p>
        </w:tc>
        <w:tc>
          <w:tcPr>
            <w:tcW w:w="1843" w:type="dxa"/>
            <w:vAlign w:val="center"/>
          </w:tcPr>
          <w:p>
            <w:pPr>
              <w:pStyle w:val="13"/>
            </w:pPr>
            <w:r>
              <w:t>市卫健委《关于开展2025年全市“双随机”监督抽查工作的通知》（石卫综合监督【2025】2号）第二项第（四）条、桥西区财政局《关于解决疾控中心采样检测费的意见》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社会效益指标</w:t>
            </w:r>
          </w:p>
        </w:tc>
        <w:tc>
          <w:tcPr>
            <w:tcW w:w="1332" w:type="dxa"/>
            <w:vAlign w:val="center"/>
          </w:tcPr>
          <w:p>
            <w:pPr>
              <w:pStyle w:val="13"/>
            </w:pPr>
            <w:r>
              <w:t>检测结果合格率</w:t>
            </w:r>
          </w:p>
        </w:tc>
        <w:tc>
          <w:tcPr>
            <w:tcW w:w="2891" w:type="dxa"/>
            <w:vAlign w:val="center"/>
          </w:tcPr>
          <w:p>
            <w:pPr>
              <w:pStyle w:val="13"/>
            </w:pPr>
            <w:r>
              <w:t>提升公共场所卫生安全</w:t>
            </w:r>
          </w:p>
        </w:tc>
        <w:tc>
          <w:tcPr>
            <w:tcW w:w="1276" w:type="dxa"/>
            <w:vAlign w:val="center"/>
          </w:tcPr>
          <w:p>
            <w:pPr>
              <w:pStyle w:val="13"/>
            </w:pPr>
            <w:r>
              <w:t>≥90百分比</w:t>
            </w:r>
          </w:p>
        </w:tc>
        <w:tc>
          <w:tcPr>
            <w:tcW w:w="1843" w:type="dxa"/>
            <w:vAlign w:val="center"/>
          </w:tcPr>
          <w:p>
            <w:pPr>
              <w:pStyle w:val="13"/>
            </w:pPr>
            <w:r>
              <w:t>市卫健委《关于开展2025年全市“双随机”监督抽查工作的通知》（石卫综合监督【2025】2号）第二项第（四）条、桥西区财政局《关于解决疾控中心采样检测费的意见》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社会效益指标</w:t>
            </w:r>
          </w:p>
        </w:tc>
        <w:tc>
          <w:tcPr>
            <w:tcW w:w="1332" w:type="dxa"/>
            <w:vAlign w:val="center"/>
          </w:tcPr>
          <w:p>
            <w:pPr>
              <w:pStyle w:val="13"/>
            </w:pPr>
            <w:r>
              <w:t>突发情况处置率</w:t>
            </w:r>
          </w:p>
        </w:tc>
        <w:tc>
          <w:tcPr>
            <w:tcW w:w="2891" w:type="dxa"/>
            <w:vAlign w:val="center"/>
          </w:tcPr>
          <w:p>
            <w:pPr>
              <w:pStyle w:val="13"/>
            </w:pPr>
            <w:r>
              <w:t>及时发现和处置突发公共卫生事件</w:t>
            </w:r>
          </w:p>
        </w:tc>
        <w:tc>
          <w:tcPr>
            <w:tcW w:w="1276" w:type="dxa"/>
            <w:vAlign w:val="center"/>
          </w:tcPr>
          <w:p>
            <w:pPr>
              <w:pStyle w:val="13"/>
            </w:pPr>
            <w:r>
              <w:t>≤24小时</w:t>
            </w:r>
          </w:p>
        </w:tc>
        <w:tc>
          <w:tcPr>
            <w:tcW w:w="1843" w:type="dxa"/>
            <w:vAlign w:val="center"/>
          </w:tcPr>
          <w:p>
            <w:pPr>
              <w:pStyle w:val="13"/>
            </w:pPr>
            <w:r>
              <w:t>市卫健委《关于开展2025年全市“双随机”监督抽查工作的通知》（石卫综合监督【2025】2号）第二项第（四）条、桥西区财政局《关于解决疾控中心采样检测费的意见》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辖区单位满意度</w:t>
            </w:r>
          </w:p>
        </w:tc>
        <w:tc>
          <w:tcPr>
            <w:tcW w:w="2891" w:type="dxa"/>
            <w:vAlign w:val="center"/>
          </w:tcPr>
          <w:p>
            <w:pPr>
              <w:pStyle w:val="13"/>
            </w:pPr>
            <w:r>
              <w:t>通过问卷形式调查辖区单位</w:t>
            </w:r>
          </w:p>
        </w:tc>
        <w:tc>
          <w:tcPr>
            <w:tcW w:w="1276" w:type="dxa"/>
            <w:vAlign w:val="center"/>
          </w:tcPr>
          <w:p>
            <w:pPr>
              <w:pStyle w:val="13"/>
            </w:pPr>
            <w:r>
              <w:t>≥90百分比</w:t>
            </w:r>
          </w:p>
        </w:tc>
        <w:tc>
          <w:tcPr>
            <w:tcW w:w="1843" w:type="dxa"/>
            <w:vAlign w:val="center"/>
          </w:tcPr>
          <w:p>
            <w:pPr>
              <w:pStyle w:val="13"/>
            </w:pPr>
            <w:r>
              <w:t>市卫健委《关于开展2025年全市“双随机”监督抽查工作的通知》（石卫综合监督【2025】2号）第二项第（四）条、桥西区财政局《关于解决疾控中心采样检测费的意见》</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5" w:name="_Toc_4_4_0000000006"/>
      <w:r>
        <w:rPr>
          <w:rFonts w:ascii="方正仿宋_GBK" w:hAnsi="方正仿宋_GBK" w:eastAsia="方正仿宋_GBK" w:cs="方正仿宋_GBK"/>
          <w:color w:val="000000"/>
          <w:sz w:val="28"/>
        </w:rPr>
        <w:t>3.法律保障经费绩效目标表</w:t>
      </w:r>
      <w:bookmarkEnd w:id="5"/>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364001石家庄市桥西区疾病预防控制中心本级</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13010426P00987010165K</w:t>
            </w:r>
          </w:p>
        </w:tc>
        <w:tc>
          <w:tcPr>
            <w:tcW w:w="1587" w:type="dxa"/>
            <w:vAlign w:val="center"/>
          </w:tcPr>
          <w:p>
            <w:pPr>
              <w:pStyle w:val="14"/>
            </w:pPr>
            <w:r>
              <w:t>项目名称</w:t>
            </w:r>
          </w:p>
        </w:tc>
        <w:tc>
          <w:tcPr>
            <w:tcW w:w="4423" w:type="dxa"/>
            <w:gridSpan w:val="3"/>
            <w:vAlign w:val="center"/>
          </w:tcPr>
          <w:p>
            <w:pPr>
              <w:pStyle w:val="13"/>
            </w:pPr>
            <w:r>
              <w:t>法律保障经费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3.20</w:t>
            </w:r>
          </w:p>
        </w:tc>
        <w:tc>
          <w:tcPr>
            <w:tcW w:w="1587" w:type="dxa"/>
            <w:vAlign w:val="center"/>
          </w:tcPr>
          <w:p>
            <w:pPr>
              <w:pStyle w:val="14"/>
            </w:pPr>
            <w:r>
              <w:t>其中：财政    资金</w:t>
            </w:r>
          </w:p>
        </w:tc>
        <w:tc>
          <w:tcPr>
            <w:tcW w:w="1304" w:type="dxa"/>
            <w:vAlign w:val="center"/>
          </w:tcPr>
          <w:p>
            <w:pPr>
              <w:pStyle w:val="13"/>
            </w:pPr>
            <w:r>
              <w:t>3.20</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主要用于提供法律保障。加强行政执法队伍的依法执法能力，保障行政处罚案卷质量。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1.提供法律保障。加强行政执法队伍的依法执法能力，保障行政处罚案卷质量。</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法律顾问</w:t>
            </w:r>
          </w:p>
        </w:tc>
        <w:tc>
          <w:tcPr>
            <w:tcW w:w="2891" w:type="dxa"/>
            <w:vAlign w:val="center"/>
          </w:tcPr>
          <w:p>
            <w:pPr>
              <w:pStyle w:val="13"/>
            </w:pPr>
            <w:r>
              <w:t>聘请法律顾问人数</w:t>
            </w:r>
          </w:p>
        </w:tc>
        <w:tc>
          <w:tcPr>
            <w:tcW w:w="1276" w:type="dxa"/>
            <w:vAlign w:val="center"/>
          </w:tcPr>
          <w:p>
            <w:pPr>
              <w:pStyle w:val="13"/>
            </w:pPr>
            <w:r>
              <w:t>≥1名</w:t>
            </w:r>
          </w:p>
        </w:tc>
        <w:tc>
          <w:tcPr>
            <w:tcW w:w="1843" w:type="dxa"/>
            <w:vAlign w:val="center"/>
          </w:tcPr>
          <w:p>
            <w:pPr>
              <w:pStyle w:val="13"/>
            </w:pPr>
            <w:r>
              <w:t>《关于加强法制审核队伍建设的通知》（石机编办【2017】135号）《关于印发石家庄市全面推行行政执法公示制度执法全过程记录制度重大执法决定法制审核制度实施方案的通知》（石政办函【2019】31号）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执法质量保证率</w:t>
            </w:r>
          </w:p>
        </w:tc>
        <w:tc>
          <w:tcPr>
            <w:tcW w:w="2891" w:type="dxa"/>
            <w:vAlign w:val="center"/>
          </w:tcPr>
          <w:p>
            <w:pPr>
              <w:pStyle w:val="13"/>
            </w:pPr>
            <w:r>
              <w:t>为行政执法重大执法决定提供法制审核</w:t>
            </w:r>
          </w:p>
        </w:tc>
        <w:tc>
          <w:tcPr>
            <w:tcW w:w="1276" w:type="dxa"/>
            <w:vAlign w:val="center"/>
          </w:tcPr>
          <w:p>
            <w:pPr>
              <w:pStyle w:val="13"/>
            </w:pPr>
            <w:r>
              <w:t>提高执法质量</w:t>
            </w:r>
          </w:p>
        </w:tc>
        <w:tc>
          <w:tcPr>
            <w:tcW w:w="1843" w:type="dxa"/>
            <w:vAlign w:val="center"/>
          </w:tcPr>
          <w:p>
            <w:pPr>
              <w:pStyle w:val="13"/>
            </w:pPr>
            <w:r>
              <w:t>《关于加强法制审核队伍建设的通知》（石机编办【2017】135号）《关于印发石家庄市全面推行行政执法公示制度执法全过程记录制度重大执法决定法制审核制度实施方案的通知》（石政办函【2019】31号）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行政案卷质量保证率</w:t>
            </w:r>
          </w:p>
        </w:tc>
        <w:tc>
          <w:tcPr>
            <w:tcW w:w="2891" w:type="dxa"/>
            <w:vAlign w:val="center"/>
          </w:tcPr>
          <w:p>
            <w:pPr>
              <w:pStyle w:val="13"/>
            </w:pPr>
            <w:r>
              <w:t>保证行政处罚案卷质量，提供法律意见</w:t>
            </w:r>
          </w:p>
        </w:tc>
        <w:tc>
          <w:tcPr>
            <w:tcW w:w="1276" w:type="dxa"/>
            <w:vAlign w:val="center"/>
          </w:tcPr>
          <w:p>
            <w:pPr>
              <w:pStyle w:val="13"/>
            </w:pPr>
            <w:r>
              <w:t>保障案卷质量</w:t>
            </w:r>
          </w:p>
        </w:tc>
        <w:tc>
          <w:tcPr>
            <w:tcW w:w="1843" w:type="dxa"/>
            <w:vAlign w:val="center"/>
          </w:tcPr>
          <w:p>
            <w:pPr>
              <w:pStyle w:val="13"/>
            </w:pPr>
            <w:r>
              <w:t>《关于加强法制审核队伍建设的通知》（石机编办【2017】135号）《关于印发石家庄市全面推行行政执法公示制度执法全过程记录制度重大执法决定法制审核制度实施方案的通知》（石政办函【2019】31号）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提供法律服务及时性</w:t>
            </w:r>
          </w:p>
        </w:tc>
        <w:tc>
          <w:tcPr>
            <w:tcW w:w="2891" w:type="dxa"/>
            <w:vAlign w:val="center"/>
          </w:tcPr>
          <w:p>
            <w:pPr>
              <w:pStyle w:val="13"/>
            </w:pPr>
            <w:r>
              <w:t>按约定全面及时的提供法律支持</w:t>
            </w:r>
          </w:p>
        </w:tc>
        <w:tc>
          <w:tcPr>
            <w:tcW w:w="1276" w:type="dxa"/>
            <w:vAlign w:val="center"/>
          </w:tcPr>
          <w:p>
            <w:pPr>
              <w:pStyle w:val="13"/>
            </w:pPr>
            <w:r>
              <w:t>按合同执行</w:t>
            </w:r>
          </w:p>
        </w:tc>
        <w:tc>
          <w:tcPr>
            <w:tcW w:w="1843" w:type="dxa"/>
            <w:vAlign w:val="center"/>
          </w:tcPr>
          <w:p>
            <w:pPr>
              <w:pStyle w:val="13"/>
            </w:pPr>
            <w:r>
              <w:t>《关于加强法制审核队伍建设的通知》（石机编办【2017】135号）《关于印发石家庄市全面推行行政执法公示制度执法全过程记录制度重大执法决定法制审核制度实施方案的通知》（石政办函【2019】31号）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法律服务费用标准</w:t>
            </w:r>
          </w:p>
        </w:tc>
        <w:tc>
          <w:tcPr>
            <w:tcW w:w="2891" w:type="dxa"/>
            <w:vAlign w:val="center"/>
          </w:tcPr>
          <w:p>
            <w:pPr>
              <w:pStyle w:val="13"/>
            </w:pPr>
            <w:r>
              <w:t>法律顾问服务合同标准费用</w:t>
            </w:r>
          </w:p>
        </w:tc>
        <w:tc>
          <w:tcPr>
            <w:tcW w:w="1276" w:type="dxa"/>
            <w:vAlign w:val="center"/>
          </w:tcPr>
          <w:p>
            <w:pPr>
              <w:pStyle w:val="13"/>
            </w:pPr>
            <w:r>
              <w:t>按合同执行</w:t>
            </w:r>
          </w:p>
        </w:tc>
        <w:tc>
          <w:tcPr>
            <w:tcW w:w="1843" w:type="dxa"/>
            <w:vAlign w:val="center"/>
          </w:tcPr>
          <w:p>
            <w:pPr>
              <w:pStyle w:val="13"/>
            </w:pPr>
            <w:r>
              <w:t>《关于加强法制审核队伍建设的通知》（石机编办【2017】135号）《关于印发石家庄市全面推行行政执法公示制度执法全过程记录制度重大执法决定法制审核制度实施方案的通知》（石政办函【2019】31号）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3"/>
            </w:pPr>
            <w:r>
              <w:t>经济效益指标</w:t>
            </w:r>
          </w:p>
        </w:tc>
        <w:tc>
          <w:tcPr>
            <w:tcW w:w="1332" w:type="dxa"/>
            <w:vAlign w:val="center"/>
          </w:tcPr>
          <w:p>
            <w:pPr>
              <w:pStyle w:val="13"/>
            </w:pPr>
            <w:r>
              <w:t>经济损失</w:t>
            </w:r>
          </w:p>
        </w:tc>
        <w:tc>
          <w:tcPr>
            <w:tcW w:w="2891" w:type="dxa"/>
            <w:vAlign w:val="center"/>
          </w:tcPr>
          <w:p>
            <w:pPr>
              <w:pStyle w:val="13"/>
            </w:pPr>
            <w:r>
              <w:t>保障监督执法审核工作顺利开展，减少经济纠纷、案件诉讼的发生</w:t>
            </w:r>
          </w:p>
        </w:tc>
        <w:tc>
          <w:tcPr>
            <w:tcW w:w="1276" w:type="dxa"/>
            <w:vAlign w:val="center"/>
          </w:tcPr>
          <w:p>
            <w:pPr>
              <w:pStyle w:val="13"/>
            </w:pPr>
            <w:r>
              <w:t>不造成经济纠纷</w:t>
            </w:r>
          </w:p>
        </w:tc>
        <w:tc>
          <w:tcPr>
            <w:tcW w:w="1843" w:type="dxa"/>
            <w:vAlign w:val="center"/>
          </w:tcPr>
          <w:p>
            <w:pPr>
              <w:pStyle w:val="13"/>
            </w:pPr>
            <w:r>
              <w:t>《关于加强法制审核队伍建设的通知》（石机编办【2017】135号）《关于印发石家庄市全面推行行政执法公示制度执法全过程记录制度重大执法决定法制审核制度实施方案的通知》（石政办函【2019】31号）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群众满意度</w:t>
            </w:r>
          </w:p>
        </w:tc>
        <w:tc>
          <w:tcPr>
            <w:tcW w:w="2891" w:type="dxa"/>
            <w:vAlign w:val="center"/>
          </w:tcPr>
          <w:p>
            <w:pPr>
              <w:pStyle w:val="13"/>
            </w:pPr>
            <w:r>
              <w:t>服务满意程度</w:t>
            </w:r>
          </w:p>
        </w:tc>
        <w:tc>
          <w:tcPr>
            <w:tcW w:w="1276" w:type="dxa"/>
            <w:vAlign w:val="center"/>
          </w:tcPr>
          <w:p>
            <w:pPr>
              <w:pStyle w:val="13"/>
            </w:pPr>
            <w:r>
              <w:t>≥90百分比</w:t>
            </w:r>
          </w:p>
        </w:tc>
        <w:tc>
          <w:tcPr>
            <w:tcW w:w="1843" w:type="dxa"/>
            <w:vAlign w:val="center"/>
          </w:tcPr>
          <w:p>
            <w:pPr>
              <w:pStyle w:val="13"/>
            </w:pPr>
            <w:r>
              <w:t>《关于加强法制审核队伍建设的通知》（石机编办【2017】135号）《关于印发石家庄市全面推行行政执法公示制度执法全过程记录制度重大执法决定法制审核制度实施方案的通知》（石政办函【2019】31号）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6" w:name="_Toc_4_4_0000000007"/>
      <w:r>
        <w:rPr>
          <w:rFonts w:ascii="方正仿宋_GBK" w:hAnsi="方正仿宋_GBK" w:eastAsia="方正仿宋_GBK" w:cs="方正仿宋_GBK"/>
          <w:color w:val="000000"/>
          <w:sz w:val="28"/>
        </w:rPr>
        <w:t>4.购执法文书经费绩效目标表</w:t>
      </w:r>
      <w:bookmarkEnd w:id="6"/>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364001石家庄市桥西区疾病预防控制中心本级</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13010426P009870101738</w:t>
            </w:r>
          </w:p>
        </w:tc>
        <w:tc>
          <w:tcPr>
            <w:tcW w:w="1587" w:type="dxa"/>
            <w:vAlign w:val="center"/>
          </w:tcPr>
          <w:p>
            <w:pPr>
              <w:pStyle w:val="14"/>
            </w:pPr>
            <w:r>
              <w:t>项目名称</w:t>
            </w:r>
          </w:p>
        </w:tc>
        <w:tc>
          <w:tcPr>
            <w:tcW w:w="4423" w:type="dxa"/>
            <w:gridSpan w:val="3"/>
            <w:vAlign w:val="center"/>
          </w:tcPr>
          <w:p>
            <w:pPr>
              <w:pStyle w:val="13"/>
            </w:pPr>
            <w:r>
              <w:t>购执法文书经费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2.00</w:t>
            </w:r>
          </w:p>
        </w:tc>
        <w:tc>
          <w:tcPr>
            <w:tcW w:w="1587" w:type="dxa"/>
            <w:vAlign w:val="center"/>
          </w:tcPr>
          <w:p>
            <w:pPr>
              <w:pStyle w:val="14"/>
            </w:pPr>
            <w:r>
              <w:t>其中：财政    资金</w:t>
            </w:r>
          </w:p>
        </w:tc>
        <w:tc>
          <w:tcPr>
            <w:tcW w:w="1304" w:type="dxa"/>
            <w:vAlign w:val="center"/>
          </w:tcPr>
          <w:p>
            <w:pPr>
              <w:pStyle w:val="13"/>
            </w:pPr>
            <w:r>
              <w:t>2.00</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主要用于采购执法文书，保障行政处罚案卷质量,加强行政执法队伍的依法执法能力。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1.保障行政处罚案卷质量,加强行政执法队伍的依法执法能力。</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数量统计</w:t>
            </w:r>
          </w:p>
        </w:tc>
        <w:tc>
          <w:tcPr>
            <w:tcW w:w="2891" w:type="dxa"/>
            <w:vAlign w:val="center"/>
          </w:tcPr>
          <w:p>
            <w:pPr>
              <w:pStyle w:val="13"/>
            </w:pPr>
            <w:r>
              <w:t>按执法监督股室实际所需种类统计</w:t>
            </w:r>
          </w:p>
        </w:tc>
        <w:tc>
          <w:tcPr>
            <w:tcW w:w="1276" w:type="dxa"/>
            <w:vAlign w:val="center"/>
          </w:tcPr>
          <w:p>
            <w:pPr>
              <w:pStyle w:val="13"/>
            </w:pPr>
            <w:r>
              <w:t>≥10类</w:t>
            </w:r>
          </w:p>
        </w:tc>
        <w:tc>
          <w:tcPr>
            <w:tcW w:w="1843" w:type="dxa"/>
            <w:vAlign w:val="center"/>
          </w:tcPr>
          <w:p>
            <w:pPr>
              <w:pStyle w:val="13"/>
            </w:pPr>
            <w:r>
              <w:t>《卫生行政执法文书规范》第三条、第四条、第五条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保证行政处罚案卷文书合法规范</w:t>
            </w:r>
          </w:p>
        </w:tc>
        <w:tc>
          <w:tcPr>
            <w:tcW w:w="2891" w:type="dxa"/>
            <w:vAlign w:val="center"/>
          </w:tcPr>
          <w:p>
            <w:pPr>
              <w:pStyle w:val="13"/>
            </w:pPr>
            <w:r>
              <w:t>保证监督检查及行政处罚案卷文书的统一、规范、合法。</w:t>
            </w:r>
          </w:p>
        </w:tc>
        <w:tc>
          <w:tcPr>
            <w:tcW w:w="1276" w:type="dxa"/>
            <w:vAlign w:val="center"/>
          </w:tcPr>
          <w:p>
            <w:pPr>
              <w:pStyle w:val="13"/>
            </w:pPr>
            <w:r>
              <w:t>100百分比</w:t>
            </w:r>
          </w:p>
        </w:tc>
        <w:tc>
          <w:tcPr>
            <w:tcW w:w="1843" w:type="dxa"/>
            <w:vAlign w:val="center"/>
          </w:tcPr>
          <w:p>
            <w:pPr>
              <w:pStyle w:val="13"/>
            </w:pPr>
            <w:r>
              <w:t>《卫生行政执法文书规范》第三条、第四条、第五条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交货及时率</w:t>
            </w:r>
          </w:p>
        </w:tc>
        <w:tc>
          <w:tcPr>
            <w:tcW w:w="2891" w:type="dxa"/>
            <w:vAlign w:val="center"/>
          </w:tcPr>
          <w:p>
            <w:pPr>
              <w:pStyle w:val="13"/>
            </w:pPr>
            <w:r>
              <w:t>按合同规定时间交货</w:t>
            </w:r>
          </w:p>
        </w:tc>
        <w:tc>
          <w:tcPr>
            <w:tcW w:w="1276" w:type="dxa"/>
            <w:vAlign w:val="center"/>
          </w:tcPr>
          <w:p>
            <w:pPr>
              <w:pStyle w:val="13"/>
            </w:pPr>
            <w:r>
              <w:t>100百分比</w:t>
            </w:r>
          </w:p>
        </w:tc>
        <w:tc>
          <w:tcPr>
            <w:tcW w:w="1843" w:type="dxa"/>
            <w:vAlign w:val="center"/>
          </w:tcPr>
          <w:p>
            <w:pPr>
              <w:pStyle w:val="13"/>
            </w:pPr>
            <w:r>
              <w:t>《卫生行政执法文书规范》第三条、第四条、第五条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执法文书购买费用</w:t>
            </w:r>
          </w:p>
        </w:tc>
        <w:tc>
          <w:tcPr>
            <w:tcW w:w="2891" w:type="dxa"/>
            <w:vAlign w:val="center"/>
          </w:tcPr>
          <w:p>
            <w:pPr>
              <w:pStyle w:val="13"/>
            </w:pPr>
            <w:r>
              <w:t>按各种执法文书定价标准执行</w:t>
            </w:r>
          </w:p>
        </w:tc>
        <w:tc>
          <w:tcPr>
            <w:tcW w:w="1276" w:type="dxa"/>
            <w:vAlign w:val="center"/>
          </w:tcPr>
          <w:p>
            <w:pPr>
              <w:pStyle w:val="13"/>
            </w:pPr>
            <w:r>
              <w:t>报价明细</w:t>
            </w:r>
          </w:p>
        </w:tc>
        <w:tc>
          <w:tcPr>
            <w:tcW w:w="1843" w:type="dxa"/>
            <w:vAlign w:val="center"/>
          </w:tcPr>
          <w:p>
            <w:pPr>
              <w:pStyle w:val="13"/>
            </w:pPr>
            <w:r>
              <w:t>《卫生行政执法文书规范》第三条、第四条、第五条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社会效益指标</w:t>
            </w:r>
          </w:p>
        </w:tc>
        <w:tc>
          <w:tcPr>
            <w:tcW w:w="1332" w:type="dxa"/>
            <w:vAlign w:val="center"/>
          </w:tcPr>
          <w:p>
            <w:pPr>
              <w:pStyle w:val="13"/>
            </w:pPr>
            <w:r>
              <w:t>文书规范率</w:t>
            </w:r>
          </w:p>
        </w:tc>
        <w:tc>
          <w:tcPr>
            <w:tcW w:w="2891" w:type="dxa"/>
            <w:vAlign w:val="center"/>
          </w:tcPr>
          <w:p>
            <w:pPr>
              <w:pStyle w:val="13"/>
            </w:pPr>
            <w:r>
              <w:t>保证法律文书规范制作</w:t>
            </w:r>
          </w:p>
        </w:tc>
        <w:tc>
          <w:tcPr>
            <w:tcW w:w="1276" w:type="dxa"/>
            <w:vAlign w:val="center"/>
          </w:tcPr>
          <w:p>
            <w:pPr>
              <w:pStyle w:val="13"/>
            </w:pPr>
            <w:r>
              <w:t>≥90百分比</w:t>
            </w:r>
          </w:p>
        </w:tc>
        <w:tc>
          <w:tcPr>
            <w:tcW w:w="1843" w:type="dxa"/>
            <w:vAlign w:val="center"/>
          </w:tcPr>
          <w:p>
            <w:pPr>
              <w:pStyle w:val="13"/>
            </w:pPr>
            <w:r>
              <w:t>《卫生行政执法文书规范》第三条、第四条、第五条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社会效益指标</w:t>
            </w:r>
          </w:p>
        </w:tc>
        <w:tc>
          <w:tcPr>
            <w:tcW w:w="1332" w:type="dxa"/>
            <w:vAlign w:val="center"/>
          </w:tcPr>
          <w:p>
            <w:pPr>
              <w:pStyle w:val="13"/>
            </w:pPr>
            <w:r>
              <w:t>案卷质量优秀数量</w:t>
            </w:r>
          </w:p>
        </w:tc>
        <w:tc>
          <w:tcPr>
            <w:tcW w:w="2891" w:type="dxa"/>
            <w:vAlign w:val="center"/>
          </w:tcPr>
          <w:p>
            <w:pPr>
              <w:pStyle w:val="13"/>
            </w:pPr>
            <w:r>
              <w:t>进一步提高行处罚案卷的质量</w:t>
            </w:r>
          </w:p>
        </w:tc>
        <w:tc>
          <w:tcPr>
            <w:tcW w:w="1276" w:type="dxa"/>
            <w:vAlign w:val="center"/>
          </w:tcPr>
          <w:p>
            <w:pPr>
              <w:pStyle w:val="13"/>
            </w:pPr>
            <w:r>
              <w:t>较上年度增加</w:t>
            </w:r>
          </w:p>
        </w:tc>
        <w:tc>
          <w:tcPr>
            <w:tcW w:w="1843" w:type="dxa"/>
            <w:vAlign w:val="center"/>
          </w:tcPr>
          <w:p>
            <w:pPr>
              <w:pStyle w:val="13"/>
            </w:pPr>
            <w:r>
              <w:t>《卫生行政执法文书规范》第三条、第四条、第五条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使用人满意度</w:t>
            </w:r>
          </w:p>
        </w:tc>
        <w:tc>
          <w:tcPr>
            <w:tcW w:w="2891" w:type="dxa"/>
            <w:vAlign w:val="center"/>
          </w:tcPr>
          <w:p>
            <w:pPr>
              <w:pStyle w:val="13"/>
            </w:pPr>
            <w:r>
              <w:t>调研执法人员使用情况</w:t>
            </w:r>
          </w:p>
        </w:tc>
        <w:tc>
          <w:tcPr>
            <w:tcW w:w="1276" w:type="dxa"/>
            <w:vAlign w:val="center"/>
          </w:tcPr>
          <w:p>
            <w:pPr>
              <w:pStyle w:val="13"/>
            </w:pPr>
            <w:r>
              <w:t>≥100百分比</w:t>
            </w:r>
          </w:p>
        </w:tc>
        <w:tc>
          <w:tcPr>
            <w:tcW w:w="1843" w:type="dxa"/>
            <w:vAlign w:val="center"/>
          </w:tcPr>
          <w:p>
            <w:pPr>
              <w:pStyle w:val="13"/>
            </w:pPr>
            <w:r>
              <w:t>《卫生行政执法文书规范》第三条、第四条、第五条</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7" w:name="_Toc_4_4_0000000008"/>
      <w:r>
        <w:rPr>
          <w:rFonts w:ascii="方正仿宋_GBK" w:hAnsi="方正仿宋_GBK" w:eastAsia="方正仿宋_GBK" w:cs="方正仿宋_GBK"/>
          <w:color w:val="000000"/>
          <w:sz w:val="28"/>
        </w:rPr>
        <w:t>5.慢性病综防示范区建设及万步有约健走激励大赛经费绩效目标表</w:t>
      </w:r>
      <w:bookmarkEnd w:id="7"/>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364001石家庄市桥西区疾病预防控制中心本级</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13010426P009762100301</w:t>
            </w:r>
          </w:p>
        </w:tc>
        <w:tc>
          <w:tcPr>
            <w:tcW w:w="1587" w:type="dxa"/>
            <w:vAlign w:val="center"/>
          </w:tcPr>
          <w:p>
            <w:pPr>
              <w:pStyle w:val="14"/>
            </w:pPr>
            <w:r>
              <w:t>项目名称</w:t>
            </w:r>
          </w:p>
        </w:tc>
        <w:tc>
          <w:tcPr>
            <w:tcW w:w="4423" w:type="dxa"/>
            <w:gridSpan w:val="3"/>
            <w:vAlign w:val="center"/>
          </w:tcPr>
          <w:p>
            <w:pPr>
              <w:pStyle w:val="13"/>
            </w:pPr>
            <w:r>
              <w:t>慢性病综防示范区建设及万步有约健走激励大赛经费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20.00</w:t>
            </w:r>
          </w:p>
        </w:tc>
        <w:tc>
          <w:tcPr>
            <w:tcW w:w="1587" w:type="dxa"/>
            <w:vAlign w:val="center"/>
          </w:tcPr>
          <w:p>
            <w:pPr>
              <w:pStyle w:val="14"/>
            </w:pPr>
            <w:r>
              <w:t>其中：财政    资金</w:t>
            </w:r>
          </w:p>
        </w:tc>
        <w:tc>
          <w:tcPr>
            <w:tcW w:w="1304" w:type="dxa"/>
            <w:vAlign w:val="center"/>
          </w:tcPr>
          <w:p>
            <w:pPr>
              <w:pStyle w:val="13"/>
            </w:pPr>
            <w:r>
              <w:t>20.00</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主要用于巩固示范区建设，开展“万步有约”健走激励大赛，促进全民健康，完成任务要求。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1.巩固示范区建设，开展“万步有约”健走激励大赛，促进全民健康，完成任务要求</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开展健步走工作</w:t>
            </w:r>
          </w:p>
        </w:tc>
        <w:tc>
          <w:tcPr>
            <w:tcW w:w="2891" w:type="dxa"/>
            <w:vAlign w:val="center"/>
          </w:tcPr>
          <w:p>
            <w:pPr>
              <w:pStyle w:val="13"/>
            </w:pPr>
            <w:r>
              <w:t>精英赛参赛人数</w:t>
            </w:r>
          </w:p>
        </w:tc>
        <w:tc>
          <w:tcPr>
            <w:tcW w:w="1276" w:type="dxa"/>
            <w:vAlign w:val="center"/>
          </w:tcPr>
          <w:p>
            <w:pPr>
              <w:pStyle w:val="13"/>
            </w:pPr>
            <w:r>
              <w:t>≥300人</w:t>
            </w:r>
          </w:p>
        </w:tc>
        <w:tc>
          <w:tcPr>
            <w:tcW w:w="1843" w:type="dxa"/>
            <w:vAlign w:val="center"/>
          </w:tcPr>
          <w:p>
            <w:pPr>
              <w:pStyle w:val="13"/>
            </w:pPr>
            <w:r>
              <w:t>河北省冀卫医急函〔2025〕17 号等文件及上级安排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全员万步率指标</w:t>
            </w:r>
          </w:p>
        </w:tc>
        <w:tc>
          <w:tcPr>
            <w:tcW w:w="2891" w:type="dxa"/>
            <w:vAlign w:val="center"/>
          </w:tcPr>
          <w:p>
            <w:pPr>
              <w:pStyle w:val="13"/>
            </w:pPr>
            <w:r>
              <w:t>全员万步率</w:t>
            </w:r>
          </w:p>
        </w:tc>
        <w:tc>
          <w:tcPr>
            <w:tcW w:w="1276" w:type="dxa"/>
            <w:vAlign w:val="center"/>
          </w:tcPr>
          <w:p>
            <w:pPr>
              <w:pStyle w:val="13"/>
            </w:pPr>
            <w:r>
              <w:t>≥70百分比</w:t>
            </w:r>
          </w:p>
        </w:tc>
        <w:tc>
          <w:tcPr>
            <w:tcW w:w="1843" w:type="dxa"/>
            <w:vAlign w:val="center"/>
          </w:tcPr>
          <w:p>
            <w:pPr>
              <w:pStyle w:val="13"/>
            </w:pPr>
            <w:r>
              <w:t>河北省冀卫医急函〔2025〕17 号等文件及上级安排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健走大赛参赛天数</w:t>
            </w:r>
          </w:p>
        </w:tc>
        <w:tc>
          <w:tcPr>
            <w:tcW w:w="2891" w:type="dxa"/>
            <w:vAlign w:val="center"/>
          </w:tcPr>
          <w:p>
            <w:pPr>
              <w:pStyle w:val="13"/>
            </w:pPr>
            <w:r>
              <w:t>参赛天数</w:t>
            </w:r>
          </w:p>
        </w:tc>
        <w:tc>
          <w:tcPr>
            <w:tcW w:w="1276" w:type="dxa"/>
            <w:vAlign w:val="center"/>
          </w:tcPr>
          <w:p>
            <w:pPr>
              <w:pStyle w:val="13"/>
            </w:pPr>
            <w:r>
              <w:t>100天</w:t>
            </w:r>
          </w:p>
        </w:tc>
        <w:tc>
          <w:tcPr>
            <w:tcW w:w="1843" w:type="dxa"/>
            <w:vAlign w:val="center"/>
          </w:tcPr>
          <w:p>
            <w:pPr>
              <w:pStyle w:val="13"/>
            </w:pPr>
            <w:r>
              <w:t>河北省冀卫医急函〔2025〕17 号等文件及上级安排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保障工作顺利完成</w:t>
            </w:r>
          </w:p>
        </w:tc>
        <w:tc>
          <w:tcPr>
            <w:tcW w:w="2891" w:type="dxa"/>
            <w:vAlign w:val="center"/>
          </w:tcPr>
          <w:p>
            <w:pPr>
              <w:pStyle w:val="13"/>
            </w:pPr>
            <w:r>
              <w:t>辖区政府按规划、计划提供示范区建设专项工作经费，完成“万步有约”大赛启动仪式所需物料、大赛统一设备、设置自主激励机制等专款专用</w:t>
            </w:r>
          </w:p>
        </w:tc>
        <w:tc>
          <w:tcPr>
            <w:tcW w:w="1276" w:type="dxa"/>
            <w:vAlign w:val="center"/>
          </w:tcPr>
          <w:p>
            <w:pPr>
              <w:pStyle w:val="13"/>
            </w:pPr>
            <w:r>
              <w:t>≤10万</w:t>
            </w:r>
          </w:p>
        </w:tc>
        <w:tc>
          <w:tcPr>
            <w:tcW w:w="1843" w:type="dxa"/>
            <w:vAlign w:val="center"/>
          </w:tcPr>
          <w:p>
            <w:pPr>
              <w:pStyle w:val="13"/>
            </w:pPr>
            <w:r>
              <w:t>河北省冀卫医急函〔2025〕17 号等文件及上级安排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3"/>
            </w:pPr>
            <w:r>
              <w:t>可持续影响指标</w:t>
            </w:r>
          </w:p>
        </w:tc>
        <w:tc>
          <w:tcPr>
            <w:tcW w:w="1332" w:type="dxa"/>
            <w:vAlign w:val="center"/>
          </w:tcPr>
          <w:p>
            <w:pPr>
              <w:pStyle w:val="13"/>
            </w:pPr>
            <w:r>
              <w:t>提高居民慢性病核心知晓率</w:t>
            </w:r>
          </w:p>
        </w:tc>
        <w:tc>
          <w:tcPr>
            <w:tcW w:w="2891" w:type="dxa"/>
            <w:vAlign w:val="center"/>
          </w:tcPr>
          <w:p>
            <w:pPr>
              <w:pStyle w:val="13"/>
            </w:pPr>
            <w:r>
              <w:t>居民重点慢性病核心知识知晓率</w:t>
            </w:r>
          </w:p>
        </w:tc>
        <w:tc>
          <w:tcPr>
            <w:tcW w:w="1276" w:type="dxa"/>
            <w:vAlign w:val="center"/>
          </w:tcPr>
          <w:p>
            <w:pPr>
              <w:pStyle w:val="13"/>
            </w:pPr>
            <w:r>
              <w:t>≥80百分比</w:t>
            </w:r>
          </w:p>
        </w:tc>
        <w:tc>
          <w:tcPr>
            <w:tcW w:w="1843" w:type="dxa"/>
            <w:vAlign w:val="center"/>
          </w:tcPr>
          <w:p>
            <w:pPr>
              <w:pStyle w:val="13"/>
            </w:pPr>
            <w:r>
              <w:t>河北省冀卫医急函〔2025〕17 号等文件及上级安排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居民综合满意程度</w:t>
            </w:r>
          </w:p>
        </w:tc>
        <w:tc>
          <w:tcPr>
            <w:tcW w:w="2891" w:type="dxa"/>
            <w:vAlign w:val="center"/>
          </w:tcPr>
          <w:p>
            <w:pPr>
              <w:pStyle w:val="13"/>
            </w:pPr>
            <w:r>
              <w:t>了解城乡居民对基层医疗卫生机构所提供基本公共卫生服务的服务的综合满意程度。</w:t>
            </w:r>
          </w:p>
        </w:tc>
        <w:tc>
          <w:tcPr>
            <w:tcW w:w="1276" w:type="dxa"/>
            <w:vAlign w:val="center"/>
          </w:tcPr>
          <w:p>
            <w:pPr>
              <w:pStyle w:val="13"/>
            </w:pPr>
            <w:r>
              <w:t>≥60百分比</w:t>
            </w:r>
          </w:p>
        </w:tc>
        <w:tc>
          <w:tcPr>
            <w:tcW w:w="1843" w:type="dxa"/>
            <w:vAlign w:val="center"/>
          </w:tcPr>
          <w:p>
            <w:pPr>
              <w:pStyle w:val="13"/>
            </w:pPr>
            <w:r>
              <w:t>河北省冀卫医急函〔2025〕17 号等文件及上级安排</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8" w:name="_Toc_4_4_0000000009"/>
      <w:r>
        <w:rPr>
          <w:rFonts w:ascii="方正仿宋_GBK" w:hAnsi="方正仿宋_GBK" w:eastAsia="方正仿宋_GBK" w:cs="方正仿宋_GBK"/>
          <w:color w:val="000000"/>
          <w:sz w:val="28"/>
        </w:rPr>
        <w:t>6.石财社〔2025〕115号 石家庄市财政局石家庄市卫生健康委员会关于提前下达2026年中央财政重大公共卫生服务补助资金绩效目标表</w:t>
      </w:r>
      <w:bookmarkEnd w:id="8"/>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364001石家庄市桥西区疾病预防控制中心本级</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13010426P00976310010Y</w:t>
            </w:r>
          </w:p>
        </w:tc>
        <w:tc>
          <w:tcPr>
            <w:tcW w:w="1587" w:type="dxa"/>
            <w:vAlign w:val="center"/>
          </w:tcPr>
          <w:p>
            <w:pPr>
              <w:pStyle w:val="14"/>
            </w:pPr>
            <w:r>
              <w:t>项目名称</w:t>
            </w:r>
          </w:p>
        </w:tc>
        <w:tc>
          <w:tcPr>
            <w:tcW w:w="4423" w:type="dxa"/>
            <w:gridSpan w:val="3"/>
            <w:vAlign w:val="center"/>
          </w:tcPr>
          <w:p>
            <w:pPr>
              <w:pStyle w:val="13"/>
            </w:pPr>
            <w:r>
              <w:t>石财社〔2025〕115号 石家庄市财政局石家庄市卫生健康委员会关于提前下达2026年中央财政重大公共卫生服务补助资金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103.02</w:t>
            </w:r>
          </w:p>
        </w:tc>
        <w:tc>
          <w:tcPr>
            <w:tcW w:w="1587" w:type="dxa"/>
            <w:vAlign w:val="center"/>
          </w:tcPr>
          <w:p>
            <w:pPr>
              <w:pStyle w:val="14"/>
            </w:pPr>
            <w:r>
              <w:t>其中：财政    资金</w:t>
            </w:r>
          </w:p>
        </w:tc>
        <w:tc>
          <w:tcPr>
            <w:tcW w:w="1304" w:type="dxa"/>
            <w:vAlign w:val="center"/>
          </w:tcPr>
          <w:p>
            <w:pPr>
              <w:pStyle w:val="13"/>
            </w:pPr>
            <w:r>
              <w:t>103.02</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主要用于扩大国家免疫规划、艾滋病防治、结核病防治、精神卫生与慢性非传染性疾病防治、重点传染病及健康危害因素监测等工作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1.加强慢性病管理工作，做好肿瘤登记随访工作</w:t>
            </w:r>
          </w:p>
          <w:p>
            <w:pPr>
              <w:pStyle w:val="13"/>
            </w:pPr>
            <w:r>
              <w:t>2.提高艾滋病宣传干预受众人群满意度和艾滋病病人、感染者满意度</w:t>
            </w:r>
          </w:p>
          <w:p>
            <w:pPr>
              <w:pStyle w:val="13"/>
            </w:pPr>
            <w:r>
              <w:t>3.加强在册严重精神障碍患者管理提高公众对疾病的认知</w:t>
            </w:r>
          </w:p>
          <w:p>
            <w:pPr>
              <w:pStyle w:val="13"/>
            </w:pPr>
            <w:r>
              <w:t>4.提高疫苗预防接种接种率</w:t>
            </w:r>
          </w:p>
          <w:p>
            <w:pPr>
              <w:pStyle w:val="13"/>
            </w:pPr>
            <w:r>
              <w:t>5.提高肺结核患者成功治疗率</w:t>
            </w:r>
          </w:p>
          <w:p>
            <w:pPr>
              <w:pStyle w:val="13"/>
            </w:pPr>
            <w:r>
              <w:t>6.最大限度发现艾滋病感染者和病人，有效遏制艾滋病疫情蔓延，将艾滋病疫情控制在低流行水平</w:t>
            </w:r>
          </w:p>
          <w:p>
            <w:pPr>
              <w:pStyle w:val="13"/>
            </w:pPr>
            <w:r>
              <w:t xml:space="preserve">7.加强多部门协作、坚持不懈做好艾滋病防治工作，使艾滋病疫情始终处于低流行水平；开展学生常见病及其影响因素监测工作，儿童青少年近视率下降达到0.5%，符合要求，按要求开展近视等学生常见病宣传干预工作；加强严重精神障碍患者管理；做好肿瘤登记与随访工作；完成辖区300户居民健康素养入户问卷调查；完成枯、丰水期各16份饮用水监测任务；完成7家公共场所两次健康危害因素监测；食品采样工作按照市级临时下发任务完成，报告发病率不低于140例/10万。   </w:t>
            </w:r>
          </w:p>
          <w:p>
            <w:pPr>
              <w:pStyle w:val="13"/>
            </w:pPr>
            <w:r>
              <w:t>8.提高居民及重点人群的艾滋病防治知识知晓率</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艾滋病自愿咨询检测人数</w:t>
            </w:r>
          </w:p>
        </w:tc>
        <w:tc>
          <w:tcPr>
            <w:tcW w:w="2891" w:type="dxa"/>
            <w:vAlign w:val="center"/>
          </w:tcPr>
          <w:p>
            <w:pPr>
              <w:pStyle w:val="13"/>
            </w:pPr>
            <w:r>
              <w:t>衡量开展艾滋病自愿咨询检测服务的覆盖规模</w:t>
            </w:r>
          </w:p>
        </w:tc>
        <w:tc>
          <w:tcPr>
            <w:tcW w:w="1276" w:type="dxa"/>
            <w:vAlign w:val="center"/>
          </w:tcPr>
          <w:p>
            <w:pPr>
              <w:pStyle w:val="13"/>
            </w:pPr>
            <w:r>
              <w:t>≥484人次/年</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数量指标</w:t>
            </w:r>
          </w:p>
        </w:tc>
        <w:tc>
          <w:tcPr>
            <w:tcW w:w="1332" w:type="dxa"/>
            <w:vAlign w:val="center"/>
          </w:tcPr>
          <w:p>
            <w:pPr>
              <w:pStyle w:val="13"/>
            </w:pPr>
            <w:r>
              <w:t>艾滋病性病网格化宣传</w:t>
            </w:r>
          </w:p>
        </w:tc>
        <w:tc>
          <w:tcPr>
            <w:tcW w:w="2891" w:type="dxa"/>
            <w:vAlign w:val="center"/>
          </w:tcPr>
          <w:p>
            <w:pPr>
              <w:pStyle w:val="13"/>
            </w:pPr>
            <w:r>
              <w:t>体现艾滋病性病宣传工作的频次与范围</w:t>
            </w:r>
          </w:p>
        </w:tc>
        <w:tc>
          <w:tcPr>
            <w:tcW w:w="1276" w:type="dxa"/>
            <w:vAlign w:val="center"/>
          </w:tcPr>
          <w:p>
            <w:pPr>
              <w:pStyle w:val="13"/>
            </w:pPr>
            <w:r>
              <w:t>≥4次/每月</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数量指标</w:t>
            </w:r>
          </w:p>
        </w:tc>
        <w:tc>
          <w:tcPr>
            <w:tcW w:w="1332" w:type="dxa"/>
            <w:vAlign w:val="center"/>
          </w:tcPr>
          <w:p>
            <w:pPr>
              <w:pStyle w:val="13"/>
            </w:pPr>
            <w:r>
              <w:t>辖区内儿童预防接种服务的数量</w:t>
            </w:r>
          </w:p>
        </w:tc>
        <w:tc>
          <w:tcPr>
            <w:tcW w:w="2891" w:type="dxa"/>
            <w:vAlign w:val="center"/>
          </w:tcPr>
          <w:p>
            <w:pPr>
              <w:pStyle w:val="13"/>
            </w:pPr>
            <w:r>
              <w:t>反映辖区内儿童预防接种服务的数量</w:t>
            </w:r>
          </w:p>
        </w:tc>
        <w:tc>
          <w:tcPr>
            <w:tcW w:w="1276" w:type="dxa"/>
            <w:vAlign w:val="center"/>
          </w:tcPr>
          <w:p>
            <w:pPr>
              <w:pStyle w:val="13"/>
            </w:pPr>
            <w:r>
              <w:t>满足居民接种</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数量指标</w:t>
            </w:r>
          </w:p>
        </w:tc>
        <w:tc>
          <w:tcPr>
            <w:tcW w:w="1332" w:type="dxa"/>
            <w:vAlign w:val="center"/>
          </w:tcPr>
          <w:p>
            <w:pPr>
              <w:pStyle w:val="13"/>
            </w:pPr>
            <w:r>
              <w:t>肺结核患者成功治疗率</w:t>
            </w:r>
          </w:p>
        </w:tc>
        <w:tc>
          <w:tcPr>
            <w:tcW w:w="2891" w:type="dxa"/>
            <w:vAlign w:val="center"/>
          </w:tcPr>
          <w:p>
            <w:pPr>
              <w:pStyle w:val="13"/>
            </w:pPr>
            <w:r>
              <w:t>肺结核患者成功治疗率</w:t>
            </w:r>
          </w:p>
        </w:tc>
        <w:tc>
          <w:tcPr>
            <w:tcW w:w="1276" w:type="dxa"/>
            <w:vAlign w:val="center"/>
          </w:tcPr>
          <w:p>
            <w:pPr>
              <w:pStyle w:val="13"/>
            </w:pPr>
            <w:r>
              <w:t>≥90百分比</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数量指标</w:t>
            </w:r>
          </w:p>
        </w:tc>
        <w:tc>
          <w:tcPr>
            <w:tcW w:w="1332" w:type="dxa"/>
            <w:vAlign w:val="center"/>
          </w:tcPr>
          <w:p>
            <w:pPr>
              <w:pStyle w:val="13"/>
            </w:pPr>
            <w:r>
              <w:t>居民艾滋病防控知识知晓率</w:t>
            </w:r>
          </w:p>
        </w:tc>
        <w:tc>
          <w:tcPr>
            <w:tcW w:w="2891" w:type="dxa"/>
            <w:vAlign w:val="center"/>
          </w:tcPr>
          <w:p>
            <w:pPr>
              <w:pStyle w:val="13"/>
            </w:pPr>
            <w:r>
              <w:t>加大宣传力度，提高居民预防艾滋病意识，使艾滋病疫情处于低流行水平</w:t>
            </w:r>
          </w:p>
        </w:tc>
        <w:tc>
          <w:tcPr>
            <w:tcW w:w="1276" w:type="dxa"/>
            <w:vAlign w:val="center"/>
          </w:tcPr>
          <w:p>
            <w:pPr>
              <w:pStyle w:val="13"/>
            </w:pPr>
            <w:r>
              <w:t>≥90百分比</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数量指标</w:t>
            </w:r>
          </w:p>
        </w:tc>
        <w:tc>
          <w:tcPr>
            <w:tcW w:w="1332" w:type="dxa"/>
            <w:vAlign w:val="center"/>
          </w:tcPr>
          <w:p>
            <w:pPr>
              <w:pStyle w:val="13"/>
            </w:pPr>
            <w:r>
              <w:t>发现临床诊断和确诊的疟疾病例上报率</w:t>
            </w:r>
          </w:p>
        </w:tc>
        <w:tc>
          <w:tcPr>
            <w:tcW w:w="2891" w:type="dxa"/>
            <w:vAlign w:val="center"/>
          </w:tcPr>
          <w:p>
            <w:pPr>
              <w:pStyle w:val="13"/>
            </w:pPr>
            <w:r>
              <w:t>发现临床诊断和确诊的疟疾病例24小时内进行网络直报，3天内完成个案调查</w:t>
            </w:r>
          </w:p>
        </w:tc>
        <w:tc>
          <w:tcPr>
            <w:tcW w:w="1276" w:type="dxa"/>
            <w:vAlign w:val="center"/>
          </w:tcPr>
          <w:p>
            <w:pPr>
              <w:pStyle w:val="13"/>
            </w:pPr>
            <w:r>
              <w:t>100百分比</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数量指标</w:t>
            </w:r>
          </w:p>
        </w:tc>
        <w:tc>
          <w:tcPr>
            <w:tcW w:w="1332" w:type="dxa"/>
            <w:vAlign w:val="center"/>
          </w:tcPr>
          <w:p>
            <w:pPr>
              <w:pStyle w:val="13"/>
            </w:pPr>
            <w:r>
              <w:t>重点人群及易感染艾滋病危险行为人群防治知识知晓率</w:t>
            </w:r>
          </w:p>
        </w:tc>
        <w:tc>
          <w:tcPr>
            <w:tcW w:w="2891" w:type="dxa"/>
            <w:vAlign w:val="center"/>
          </w:tcPr>
          <w:p>
            <w:pPr>
              <w:pStyle w:val="13"/>
            </w:pPr>
            <w:r>
              <w:t>加强对的宣传教育，提高重点人群预防艾滋病意识，使艾滋病疫情处于低流行水平</w:t>
            </w:r>
          </w:p>
        </w:tc>
        <w:tc>
          <w:tcPr>
            <w:tcW w:w="1276" w:type="dxa"/>
            <w:vAlign w:val="center"/>
          </w:tcPr>
          <w:p>
            <w:pPr>
              <w:pStyle w:val="13"/>
            </w:pPr>
            <w:r>
              <w:t>≥95百分比</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数量指标</w:t>
            </w:r>
          </w:p>
        </w:tc>
        <w:tc>
          <w:tcPr>
            <w:tcW w:w="1332" w:type="dxa"/>
            <w:vAlign w:val="center"/>
          </w:tcPr>
          <w:p>
            <w:pPr>
              <w:pStyle w:val="13"/>
            </w:pPr>
            <w:r>
              <w:t>在册严重精神障碍患者管理率</w:t>
            </w:r>
          </w:p>
        </w:tc>
        <w:tc>
          <w:tcPr>
            <w:tcW w:w="2891" w:type="dxa"/>
            <w:vAlign w:val="center"/>
          </w:tcPr>
          <w:p>
            <w:pPr>
              <w:pStyle w:val="13"/>
            </w:pPr>
            <w:r>
              <w:t>在册严重精神障碍患者管理率</w:t>
            </w:r>
          </w:p>
        </w:tc>
        <w:tc>
          <w:tcPr>
            <w:tcW w:w="1276" w:type="dxa"/>
            <w:vAlign w:val="center"/>
          </w:tcPr>
          <w:p>
            <w:pPr>
              <w:pStyle w:val="13"/>
            </w:pPr>
            <w:r>
              <w:t>≥80百分比</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数量指标</w:t>
            </w:r>
          </w:p>
        </w:tc>
        <w:tc>
          <w:tcPr>
            <w:tcW w:w="1332" w:type="dxa"/>
            <w:vAlign w:val="center"/>
          </w:tcPr>
          <w:p>
            <w:pPr>
              <w:pStyle w:val="13"/>
            </w:pPr>
            <w:r>
              <w:t>饮用水监测</w:t>
            </w:r>
          </w:p>
        </w:tc>
        <w:tc>
          <w:tcPr>
            <w:tcW w:w="2891" w:type="dxa"/>
            <w:vAlign w:val="center"/>
          </w:tcPr>
          <w:p>
            <w:pPr>
              <w:pStyle w:val="13"/>
            </w:pPr>
            <w:r>
              <w:t>完成枯、丰水期饮用水监测</w:t>
            </w:r>
          </w:p>
        </w:tc>
        <w:tc>
          <w:tcPr>
            <w:tcW w:w="1276" w:type="dxa"/>
            <w:vAlign w:val="center"/>
          </w:tcPr>
          <w:p>
            <w:pPr>
              <w:pStyle w:val="13"/>
            </w:pPr>
            <w:r>
              <w:t>16</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数量指标</w:t>
            </w:r>
          </w:p>
        </w:tc>
        <w:tc>
          <w:tcPr>
            <w:tcW w:w="1332" w:type="dxa"/>
            <w:vAlign w:val="center"/>
          </w:tcPr>
          <w:p>
            <w:pPr>
              <w:pStyle w:val="13"/>
            </w:pPr>
            <w:r>
              <w:t>公共场所监测</w:t>
            </w:r>
          </w:p>
        </w:tc>
        <w:tc>
          <w:tcPr>
            <w:tcW w:w="2891" w:type="dxa"/>
            <w:vAlign w:val="center"/>
          </w:tcPr>
          <w:p>
            <w:pPr>
              <w:pStyle w:val="13"/>
            </w:pPr>
            <w:r>
              <w:t>对7家公共场所开展两次健康危害因素监测。</w:t>
            </w:r>
          </w:p>
        </w:tc>
        <w:tc>
          <w:tcPr>
            <w:tcW w:w="1276" w:type="dxa"/>
            <w:vAlign w:val="center"/>
          </w:tcPr>
          <w:p>
            <w:pPr>
              <w:pStyle w:val="13"/>
            </w:pPr>
            <w:r>
              <w:t>7</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数量指标</w:t>
            </w:r>
          </w:p>
        </w:tc>
        <w:tc>
          <w:tcPr>
            <w:tcW w:w="1332" w:type="dxa"/>
            <w:vAlign w:val="center"/>
          </w:tcPr>
          <w:p>
            <w:pPr>
              <w:pStyle w:val="13"/>
            </w:pPr>
            <w:r>
              <w:t>学生常见病和健康影响因素监测学生数量</w:t>
            </w:r>
          </w:p>
        </w:tc>
        <w:tc>
          <w:tcPr>
            <w:tcW w:w="2891" w:type="dxa"/>
            <w:vAlign w:val="center"/>
          </w:tcPr>
          <w:p>
            <w:pPr>
              <w:pStyle w:val="13"/>
            </w:pPr>
            <w:r>
              <w:t>监测学生数量</w:t>
            </w:r>
          </w:p>
        </w:tc>
        <w:tc>
          <w:tcPr>
            <w:tcW w:w="1276" w:type="dxa"/>
            <w:vAlign w:val="center"/>
          </w:tcPr>
          <w:p>
            <w:pPr>
              <w:pStyle w:val="13"/>
            </w:pPr>
            <w:r>
              <w:t>≥2320</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数量指标</w:t>
            </w:r>
          </w:p>
        </w:tc>
        <w:tc>
          <w:tcPr>
            <w:tcW w:w="1332" w:type="dxa"/>
            <w:vAlign w:val="center"/>
          </w:tcPr>
          <w:p>
            <w:pPr>
              <w:pStyle w:val="13"/>
            </w:pPr>
            <w:r>
              <w:t>入户问卷调查</w:t>
            </w:r>
          </w:p>
        </w:tc>
        <w:tc>
          <w:tcPr>
            <w:tcW w:w="2891" w:type="dxa"/>
            <w:vAlign w:val="center"/>
          </w:tcPr>
          <w:p>
            <w:pPr>
              <w:pStyle w:val="13"/>
            </w:pPr>
            <w:r>
              <w:t>完成入户问卷调查300户</w:t>
            </w:r>
          </w:p>
        </w:tc>
        <w:tc>
          <w:tcPr>
            <w:tcW w:w="1276" w:type="dxa"/>
            <w:vAlign w:val="center"/>
          </w:tcPr>
          <w:p>
            <w:pPr>
              <w:pStyle w:val="13"/>
            </w:pPr>
            <w:r>
              <w:t>300</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新报告丙肝抗体阳性核酸检测率</w:t>
            </w:r>
          </w:p>
        </w:tc>
        <w:tc>
          <w:tcPr>
            <w:tcW w:w="2891" w:type="dxa"/>
            <w:vAlign w:val="center"/>
          </w:tcPr>
          <w:p>
            <w:pPr>
              <w:pStyle w:val="13"/>
            </w:pPr>
            <w:r>
              <w:t>说明对新报告丙肝抗体阳性者进行核酸检测的覆盖情况</w:t>
            </w:r>
          </w:p>
        </w:tc>
        <w:tc>
          <w:tcPr>
            <w:tcW w:w="1276" w:type="dxa"/>
            <w:vAlign w:val="center"/>
          </w:tcPr>
          <w:p>
            <w:pPr>
              <w:pStyle w:val="13"/>
            </w:pPr>
            <w:r>
              <w:t>≥95百分比</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新报告丙肝抗病毒治疗率</w:t>
            </w:r>
          </w:p>
        </w:tc>
        <w:tc>
          <w:tcPr>
            <w:tcW w:w="2891" w:type="dxa"/>
            <w:vAlign w:val="center"/>
          </w:tcPr>
          <w:p>
            <w:pPr>
              <w:pStyle w:val="13"/>
            </w:pPr>
            <w:r>
              <w:t>体现对新确诊丙肝患者开展抗病毒治疗的比例</w:t>
            </w:r>
          </w:p>
        </w:tc>
        <w:tc>
          <w:tcPr>
            <w:tcW w:w="1276" w:type="dxa"/>
            <w:vAlign w:val="center"/>
          </w:tcPr>
          <w:p>
            <w:pPr>
              <w:pStyle w:val="13"/>
            </w:pPr>
            <w:r>
              <w:t>≥80百分比</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电子服务包使用率</w:t>
            </w:r>
          </w:p>
        </w:tc>
        <w:tc>
          <w:tcPr>
            <w:tcW w:w="2891" w:type="dxa"/>
            <w:vAlign w:val="center"/>
          </w:tcPr>
          <w:p>
            <w:pPr>
              <w:pStyle w:val="13"/>
            </w:pPr>
            <w:r>
              <w:t>衡量艾滋病防治相关电子服务包的应用普及程度</w:t>
            </w:r>
          </w:p>
        </w:tc>
        <w:tc>
          <w:tcPr>
            <w:tcW w:w="1276" w:type="dxa"/>
            <w:vAlign w:val="center"/>
          </w:tcPr>
          <w:p>
            <w:pPr>
              <w:pStyle w:val="13"/>
            </w:pPr>
            <w:r>
              <w:t>≥60百分比</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疫苗的储备运输量</w:t>
            </w:r>
          </w:p>
        </w:tc>
        <w:tc>
          <w:tcPr>
            <w:tcW w:w="2891" w:type="dxa"/>
            <w:vAlign w:val="center"/>
          </w:tcPr>
          <w:p>
            <w:pPr>
              <w:pStyle w:val="13"/>
            </w:pPr>
            <w:r>
              <w:t>儿童接种时不缺少疫苗</w:t>
            </w:r>
          </w:p>
        </w:tc>
        <w:tc>
          <w:tcPr>
            <w:tcW w:w="1276" w:type="dxa"/>
            <w:vAlign w:val="center"/>
          </w:tcPr>
          <w:p>
            <w:pPr>
              <w:pStyle w:val="13"/>
            </w:pPr>
            <w:r>
              <w:t>100百分比</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严重精神障碍筛查任务完成率</w:t>
            </w:r>
          </w:p>
        </w:tc>
        <w:tc>
          <w:tcPr>
            <w:tcW w:w="2891" w:type="dxa"/>
            <w:vAlign w:val="center"/>
          </w:tcPr>
          <w:p>
            <w:pPr>
              <w:pStyle w:val="13"/>
            </w:pPr>
            <w:r>
              <w:t>严重精神障碍筛查任务完成率</w:t>
            </w:r>
          </w:p>
        </w:tc>
        <w:tc>
          <w:tcPr>
            <w:tcW w:w="1276" w:type="dxa"/>
            <w:vAlign w:val="center"/>
          </w:tcPr>
          <w:p>
            <w:pPr>
              <w:pStyle w:val="13"/>
            </w:pPr>
            <w:r>
              <w:t>100百分比</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肺结核患者成功治疗率</w:t>
            </w:r>
          </w:p>
        </w:tc>
        <w:tc>
          <w:tcPr>
            <w:tcW w:w="2891" w:type="dxa"/>
            <w:vAlign w:val="center"/>
          </w:tcPr>
          <w:p>
            <w:pPr>
              <w:pStyle w:val="13"/>
            </w:pPr>
            <w:r>
              <w:t>肺结核患者成功治疗率</w:t>
            </w:r>
          </w:p>
        </w:tc>
        <w:tc>
          <w:tcPr>
            <w:tcW w:w="1276" w:type="dxa"/>
            <w:vAlign w:val="center"/>
          </w:tcPr>
          <w:p>
            <w:pPr>
              <w:pStyle w:val="13"/>
            </w:pPr>
            <w:r>
              <w:t>≥90百分比</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在册严重精神障碍患者稳定率</w:t>
            </w:r>
          </w:p>
        </w:tc>
        <w:tc>
          <w:tcPr>
            <w:tcW w:w="2891" w:type="dxa"/>
            <w:vAlign w:val="center"/>
          </w:tcPr>
          <w:p>
            <w:pPr>
              <w:pStyle w:val="13"/>
            </w:pPr>
            <w:r>
              <w:t>在册严重精神障碍患者稳定率</w:t>
            </w:r>
          </w:p>
        </w:tc>
        <w:tc>
          <w:tcPr>
            <w:tcW w:w="1276" w:type="dxa"/>
            <w:vAlign w:val="center"/>
          </w:tcPr>
          <w:p>
            <w:pPr>
              <w:pStyle w:val="13"/>
            </w:pPr>
            <w:r>
              <w:t>≥60百分比</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7日内疫点调查与处置率</w:t>
            </w:r>
          </w:p>
        </w:tc>
        <w:tc>
          <w:tcPr>
            <w:tcW w:w="2891" w:type="dxa"/>
            <w:vAlign w:val="center"/>
          </w:tcPr>
          <w:p>
            <w:pPr>
              <w:pStyle w:val="13"/>
            </w:pPr>
            <w:r>
              <w:t>疟疾疫点在病例报告后7天内完成调查处置的比例</w:t>
            </w:r>
          </w:p>
        </w:tc>
        <w:tc>
          <w:tcPr>
            <w:tcW w:w="1276" w:type="dxa"/>
            <w:vAlign w:val="center"/>
          </w:tcPr>
          <w:p>
            <w:pPr>
              <w:pStyle w:val="13"/>
            </w:pPr>
            <w:r>
              <w:t>≥90百分比</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hiv新报告感染者和病人确证后30天内接受抗病毒比例</w:t>
            </w:r>
          </w:p>
        </w:tc>
        <w:tc>
          <w:tcPr>
            <w:tcW w:w="2891" w:type="dxa"/>
            <w:vAlign w:val="center"/>
          </w:tcPr>
          <w:p>
            <w:pPr>
              <w:pStyle w:val="13"/>
            </w:pPr>
            <w:r>
              <w:t>提升抗病毒治疗效果</w:t>
            </w:r>
          </w:p>
        </w:tc>
        <w:tc>
          <w:tcPr>
            <w:tcW w:w="1276" w:type="dxa"/>
            <w:vAlign w:val="center"/>
          </w:tcPr>
          <w:p>
            <w:pPr>
              <w:pStyle w:val="13"/>
            </w:pPr>
            <w:r>
              <w:t>≥80百分比</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艾滋病自愿检测咨询</w:t>
            </w:r>
          </w:p>
        </w:tc>
        <w:tc>
          <w:tcPr>
            <w:tcW w:w="2891" w:type="dxa"/>
            <w:vAlign w:val="center"/>
          </w:tcPr>
          <w:p>
            <w:pPr>
              <w:pStyle w:val="13"/>
            </w:pPr>
            <w:r>
              <w:t>明确艾滋病自愿检测咨询工作的完成时间节点</w:t>
            </w:r>
          </w:p>
        </w:tc>
        <w:tc>
          <w:tcPr>
            <w:tcW w:w="1276" w:type="dxa"/>
            <w:vAlign w:val="center"/>
          </w:tcPr>
          <w:p>
            <w:pPr>
              <w:pStyle w:val="13"/>
            </w:pPr>
            <w:r>
              <w:t>2026年12月31日前</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高危行为干预工作</w:t>
            </w:r>
          </w:p>
        </w:tc>
        <w:tc>
          <w:tcPr>
            <w:tcW w:w="2891" w:type="dxa"/>
            <w:vAlign w:val="center"/>
          </w:tcPr>
          <w:p>
            <w:pPr>
              <w:pStyle w:val="13"/>
            </w:pPr>
            <w:r>
              <w:t>明确高危行为干预工作的完成时间节点</w:t>
            </w:r>
          </w:p>
        </w:tc>
        <w:tc>
          <w:tcPr>
            <w:tcW w:w="1276" w:type="dxa"/>
            <w:vAlign w:val="center"/>
          </w:tcPr>
          <w:p>
            <w:pPr>
              <w:pStyle w:val="13"/>
            </w:pPr>
            <w:r>
              <w:t>2026年12月31日前</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每年辖区内儿童疫苗接种率</w:t>
            </w:r>
          </w:p>
        </w:tc>
        <w:tc>
          <w:tcPr>
            <w:tcW w:w="2891" w:type="dxa"/>
            <w:vAlign w:val="center"/>
          </w:tcPr>
          <w:p>
            <w:pPr>
              <w:pStyle w:val="13"/>
            </w:pPr>
            <w:r>
              <w:t>免疫规划疫苗接种率</w:t>
            </w:r>
          </w:p>
        </w:tc>
        <w:tc>
          <w:tcPr>
            <w:tcW w:w="1276" w:type="dxa"/>
            <w:vAlign w:val="center"/>
          </w:tcPr>
          <w:p>
            <w:pPr>
              <w:pStyle w:val="13"/>
            </w:pPr>
            <w:r>
              <w:t>≥90百分比</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资金到位率</w:t>
            </w:r>
          </w:p>
        </w:tc>
        <w:tc>
          <w:tcPr>
            <w:tcW w:w="2891" w:type="dxa"/>
            <w:vAlign w:val="center"/>
          </w:tcPr>
          <w:p>
            <w:pPr>
              <w:pStyle w:val="13"/>
            </w:pPr>
            <w:r>
              <w:t>资金到位率</w:t>
            </w:r>
          </w:p>
        </w:tc>
        <w:tc>
          <w:tcPr>
            <w:tcW w:w="1276" w:type="dxa"/>
            <w:vAlign w:val="center"/>
          </w:tcPr>
          <w:p>
            <w:pPr>
              <w:pStyle w:val="13"/>
            </w:pPr>
            <w:r>
              <w:t>100百分比</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肺结核治疗及时率</w:t>
            </w:r>
          </w:p>
        </w:tc>
        <w:tc>
          <w:tcPr>
            <w:tcW w:w="2891" w:type="dxa"/>
            <w:vAlign w:val="center"/>
          </w:tcPr>
          <w:p>
            <w:pPr>
              <w:pStyle w:val="13"/>
            </w:pPr>
            <w:r>
              <w:t>肺结核患者成功治疗</w:t>
            </w:r>
          </w:p>
        </w:tc>
        <w:tc>
          <w:tcPr>
            <w:tcW w:w="1276" w:type="dxa"/>
            <w:vAlign w:val="center"/>
          </w:tcPr>
          <w:p>
            <w:pPr>
              <w:pStyle w:val="13"/>
            </w:pPr>
            <w:r>
              <w:t>2026年12月31日前</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突发疫情及时处置率</w:t>
            </w:r>
          </w:p>
        </w:tc>
        <w:tc>
          <w:tcPr>
            <w:tcW w:w="2891" w:type="dxa"/>
            <w:vAlign w:val="center"/>
          </w:tcPr>
          <w:p>
            <w:pPr>
              <w:pStyle w:val="13"/>
            </w:pPr>
            <w:r>
              <w:t>突发疟疾疫情在报告1天得到处置的比例</w:t>
            </w:r>
          </w:p>
        </w:tc>
        <w:tc>
          <w:tcPr>
            <w:tcW w:w="1276" w:type="dxa"/>
            <w:vAlign w:val="center"/>
          </w:tcPr>
          <w:p>
            <w:pPr>
              <w:pStyle w:val="13"/>
            </w:pPr>
            <w:r>
              <w:t>100百分比</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资金成本</w:t>
            </w:r>
          </w:p>
        </w:tc>
        <w:tc>
          <w:tcPr>
            <w:tcW w:w="2891" w:type="dxa"/>
            <w:vAlign w:val="center"/>
          </w:tcPr>
          <w:p>
            <w:pPr>
              <w:pStyle w:val="13"/>
            </w:pPr>
            <w:r>
              <w:t>资金成本</w:t>
            </w:r>
          </w:p>
        </w:tc>
        <w:tc>
          <w:tcPr>
            <w:tcW w:w="1276" w:type="dxa"/>
            <w:vAlign w:val="center"/>
          </w:tcPr>
          <w:p>
            <w:pPr>
              <w:pStyle w:val="13"/>
            </w:pPr>
            <w:r>
              <w:t>51.51万</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项目资金使用成本</w:t>
            </w:r>
          </w:p>
        </w:tc>
        <w:tc>
          <w:tcPr>
            <w:tcW w:w="2891" w:type="dxa"/>
            <w:vAlign w:val="center"/>
          </w:tcPr>
          <w:p>
            <w:pPr>
              <w:pStyle w:val="13"/>
            </w:pPr>
            <w:r>
              <w:t>体现项目资金使用的合理性与规范性</w:t>
            </w:r>
          </w:p>
        </w:tc>
        <w:tc>
          <w:tcPr>
            <w:tcW w:w="1276" w:type="dxa"/>
            <w:vAlign w:val="center"/>
          </w:tcPr>
          <w:p>
            <w:pPr>
              <w:pStyle w:val="13"/>
            </w:pPr>
            <w:r>
              <w:t>控制在预算范围内</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社会效益指标</w:t>
            </w:r>
          </w:p>
        </w:tc>
        <w:tc>
          <w:tcPr>
            <w:tcW w:w="1332" w:type="dxa"/>
            <w:vAlign w:val="center"/>
          </w:tcPr>
          <w:p>
            <w:pPr>
              <w:pStyle w:val="13"/>
            </w:pPr>
            <w:r>
              <w:t>食源性疾病病例监测</w:t>
            </w:r>
          </w:p>
        </w:tc>
        <w:tc>
          <w:tcPr>
            <w:tcW w:w="2891" w:type="dxa"/>
            <w:vAlign w:val="center"/>
          </w:tcPr>
          <w:p>
            <w:pPr>
              <w:pStyle w:val="13"/>
            </w:pPr>
            <w:r>
              <w:t>食源性疾病病例监测报告发病率</w:t>
            </w:r>
          </w:p>
        </w:tc>
        <w:tc>
          <w:tcPr>
            <w:tcW w:w="1276" w:type="dxa"/>
            <w:vAlign w:val="center"/>
          </w:tcPr>
          <w:p>
            <w:pPr>
              <w:pStyle w:val="13"/>
            </w:pPr>
            <w:r>
              <w:t>≥140例/10万</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经济效益指标</w:t>
            </w:r>
          </w:p>
        </w:tc>
        <w:tc>
          <w:tcPr>
            <w:tcW w:w="1332" w:type="dxa"/>
            <w:vAlign w:val="center"/>
          </w:tcPr>
          <w:p>
            <w:pPr>
              <w:pStyle w:val="13"/>
            </w:pPr>
            <w:r>
              <w:t>保持艾滋病疫情控制在低流行水平</w:t>
            </w:r>
          </w:p>
        </w:tc>
        <w:tc>
          <w:tcPr>
            <w:tcW w:w="2891" w:type="dxa"/>
            <w:vAlign w:val="center"/>
          </w:tcPr>
          <w:p>
            <w:pPr>
              <w:pStyle w:val="13"/>
            </w:pPr>
            <w:r>
              <w:t>通过项目实施减少艾滋病新发病例，进而减轻社会经济负担</w:t>
            </w:r>
          </w:p>
        </w:tc>
        <w:tc>
          <w:tcPr>
            <w:tcW w:w="1276" w:type="dxa"/>
            <w:vAlign w:val="center"/>
          </w:tcPr>
          <w:p>
            <w:pPr>
              <w:pStyle w:val="13"/>
            </w:pPr>
            <w:r>
              <w:t>保持艾滋病疫情控制在低流行水平，减少相关医疗费用</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经济效益指标</w:t>
            </w:r>
          </w:p>
        </w:tc>
        <w:tc>
          <w:tcPr>
            <w:tcW w:w="1332" w:type="dxa"/>
            <w:vAlign w:val="center"/>
          </w:tcPr>
          <w:p>
            <w:pPr>
              <w:pStyle w:val="13"/>
            </w:pPr>
            <w:r>
              <w:t>申请资金金额满足开展结核防治监测工作</w:t>
            </w:r>
          </w:p>
        </w:tc>
        <w:tc>
          <w:tcPr>
            <w:tcW w:w="2891" w:type="dxa"/>
            <w:vAlign w:val="center"/>
          </w:tcPr>
          <w:p>
            <w:pPr>
              <w:pStyle w:val="13"/>
            </w:pPr>
            <w:r>
              <w:t>申请资金金额满足开展结核防治监测工作</w:t>
            </w:r>
          </w:p>
        </w:tc>
        <w:tc>
          <w:tcPr>
            <w:tcW w:w="1276" w:type="dxa"/>
            <w:vAlign w:val="center"/>
          </w:tcPr>
          <w:p>
            <w:pPr>
              <w:pStyle w:val="13"/>
            </w:pPr>
            <w:r>
              <w:t>申请资金金额满足开展结核防治监测工作</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创造健康环境</w:t>
            </w:r>
          </w:p>
        </w:tc>
        <w:tc>
          <w:tcPr>
            <w:tcW w:w="2891" w:type="dxa"/>
            <w:vAlign w:val="center"/>
          </w:tcPr>
          <w:p>
            <w:pPr>
              <w:pStyle w:val="13"/>
            </w:pPr>
            <w:r>
              <w:t>说明艾滋病防治工作对环境的积极影响</w:t>
            </w:r>
          </w:p>
        </w:tc>
        <w:tc>
          <w:tcPr>
            <w:tcW w:w="1276" w:type="dxa"/>
            <w:vAlign w:val="center"/>
          </w:tcPr>
          <w:p>
            <w:pPr>
              <w:pStyle w:val="13"/>
            </w:pPr>
            <w:r>
              <w:t>持续创造健康环境，减少污染</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保障结核病防治工作正常开展</w:t>
            </w:r>
          </w:p>
        </w:tc>
        <w:tc>
          <w:tcPr>
            <w:tcW w:w="2891" w:type="dxa"/>
            <w:vAlign w:val="center"/>
          </w:tcPr>
          <w:p>
            <w:pPr>
              <w:pStyle w:val="13"/>
            </w:pPr>
            <w:r>
              <w:t>肺结核患者成功治疗率</w:t>
            </w:r>
          </w:p>
        </w:tc>
        <w:tc>
          <w:tcPr>
            <w:tcW w:w="1276" w:type="dxa"/>
            <w:vAlign w:val="center"/>
          </w:tcPr>
          <w:p>
            <w:pPr>
              <w:pStyle w:val="13"/>
            </w:pPr>
            <w:r>
              <w:t>≥90百分比</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保持艾滋病处于低流行水平。</w:t>
            </w:r>
          </w:p>
        </w:tc>
        <w:tc>
          <w:tcPr>
            <w:tcW w:w="2891" w:type="dxa"/>
            <w:vAlign w:val="center"/>
          </w:tcPr>
          <w:p>
            <w:pPr>
              <w:pStyle w:val="13"/>
            </w:pPr>
            <w:r>
              <w:t>体现艾滋病防治工作的长期效果</w:t>
            </w:r>
          </w:p>
        </w:tc>
        <w:tc>
          <w:tcPr>
            <w:tcW w:w="1276" w:type="dxa"/>
            <w:vAlign w:val="center"/>
          </w:tcPr>
          <w:p>
            <w:pPr>
              <w:pStyle w:val="13"/>
            </w:pPr>
            <w:r>
              <w:t>通过持续开展艾滋病防治宣传、干预等工作，使艾滋病防治工作能够长期有效地推进开展</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控制传染病</w:t>
            </w:r>
          </w:p>
        </w:tc>
        <w:tc>
          <w:tcPr>
            <w:tcW w:w="2891" w:type="dxa"/>
            <w:vAlign w:val="center"/>
          </w:tcPr>
          <w:p>
            <w:pPr>
              <w:pStyle w:val="13"/>
            </w:pPr>
            <w:r>
              <w:t>降低传染病的发生</w:t>
            </w:r>
          </w:p>
        </w:tc>
        <w:tc>
          <w:tcPr>
            <w:tcW w:w="1276" w:type="dxa"/>
            <w:vAlign w:val="center"/>
          </w:tcPr>
          <w:p>
            <w:pPr>
              <w:pStyle w:val="13"/>
            </w:pPr>
            <w:r>
              <w:t>得到有效控制</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提高公众对疾病的认知</w:t>
            </w:r>
          </w:p>
        </w:tc>
        <w:tc>
          <w:tcPr>
            <w:tcW w:w="2891" w:type="dxa"/>
            <w:vAlign w:val="center"/>
          </w:tcPr>
          <w:p>
            <w:pPr>
              <w:pStyle w:val="13"/>
            </w:pPr>
            <w:r>
              <w:t>拓宽民众对疾病的认知与理解</w:t>
            </w:r>
          </w:p>
        </w:tc>
        <w:tc>
          <w:tcPr>
            <w:tcW w:w="1276" w:type="dxa"/>
            <w:vAlign w:val="center"/>
          </w:tcPr>
          <w:p>
            <w:pPr>
              <w:pStyle w:val="13"/>
            </w:pPr>
            <w:r>
              <w:t>拓宽民众对疾病的认知与理解</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提高人民群众健康水平</w:t>
            </w:r>
          </w:p>
        </w:tc>
        <w:tc>
          <w:tcPr>
            <w:tcW w:w="2891" w:type="dxa"/>
            <w:vAlign w:val="center"/>
          </w:tcPr>
          <w:p>
            <w:pPr>
              <w:pStyle w:val="13"/>
            </w:pPr>
            <w:r>
              <w:t>提高人民群众健康水平</w:t>
            </w:r>
          </w:p>
        </w:tc>
        <w:tc>
          <w:tcPr>
            <w:tcW w:w="1276" w:type="dxa"/>
            <w:vAlign w:val="center"/>
          </w:tcPr>
          <w:p>
            <w:pPr>
              <w:pStyle w:val="13"/>
            </w:pPr>
            <w:r>
              <w:t>提高人民群众健康水平</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艾滋病防治服务满意和重点人群宣传满意度</w:t>
            </w:r>
          </w:p>
        </w:tc>
        <w:tc>
          <w:tcPr>
            <w:tcW w:w="2891" w:type="dxa"/>
            <w:vAlign w:val="center"/>
          </w:tcPr>
          <w:p>
            <w:pPr>
              <w:pStyle w:val="13"/>
            </w:pPr>
            <w:r>
              <w:t>反映艾滋病自愿咨询检测者、娱乐场所从业人员等相关服务对象对所接受的艾滋病防治服务（如咨询、检测、干预等）的满意程度；重点人群对艾滋病性病防治服务满意度</w:t>
            </w:r>
          </w:p>
        </w:tc>
        <w:tc>
          <w:tcPr>
            <w:tcW w:w="1276" w:type="dxa"/>
            <w:vAlign w:val="center"/>
          </w:tcPr>
          <w:p>
            <w:pPr>
              <w:pStyle w:val="13"/>
            </w:pPr>
            <w:r>
              <w:t>按要求开展工作</w:t>
            </w:r>
          </w:p>
        </w:tc>
        <w:tc>
          <w:tcPr>
            <w:tcW w:w="1843" w:type="dxa"/>
            <w:vAlign w:val="center"/>
          </w:tcPr>
          <w:p>
            <w:pPr>
              <w:pStyle w:val="13"/>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服务对象满意度指标</w:t>
            </w:r>
          </w:p>
        </w:tc>
        <w:tc>
          <w:tcPr>
            <w:tcW w:w="1332" w:type="dxa"/>
            <w:vAlign w:val="center"/>
          </w:tcPr>
          <w:p>
            <w:pPr>
              <w:pStyle w:val="13"/>
            </w:pPr>
            <w:r>
              <w:t>服务对象满意度</w:t>
            </w:r>
          </w:p>
        </w:tc>
        <w:tc>
          <w:tcPr>
            <w:tcW w:w="2891" w:type="dxa"/>
            <w:vAlign w:val="center"/>
          </w:tcPr>
          <w:p>
            <w:pPr>
              <w:pStyle w:val="13"/>
            </w:pPr>
            <w:r>
              <w:t>服务对象满意度</w:t>
            </w:r>
          </w:p>
        </w:tc>
        <w:tc>
          <w:tcPr>
            <w:tcW w:w="1276" w:type="dxa"/>
            <w:vAlign w:val="center"/>
          </w:tcPr>
          <w:p>
            <w:pPr>
              <w:pStyle w:val="13"/>
            </w:pPr>
            <w:r>
              <w:t>按要求开展工作</w:t>
            </w:r>
          </w:p>
        </w:tc>
        <w:tc>
          <w:tcPr>
            <w:tcW w:w="1843" w:type="dxa"/>
            <w:vAlign w:val="center"/>
          </w:tcPr>
          <w:p>
            <w:pPr>
              <w:pStyle w:val="13"/>
            </w:pPr>
            <w:r>
              <w:t>石财社〔2025〕115号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9" w:name="_Toc_4_4_0000000010"/>
      <w:r>
        <w:rPr>
          <w:rFonts w:ascii="方正仿宋_GBK" w:hAnsi="方正仿宋_GBK" w:eastAsia="方正仿宋_GBK" w:cs="方正仿宋_GBK"/>
          <w:color w:val="000000"/>
          <w:sz w:val="28"/>
        </w:rPr>
        <w:t>7.实验室相关耗材经费绩效目标表</w:t>
      </w:r>
      <w:bookmarkEnd w:id="9"/>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364001石家庄市桥西区疾病预防控制中心本级</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13010426P00976210019R</w:t>
            </w:r>
          </w:p>
        </w:tc>
        <w:tc>
          <w:tcPr>
            <w:tcW w:w="1587" w:type="dxa"/>
            <w:vAlign w:val="center"/>
          </w:tcPr>
          <w:p>
            <w:pPr>
              <w:pStyle w:val="14"/>
            </w:pPr>
            <w:r>
              <w:t>项目名称</w:t>
            </w:r>
          </w:p>
        </w:tc>
        <w:tc>
          <w:tcPr>
            <w:tcW w:w="4423" w:type="dxa"/>
            <w:gridSpan w:val="3"/>
            <w:vAlign w:val="center"/>
          </w:tcPr>
          <w:p>
            <w:pPr>
              <w:pStyle w:val="13"/>
            </w:pPr>
            <w:r>
              <w:t>实验室相关耗材经费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16.00</w:t>
            </w:r>
          </w:p>
        </w:tc>
        <w:tc>
          <w:tcPr>
            <w:tcW w:w="1587" w:type="dxa"/>
            <w:vAlign w:val="center"/>
          </w:tcPr>
          <w:p>
            <w:pPr>
              <w:pStyle w:val="14"/>
            </w:pPr>
            <w:r>
              <w:t>其中：财政    资金</w:t>
            </w:r>
          </w:p>
        </w:tc>
        <w:tc>
          <w:tcPr>
            <w:tcW w:w="1304" w:type="dxa"/>
            <w:vAlign w:val="center"/>
          </w:tcPr>
          <w:p>
            <w:pPr>
              <w:pStyle w:val="13"/>
            </w:pPr>
            <w:r>
              <w:t>16.00</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主要用于实验室检验，完成饮用水、食品、公共场所、职业病、地方病等健康危害因素监测工作，完成消毒灭菌效果检测处置传染病疫情、食物中毒、饮用水污染等突发公共卫生事件，为突发公共卫生事件的应急处置、 传染性疾病的诊断提供技术支撑，开展常规微生物和寄生虫检测检验。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1.完成饮用水、食品、公共场所、职业病、地方病等健康危害因素监测工作</w:t>
            </w:r>
          </w:p>
          <w:p>
            <w:pPr>
              <w:pStyle w:val="13"/>
            </w:pPr>
            <w:r>
              <w:t>2.完成消毒灭菌效果检测处置传染病疫情、食物中毒、饮用水污染等突发公共卫生事件</w:t>
            </w:r>
          </w:p>
          <w:p>
            <w:pPr>
              <w:pStyle w:val="13"/>
            </w:pPr>
            <w:r>
              <w:t>3.为突发公共卫生事件的应急处置、 传染性疾病的诊断提供技术支撑</w:t>
            </w:r>
          </w:p>
          <w:p>
            <w:pPr>
              <w:pStyle w:val="13"/>
            </w:pPr>
            <w:r>
              <w:t>4.开展常规微生物和寄生虫检测检验</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样品检测率</w:t>
            </w:r>
          </w:p>
        </w:tc>
        <w:tc>
          <w:tcPr>
            <w:tcW w:w="2891" w:type="dxa"/>
            <w:vAlign w:val="center"/>
          </w:tcPr>
          <w:p>
            <w:pPr>
              <w:pStyle w:val="13"/>
            </w:pPr>
            <w:r>
              <w:t>按实验室检测规程完成检测任务</w:t>
            </w:r>
          </w:p>
        </w:tc>
        <w:tc>
          <w:tcPr>
            <w:tcW w:w="1276" w:type="dxa"/>
            <w:vAlign w:val="center"/>
          </w:tcPr>
          <w:p>
            <w:pPr>
              <w:pStyle w:val="13"/>
            </w:pPr>
            <w:r>
              <w:t>100百分比</w:t>
            </w:r>
          </w:p>
        </w:tc>
        <w:tc>
          <w:tcPr>
            <w:tcW w:w="1843" w:type="dxa"/>
            <w:vAlign w:val="center"/>
          </w:tcPr>
          <w:p>
            <w:pPr>
              <w:pStyle w:val="13"/>
            </w:pPr>
            <w:r>
              <w:t>《各级疾病预防控制中心基本职责》   （卫疾控发[2008]68号）；《疾病预防控制机构实验室仪器设备配置和管理》S/T10001-2023；《卫生监督现场快速检测通用技术指南》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样品质检合格率</w:t>
            </w:r>
          </w:p>
        </w:tc>
        <w:tc>
          <w:tcPr>
            <w:tcW w:w="2891" w:type="dxa"/>
            <w:vAlign w:val="center"/>
          </w:tcPr>
          <w:p>
            <w:pPr>
              <w:pStyle w:val="13"/>
            </w:pPr>
            <w:r>
              <w:t>实验质量符合实验室认证标准</w:t>
            </w:r>
          </w:p>
        </w:tc>
        <w:tc>
          <w:tcPr>
            <w:tcW w:w="1276" w:type="dxa"/>
            <w:vAlign w:val="center"/>
          </w:tcPr>
          <w:p>
            <w:pPr>
              <w:pStyle w:val="13"/>
            </w:pPr>
            <w:r>
              <w:t>100百分比</w:t>
            </w:r>
          </w:p>
        </w:tc>
        <w:tc>
          <w:tcPr>
            <w:tcW w:w="1843" w:type="dxa"/>
            <w:vAlign w:val="center"/>
          </w:tcPr>
          <w:p>
            <w:pPr>
              <w:pStyle w:val="13"/>
            </w:pPr>
            <w:r>
              <w:t>《各级疾病预防控制中心基本职责》   （卫疾控发[2008]68号）；《疾病预防控制机构实验室仪器设备配置和管理》S/T10001-2023；《卫生监督现场快速检测通用技术指南》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实验按时完成率</w:t>
            </w:r>
          </w:p>
        </w:tc>
        <w:tc>
          <w:tcPr>
            <w:tcW w:w="2891" w:type="dxa"/>
            <w:vAlign w:val="center"/>
          </w:tcPr>
          <w:p>
            <w:pPr>
              <w:pStyle w:val="13"/>
            </w:pPr>
            <w:r>
              <w:t>按实验室认证要求时限完成检测项目</w:t>
            </w:r>
          </w:p>
        </w:tc>
        <w:tc>
          <w:tcPr>
            <w:tcW w:w="1276" w:type="dxa"/>
            <w:vAlign w:val="center"/>
          </w:tcPr>
          <w:p>
            <w:pPr>
              <w:pStyle w:val="13"/>
            </w:pPr>
            <w:r>
              <w:t>100百分比</w:t>
            </w:r>
          </w:p>
        </w:tc>
        <w:tc>
          <w:tcPr>
            <w:tcW w:w="1843" w:type="dxa"/>
            <w:vAlign w:val="center"/>
          </w:tcPr>
          <w:p>
            <w:pPr>
              <w:pStyle w:val="13"/>
            </w:pPr>
            <w:r>
              <w:t>《各级疾病预防控制中心基本职责》   （卫疾控发[2008]68号）；《疾病预防控制机构实验室仪器设备配置和管理》S/T10001-2023；《卫生监督现场快速检测通用技术指南》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按实验规程控制成本</w:t>
            </w:r>
          </w:p>
        </w:tc>
        <w:tc>
          <w:tcPr>
            <w:tcW w:w="2891" w:type="dxa"/>
            <w:vAlign w:val="center"/>
          </w:tcPr>
          <w:p>
            <w:pPr>
              <w:pStyle w:val="13"/>
            </w:pPr>
            <w:r>
              <w:t>严格按实验规程控制成本</w:t>
            </w:r>
          </w:p>
        </w:tc>
        <w:tc>
          <w:tcPr>
            <w:tcW w:w="1276" w:type="dxa"/>
            <w:vAlign w:val="center"/>
          </w:tcPr>
          <w:p>
            <w:pPr>
              <w:pStyle w:val="13"/>
            </w:pPr>
            <w:r>
              <w:t>保证实验前提最低限度控制成本</w:t>
            </w:r>
          </w:p>
        </w:tc>
        <w:tc>
          <w:tcPr>
            <w:tcW w:w="1843" w:type="dxa"/>
            <w:vAlign w:val="center"/>
          </w:tcPr>
          <w:p>
            <w:pPr>
              <w:pStyle w:val="13"/>
            </w:pPr>
            <w:r>
              <w:t>《各级疾病预防控制中心基本职责》   （卫疾控发[2008]68号）；《疾病预防控制机构实验室仪器设备配置和管理》S/T10001-2023；《卫生监督现场快速检测通用技术指南》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经济效益指标</w:t>
            </w:r>
          </w:p>
        </w:tc>
        <w:tc>
          <w:tcPr>
            <w:tcW w:w="1332" w:type="dxa"/>
            <w:vAlign w:val="center"/>
          </w:tcPr>
          <w:p>
            <w:pPr>
              <w:pStyle w:val="13"/>
            </w:pPr>
            <w:r>
              <w:t>经济效益指标</w:t>
            </w:r>
          </w:p>
        </w:tc>
        <w:tc>
          <w:tcPr>
            <w:tcW w:w="2891" w:type="dxa"/>
            <w:vAlign w:val="center"/>
          </w:tcPr>
          <w:p>
            <w:pPr>
              <w:pStyle w:val="13"/>
            </w:pPr>
            <w:r>
              <w:t>提供样品数值指标</w:t>
            </w:r>
          </w:p>
        </w:tc>
        <w:tc>
          <w:tcPr>
            <w:tcW w:w="1276" w:type="dxa"/>
            <w:vAlign w:val="center"/>
          </w:tcPr>
          <w:p>
            <w:pPr>
              <w:pStyle w:val="13"/>
            </w:pPr>
            <w:r>
              <w:t>数值真实准确</w:t>
            </w:r>
          </w:p>
        </w:tc>
        <w:tc>
          <w:tcPr>
            <w:tcW w:w="1843" w:type="dxa"/>
            <w:vAlign w:val="center"/>
          </w:tcPr>
          <w:p>
            <w:pPr>
              <w:pStyle w:val="13"/>
            </w:pPr>
            <w:r>
              <w:t>《各级疾病预防控制中心基本职责》   （卫疾控发[2008]68号）；《疾病预防控制机构实验室仪器设备配置和管理》S/T10001-2023；《卫生监督现场快速检测通用技术指南》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社会效益指标</w:t>
            </w:r>
          </w:p>
        </w:tc>
        <w:tc>
          <w:tcPr>
            <w:tcW w:w="1332" w:type="dxa"/>
            <w:vAlign w:val="center"/>
          </w:tcPr>
          <w:p>
            <w:pPr>
              <w:pStyle w:val="13"/>
            </w:pPr>
            <w:r>
              <w:t>社会效益指标</w:t>
            </w:r>
          </w:p>
        </w:tc>
        <w:tc>
          <w:tcPr>
            <w:tcW w:w="2891" w:type="dxa"/>
            <w:vAlign w:val="center"/>
          </w:tcPr>
          <w:p>
            <w:pPr>
              <w:pStyle w:val="13"/>
            </w:pPr>
            <w:r>
              <w:t>提供检测服务</w:t>
            </w:r>
          </w:p>
        </w:tc>
        <w:tc>
          <w:tcPr>
            <w:tcW w:w="1276" w:type="dxa"/>
            <w:vAlign w:val="center"/>
          </w:tcPr>
          <w:p>
            <w:pPr>
              <w:pStyle w:val="13"/>
            </w:pPr>
            <w:r>
              <w:t>为社会提供检测服务</w:t>
            </w:r>
          </w:p>
        </w:tc>
        <w:tc>
          <w:tcPr>
            <w:tcW w:w="1843" w:type="dxa"/>
            <w:vAlign w:val="center"/>
          </w:tcPr>
          <w:p>
            <w:pPr>
              <w:pStyle w:val="13"/>
            </w:pPr>
            <w:r>
              <w:t>《各级疾病预防控制中心基本职责》   （卫疾控发[2008]68号）；《疾病预防控制机构实验室仪器设备配置和管理》S/T10001-2023；《卫生监督现场快速检测通用技术指南》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生态效益指标</w:t>
            </w:r>
          </w:p>
        </w:tc>
        <w:tc>
          <w:tcPr>
            <w:tcW w:w="2891" w:type="dxa"/>
            <w:vAlign w:val="center"/>
          </w:tcPr>
          <w:p>
            <w:pPr>
              <w:pStyle w:val="13"/>
            </w:pPr>
            <w:r>
              <w:t>按标准处理废弃物</w:t>
            </w:r>
          </w:p>
        </w:tc>
        <w:tc>
          <w:tcPr>
            <w:tcW w:w="1276" w:type="dxa"/>
            <w:vAlign w:val="center"/>
          </w:tcPr>
          <w:p>
            <w:pPr>
              <w:pStyle w:val="13"/>
            </w:pPr>
            <w:r>
              <w:t>废弃物无害化处理率=100%</w:t>
            </w:r>
          </w:p>
        </w:tc>
        <w:tc>
          <w:tcPr>
            <w:tcW w:w="1843" w:type="dxa"/>
            <w:vAlign w:val="center"/>
          </w:tcPr>
          <w:p>
            <w:pPr>
              <w:pStyle w:val="13"/>
            </w:pPr>
            <w:r>
              <w:t>《各级疾病预防控制中心基本职责》   （卫疾控发[2008]68号）；《疾病预防控制机构实验室仪器设备配置和管理》S/T10001-2023；《卫生监督现场快速检测通用技术指南》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可持续影响指标</w:t>
            </w:r>
          </w:p>
        </w:tc>
        <w:tc>
          <w:tcPr>
            <w:tcW w:w="2891" w:type="dxa"/>
            <w:vAlign w:val="center"/>
          </w:tcPr>
          <w:p>
            <w:pPr>
              <w:pStyle w:val="13"/>
            </w:pPr>
            <w:r>
              <w:t>按标准维持检测能力</w:t>
            </w:r>
          </w:p>
        </w:tc>
        <w:tc>
          <w:tcPr>
            <w:tcW w:w="1276" w:type="dxa"/>
            <w:vAlign w:val="center"/>
          </w:tcPr>
          <w:p>
            <w:pPr>
              <w:pStyle w:val="13"/>
            </w:pPr>
            <w:r>
              <w:t>维持检测能力</w:t>
            </w:r>
          </w:p>
        </w:tc>
        <w:tc>
          <w:tcPr>
            <w:tcW w:w="1843" w:type="dxa"/>
            <w:vAlign w:val="center"/>
          </w:tcPr>
          <w:p>
            <w:pPr>
              <w:pStyle w:val="13"/>
            </w:pPr>
            <w:r>
              <w:t>《各级疾病预防控制中心基本职责》   （卫疾控发[2008]68号）；《疾病预防控制机构实验室仪器设备配置和管理》S/T10001-2023；《卫生监督现场快速检测通用技术指南》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服务对象满意度</w:t>
            </w:r>
          </w:p>
        </w:tc>
        <w:tc>
          <w:tcPr>
            <w:tcW w:w="2891" w:type="dxa"/>
            <w:vAlign w:val="center"/>
          </w:tcPr>
          <w:p>
            <w:pPr>
              <w:pStyle w:val="13"/>
            </w:pPr>
            <w:r>
              <w:t>检测对象对检验结果和提供检测服务满意</w:t>
            </w:r>
          </w:p>
        </w:tc>
        <w:tc>
          <w:tcPr>
            <w:tcW w:w="1276" w:type="dxa"/>
            <w:vAlign w:val="center"/>
          </w:tcPr>
          <w:p>
            <w:pPr>
              <w:pStyle w:val="13"/>
            </w:pPr>
            <w:r>
              <w:t>检测对象对检验结果和提供检测服务满意</w:t>
            </w:r>
          </w:p>
        </w:tc>
        <w:tc>
          <w:tcPr>
            <w:tcW w:w="1843" w:type="dxa"/>
            <w:vAlign w:val="center"/>
          </w:tcPr>
          <w:p>
            <w:pPr>
              <w:pStyle w:val="13"/>
            </w:pPr>
            <w:r>
              <w:t>《各级疾病预防控制中心基本职责》   （卫疾控发[2008]68号）；《疾病预防控制机构实验室仪器设备配置和管理》S/T10001-2023；《卫生监督现场快速检测通用技术指南》</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0" w:name="_Toc_4_4_0000000011"/>
      <w:r>
        <w:rPr>
          <w:rFonts w:ascii="方正仿宋_GBK" w:hAnsi="方正仿宋_GBK" w:eastAsia="方正仿宋_GBK" w:cs="方正仿宋_GBK"/>
          <w:color w:val="000000"/>
          <w:sz w:val="28"/>
        </w:rPr>
        <w:t>8.突发公共卫生事件应急处理及演练绩效目标表</w:t>
      </w:r>
      <w:bookmarkEnd w:id="10"/>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364001石家庄市桥西区疾病预防控制中心本级</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13010426P00976210024K</w:t>
            </w:r>
          </w:p>
        </w:tc>
        <w:tc>
          <w:tcPr>
            <w:tcW w:w="1587" w:type="dxa"/>
            <w:vAlign w:val="center"/>
          </w:tcPr>
          <w:p>
            <w:pPr>
              <w:pStyle w:val="14"/>
            </w:pPr>
            <w:r>
              <w:t>项目名称</w:t>
            </w:r>
          </w:p>
        </w:tc>
        <w:tc>
          <w:tcPr>
            <w:tcW w:w="4423" w:type="dxa"/>
            <w:gridSpan w:val="3"/>
            <w:vAlign w:val="center"/>
          </w:tcPr>
          <w:p>
            <w:pPr>
              <w:pStyle w:val="13"/>
            </w:pPr>
            <w:r>
              <w:t>突发公共卫生事件应急处理及演练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2.00</w:t>
            </w:r>
          </w:p>
        </w:tc>
        <w:tc>
          <w:tcPr>
            <w:tcW w:w="1587" w:type="dxa"/>
            <w:vAlign w:val="center"/>
          </w:tcPr>
          <w:p>
            <w:pPr>
              <w:pStyle w:val="14"/>
            </w:pPr>
            <w:r>
              <w:t>其中：财政    资金</w:t>
            </w:r>
          </w:p>
        </w:tc>
        <w:tc>
          <w:tcPr>
            <w:tcW w:w="1304" w:type="dxa"/>
            <w:vAlign w:val="center"/>
          </w:tcPr>
          <w:p>
            <w:pPr>
              <w:pStyle w:val="13"/>
            </w:pPr>
            <w:r>
              <w:t>2.00</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主要用于开展卫生应急队伍培训、演练以及物资储备；开展突发公共卫生事件应急处置。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1.开展卫生应急队伍培训、演练以及物资储备；开展突发公共卫生事件应急处置。</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模拟演练指数</w:t>
            </w:r>
          </w:p>
        </w:tc>
        <w:tc>
          <w:tcPr>
            <w:tcW w:w="2891" w:type="dxa"/>
            <w:vAlign w:val="center"/>
          </w:tcPr>
          <w:p>
            <w:pPr>
              <w:pStyle w:val="13"/>
            </w:pPr>
            <w:r>
              <w:t>按时完成演练次数</w:t>
            </w:r>
          </w:p>
        </w:tc>
        <w:tc>
          <w:tcPr>
            <w:tcW w:w="1276" w:type="dxa"/>
            <w:vAlign w:val="center"/>
          </w:tcPr>
          <w:p>
            <w:pPr>
              <w:pStyle w:val="13"/>
            </w:pPr>
            <w:r>
              <w:t>≥1次</w:t>
            </w:r>
          </w:p>
        </w:tc>
        <w:tc>
          <w:tcPr>
            <w:tcW w:w="1843" w:type="dxa"/>
            <w:vAlign w:val="center"/>
          </w:tcPr>
          <w:p>
            <w:pPr>
              <w:pStyle w:val="13"/>
            </w:pPr>
            <w:r>
              <w:t>（石卫应急函【2023】2号）</w:t>
            </w:r>
          </w:p>
          <w:p>
            <w:pPr>
              <w:pStyle w:val="13"/>
            </w:pPr>
            <w:r>
              <w:t>（国疾控综应急函【2023】291号）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暴发疫情调查率</w:t>
            </w:r>
          </w:p>
        </w:tc>
        <w:tc>
          <w:tcPr>
            <w:tcW w:w="2891" w:type="dxa"/>
            <w:vAlign w:val="center"/>
          </w:tcPr>
          <w:p>
            <w:pPr>
              <w:pStyle w:val="13"/>
            </w:pPr>
            <w:r>
              <w:t>及时对暴发疫情进行调查</w:t>
            </w:r>
          </w:p>
        </w:tc>
        <w:tc>
          <w:tcPr>
            <w:tcW w:w="1276" w:type="dxa"/>
            <w:vAlign w:val="center"/>
          </w:tcPr>
          <w:p>
            <w:pPr>
              <w:pStyle w:val="13"/>
            </w:pPr>
            <w:r>
              <w:t>100百分比</w:t>
            </w:r>
          </w:p>
        </w:tc>
        <w:tc>
          <w:tcPr>
            <w:tcW w:w="1843" w:type="dxa"/>
            <w:vAlign w:val="center"/>
          </w:tcPr>
          <w:p>
            <w:pPr>
              <w:pStyle w:val="13"/>
            </w:pPr>
            <w:r>
              <w:t>（石卫应急函【2023】2号）</w:t>
            </w:r>
          </w:p>
          <w:p>
            <w:pPr>
              <w:pStyle w:val="13"/>
            </w:pPr>
            <w:r>
              <w:t>（国疾控综应急函【2023】291号）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突发公共卫生事件报告及时率</w:t>
            </w:r>
          </w:p>
        </w:tc>
        <w:tc>
          <w:tcPr>
            <w:tcW w:w="2891" w:type="dxa"/>
            <w:vAlign w:val="center"/>
          </w:tcPr>
          <w:p>
            <w:pPr>
              <w:pStyle w:val="13"/>
            </w:pPr>
            <w:r>
              <w:t>按突发公共卫生事件报告时限及时报告</w:t>
            </w:r>
          </w:p>
        </w:tc>
        <w:tc>
          <w:tcPr>
            <w:tcW w:w="1276" w:type="dxa"/>
            <w:vAlign w:val="center"/>
          </w:tcPr>
          <w:p>
            <w:pPr>
              <w:pStyle w:val="13"/>
            </w:pPr>
            <w:r>
              <w:t>100百分比</w:t>
            </w:r>
          </w:p>
        </w:tc>
        <w:tc>
          <w:tcPr>
            <w:tcW w:w="1843" w:type="dxa"/>
            <w:vAlign w:val="center"/>
          </w:tcPr>
          <w:p>
            <w:pPr>
              <w:pStyle w:val="13"/>
            </w:pPr>
            <w:r>
              <w:t>（石卫应急函【2023】2号）</w:t>
            </w:r>
          </w:p>
          <w:p>
            <w:pPr>
              <w:pStyle w:val="13"/>
            </w:pPr>
            <w:r>
              <w:t>（国疾控综应急函【2023】291号）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应急队伍演练场地物品各项成本</w:t>
            </w:r>
          </w:p>
        </w:tc>
        <w:tc>
          <w:tcPr>
            <w:tcW w:w="2891" w:type="dxa"/>
            <w:vAlign w:val="center"/>
          </w:tcPr>
          <w:p>
            <w:pPr>
              <w:pStyle w:val="13"/>
            </w:pPr>
            <w:r>
              <w:t>严格控制成本在预算范围内</w:t>
            </w:r>
          </w:p>
        </w:tc>
        <w:tc>
          <w:tcPr>
            <w:tcW w:w="1276" w:type="dxa"/>
            <w:vAlign w:val="center"/>
          </w:tcPr>
          <w:p>
            <w:pPr>
              <w:pStyle w:val="13"/>
            </w:pPr>
            <w:r>
              <w:t>≤0.5万元/次</w:t>
            </w:r>
          </w:p>
        </w:tc>
        <w:tc>
          <w:tcPr>
            <w:tcW w:w="1843" w:type="dxa"/>
            <w:vAlign w:val="center"/>
          </w:tcPr>
          <w:p>
            <w:pPr>
              <w:pStyle w:val="13"/>
            </w:pPr>
            <w:r>
              <w:t>（石卫应急函【2023】2号）</w:t>
            </w:r>
          </w:p>
          <w:p>
            <w:pPr>
              <w:pStyle w:val="13"/>
            </w:pPr>
            <w:r>
              <w:t>（国疾控综应急函【2023】291号）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3"/>
            </w:pPr>
            <w:r>
              <w:t>可持续影响指标</w:t>
            </w:r>
          </w:p>
        </w:tc>
        <w:tc>
          <w:tcPr>
            <w:tcW w:w="1332" w:type="dxa"/>
            <w:vAlign w:val="center"/>
          </w:tcPr>
          <w:p>
            <w:pPr>
              <w:pStyle w:val="13"/>
            </w:pPr>
            <w:r>
              <w:t>应急处置能力提升，开展应急培训</w:t>
            </w:r>
          </w:p>
        </w:tc>
        <w:tc>
          <w:tcPr>
            <w:tcW w:w="2891" w:type="dxa"/>
            <w:vAlign w:val="center"/>
          </w:tcPr>
          <w:p>
            <w:pPr>
              <w:pStyle w:val="13"/>
            </w:pPr>
            <w:r>
              <w:t>按时开展应急培训</w:t>
            </w:r>
          </w:p>
        </w:tc>
        <w:tc>
          <w:tcPr>
            <w:tcW w:w="1276" w:type="dxa"/>
            <w:vAlign w:val="center"/>
          </w:tcPr>
          <w:p>
            <w:pPr>
              <w:pStyle w:val="13"/>
            </w:pPr>
            <w:r>
              <w:t>≥1次</w:t>
            </w:r>
          </w:p>
        </w:tc>
        <w:tc>
          <w:tcPr>
            <w:tcW w:w="1843" w:type="dxa"/>
            <w:vAlign w:val="center"/>
          </w:tcPr>
          <w:p>
            <w:pPr>
              <w:pStyle w:val="13"/>
            </w:pPr>
            <w:r>
              <w:t>（石卫应急函【2023】2号）</w:t>
            </w:r>
          </w:p>
          <w:p>
            <w:pPr>
              <w:pStyle w:val="13"/>
            </w:pPr>
            <w:r>
              <w:t>（国疾控综应急函【2023】291号）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服务对象满意度</w:t>
            </w:r>
          </w:p>
        </w:tc>
        <w:tc>
          <w:tcPr>
            <w:tcW w:w="2891" w:type="dxa"/>
            <w:vAlign w:val="center"/>
          </w:tcPr>
          <w:p>
            <w:pPr>
              <w:pStyle w:val="13"/>
            </w:pPr>
            <w:r>
              <w:t>重点人群对所提供服务的满意程度</w:t>
            </w:r>
          </w:p>
        </w:tc>
        <w:tc>
          <w:tcPr>
            <w:tcW w:w="1276" w:type="dxa"/>
            <w:vAlign w:val="center"/>
          </w:tcPr>
          <w:p>
            <w:pPr>
              <w:pStyle w:val="13"/>
            </w:pPr>
            <w:r>
              <w:t>≥90百分比</w:t>
            </w:r>
          </w:p>
        </w:tc>
        <w:tc>
          <w:tcPr>
            <w:tcW w:w="1843" w:type="dxa"/>
            <w:vAlign w:val="center"/>
          </w:tcPr>
          <w:p>
            <w:pPr>
              <w:pStyle w:val="13"/>
            </w:pPr>
            <w:r>
              <w:t>（石卫应急函【2023】2号）</w:t>
            </w:r>
          </w:p>
          <w:p>
            <w:pPr>
              <w:pStyle w:val="13"/>
            </w:pPr>
            <w:r>
              <w:t>（国疾控综应急函【2023】291号）</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1" w:name="_Toc_4_4_0000000012"/>
      <w:r>
        <w:rPr>
          <w:rFonts w:ascii="方正仿宋_GBK" w:hAnsi="方正仿宋_GBK" w:eastAsia="方正仿宋_GBK" w:cs="方正仿宋_GBK"/>
          <w:color w:val="000000"/>
          <w:sz w:val="28"/>
        </w:rPr>
        <w:t>9.卫生监督执法人员服装经费绩效目标表</w:t>
      </w:r>
      <w:bookmarkEnd w:id="11"/>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364001石家庄市桥西区疾病预防控制中心本级</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13010426P00987010178A</w:t>
            </w:r>
          </w:p>
        </w:tc>
        <w:tc>
          <w:tcPr>
            <w:tcW w:w="1587" w:type="dxa"/>
            <w:vAlign w:val="center"/>
          </w:tcPr>
          <w:p>
            <w:pPr>
              <w:pStyle w:val="14"/>
            </w:pPr>
            <w:r>
              <w:t>项目名称</w:t>
            </w:r>
          </w:p>
        </w:tc>
        <w:tc>
          <w:tcPr>
            <w:tcW w:w="4423" w:type="dxa"/>
            <w:gridSpan w:val="3"/>
            <w:vAlign w:val="center"/>
          </w:tcPr>
          <w:p>
            <w:pPr>
              <w:pStyle w:val="13"/>
            </w:pPr>
            <w:r>
              <w:t>卫生监督执法人员服装经费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12.75</w:t>
            </w:r>
          </w:p>
        </w:tc>
        <w:tc>
          <w:tcPr>
            <w:tcW w:w="1587" w:type="dxa"/>
            <w:vAlign w:val="center"/>
          </w:tcPr>
          <w:p>
            <w:pPr>
              <w:pStyle w:val="14"/>
            </w:pPr>
            <w:r>
              <w:t>其中：财政    资金</w:t>
            </w:r>
          </w:p>
        </w:tc>
        <w:tc>
          <w:tcPr>
            <w:tcW w:w="1304" w:type="dxa"/>
            <w:vAlign w:val="center"/>
          </w:tcPr>
          <w:p>
            <w:pPr>
              <w:pStyle w:val="13"/>
            </w:pPr>
            <w:r>
              <w:t>12.75</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主要用于采购执法人员服装，树立卫生监督规范执法形象，维护执法队伍着装统一性和严肃性。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1.树立卫生监督规范执法形象</w:t>
            </w:r>
          </w:p>
          <w:p>
            <w:pPr>
              <w:pStyle w:val="13"/>
            </w:pPr>
            <w:r>
              <w:t>2.维护执法队伍着装统一性和严肃性</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购置数量</w:t>
            </w:r>
          </w:p>
        </w:tc>
        <w:tc>
          <w:tcPr>
            <w:tcW w:w="2891" w:type="dxa"/>
            <w:vAlign w:val="center"/>
          </w:tcPr>
          <w:p>
            <w:pPr>
              <w:pStyle w:val="13"/>
            </w:pPr>
            <w:r>
              <w:t>按项目规定数量完成</w:t>
            </w:r>
          </w:p>
        </w:tc>
        <w:tc>
          <w:tcPr>
            <w:tcW w:w="1276" w:type="dxa"/>
            <w:vAlign w:val="center"/>
          </w:tcPr>
          <w:p>
            <w:pPr>
              <w:pStyle w:val="13"/>
            </w:pPr>
            <w:r>
              <w:t>22套</w:t>
            </w:r>
          </w:p>
        </w:tc>
        <w:tc>
          <w:tcPr>
            <w:tcW w:w="1843" w:type="dxa"/>
            <w:vAlign w:val="center"/>
          </w:tcPr>
          <w:p>
            <w:pPr>
              <w:pStyle w:val="13"/>
            </w:pPr>
            <w:r>
              <w:t>关于进一步规范卫生监督制、着装管理的通知（卫办法监发【2003】103号）附件卫生监督制、着装管理规定第一项第（三）条、第四项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质量达标率</w:t>
            </w:r>
          </w:p>
        </w:tc>
        <w:tc>
          <w:tcPr>
            <w:tcW w:w="2891" w:type="dxa"/>
            <w:vAlign w:val="center"/>
          </w:tcPr>
          <w:p>
            <w:pPr>
              <w:pStyle w:val="13"/>
            </w:pPr>
            <w:r>
              <w:t>产品半年内无质量问题</w:t>
            </w:r>
          </w:p>
        </w:tc>
        <w:tc>
          <w:tcPr>
            <w:tcW w:w="1276" w:type="dxa"/>
            <w:vAlign w:val="center"/>
          </w:tcPr>
          <w:p>
            <w:pPr>
              <w:pStyle w:val="13"/>
            </w:pPr>
            <w:r>
              <w:t>≥95百分比</w:t>
            </w:r>
          </w:p>
        </w:tc>
        <w:tc>
          <w:tcPr>
            <w:tcW w:w="1843" w:type="dxa"/>
            <w:vAlign w:val="center"/>
          </w:tcPr>
          <w:p>
            <w:pPr>
              <w:pStyle w:val="13"/>
            </w:pPr>
            <w:r>
              <w:t>关于进一步规范卫生监督制、着装管理的通知（卫办法监发【2003】103号）附件卫生监督制、着装管理规定第一项第（三）条、第四项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交货及时率</w:t>
            </w:r>
          </w:p>
        </w:tc>
        <w:tc>
          <w:tcPr>
            <w:tcW w:w="2891" w:type="dxa"/>
            <w:vAlign w:val="center"/>
          </w:tcPr>
          <w:p>
            <w:pPr>
              <w:pStyle w:val="13"/>
            </w:pPr>
            <w:r>
              <w:t>按合同规定时间内完工交货</w:t>
            </w:r>
          </w:p>
        </w:tc>
        <w:tc>
          <w:tcPr>
            <w:tcW w:w="1276" w:type="dxa"/>
            <w:vAlign w:val="center"/>
          </w:tcPr>
          <w:p>
            <w:pPr>
              <w:pStyle w:val="13"/>
            </w:pPr>
            <w:r>
              <w:t>100百分比</w:t>
            </w:r>
          </w:p>
        </w:tc>
        <w:tc>
          <w:tcPr>
            <w:tcW w:w="1843" w:type="dxa"/>
            <w:vAlign w:val="center"/>
          </w:tcPr>
          <w:p>
            <w:pPr>
              <w:pStyle w:val="13"/>
            </w:pPr>
            <w:r>
              <w:t>关于进一步规范卫生监督制、着装管理的通知（卫办法监发【2003】103号）附件卫生监督制、着装管理规定第一项第（三）条、第四项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成本节约率</w:t>
            </w:r>
          </w:p>
        </w:tc>
        <w:tc>
          <w:tcPr>
            <w:tcW w:w="2891" w:type="dxa"/>
            <w:vAlign w:val="center"/>
          </w:tcPr>
          <w:p>
            <w:pPr>
              <w:pStyle w:val="13"/>
            </w:pPr>
            <w:r>
              <w:t>监督制服制作费用</w:t>
            </w:r>
          </w:p>
        </w:tc>
        <w:tc>
          <w:tcPr>
            <w:tcW w:w="1276" w:type="dxa"/>
            <w:vAlign w:val="center"/>
          </w:tcPr>
          <w:p>
            <w:pPr>
              <w:pStyle w:val="13"/>
            </w:pPr>
            <w:r>
              <w:t>报价明细</w:t>
            </w:r>
          </w:p>
        </w:tc>
        <w:tc>
          <w:tcPr>
            <w:tcW w:w="1843" w:type="dxa"/>
            <w:vAlign w:val="center"/>
          </w:tcPr>
          <w:p>
            <w:pPr>
              <w:pStyle w:val="13"/>
            </w:pPr>
            <w:r>
              <w:t>关于进一步规范卫生监督制、着装管理的通知（卫办法监发【2003】103号）附件卫生监督制、着装管理规定第一项第（三）条、第四项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3"/>
            </w:pPr>
            <w:r>
              <w:t>社会效益指标</w:t>
            </w:r>
          </w:p>
        </w:tc>
        <w:tc>
          <w:tcPr>
            <w:tcW w:w="1332" w:type="dxa"/>
            <w:vAlign w:val="center"/>
          </w:tcPr>
          <w:p>
            <w:pPr>
              <w:pStyle w:val="13"/>
            </w:pPr>
            <w:r>
              <w:t>社会效益形象率</w:t>
            </w:r>
          </w:p>
        </w:tc>
        <w:tc>
          <w:tcPr>
            <w:tcW w:w="2891" w:type="dxa"/>
            <w:vAlign w:val="center"/>
          </w:tcPr>
          <w:p>
            <w:pPr>
              <w:pStyle w:val="13"/>
            </w:pPr>
            <w:r>
              <w:t>维护卫生监督执法形象</w:t>
            </w:r>
          </w:p>
        </w:tc>
        <w:tc>
          <w:tcPr>
            <w:tcW w:w="1276" w:type="dxa"/>
            <w:vAlign w:val="center"/>
          </w:tcPr>
          <w:p>
            <w:pPr>
              <w:pStyle w:val="13"/>
            </w:pPr>
            <w:r>
              <w:t>≥90百分比</w:t>
            </w:r>
          </w:p>
        </w:tc>
        <w:tc>
          <w:tcPr>
            <w:tcW w:w="1843" w:type="dxa"/>
            <w:vAlign w:val="center"/>
          </w:tcPr>
          <w:p>
            <w:pPr>
              <w:pStyle w:val="13"/>
            </w:pPr>
            <w:r>
              <w:t>关于进一步规范卫生监督制、着装管理的通知（卫办法监发【2003】103号）附件卫生监督制、着装管理规定第一项第（三）条、第四项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群众满意度</w:t>
            </w:r>
          </w:p>
        </w:tc>
        <w:tc>
          <w:tcPr>
            <w:tcW w:w="2891" w:type="dxa"/>
            <w:vAlign w:val="center"/>
          </w:tcPr>
          <w:p>
            <w:pPr>
              <w:pStyle w:val="13"/>
            </w:pPr>
            <w:r>
              <w:t>卫生监督员服装舒适度调查</w:t>
            </w:r>
          </w:p>
        </w:tc>
        <w:tc>
          <w:tcPr>
            <w:tcW w:w="1276" w:type="dxa"/>
            <w:vAlign w:val="center"/>
          </w:tcPr>
          <w:p>
            <w:pPr>
              <w:pStyle w:val="13"/>
            </w:pPr>
            <w:r>
              <w:t>≥90百分比</w:t>
            </w:r>
          </w:p>
        </w:tc>
        <w:tc>
          <w:tcPr>
            <w:tcW w:w="1843" w:type="dxa"/>
            <w:vAlign w:val="center"/>
          </w:tcPr>
          <w:p>
            <w:pPr>
              <w:pStyle w:val="13"/>
            </w:pPr>
            <w:r>
              <w:t>关于进一步规范卫生监督制、着装管理的通知（卫办法监发【2003】103号）附件卫生监督制、着装管理规定第一项第（三）条、第四项</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2" w:name="_Toc_4_4_0000000013"/>
      <w:r>
        <w:rPr>
          <w:rFonts w:ascii="方正仿宋_GBK" w:hAnsi="方正仿宋_GBK" w:eastAsia="方正仿宋_GBK" w:cs="方正仿宋_GBK"/>
          <w:color w:val="000000"/>
          <w:sz w:val="28"/>
        </w:rPr>
        <w:t>10.物业管理费绩效目标表</w:t>
      </w:r>
      <w:bookmarkEnd w:id="12"/>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364001石家庄市桥西区疾病预防控制中心本级</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13010426P004158100823</w:t>
            </w:r>
          </w:p>
        </w:tc>
        <w:tc>
          <w:tcPr>
            <w:tcW w:w="1587" w:type="dxa"/>
            <w:vAlign w:val="center"/>
          </w:tcPr>
          <w:p>
            <w:pPr>
              <w:pStyle w:val="14"/>
            </w:pPr>
            <w:r>
              <w:t>项目名称</w:t>
            </w:r>
          </w:p>
        </w:tc>
        <w:tc>
          <w:tcPr>
            <w:tcW w:w="4423" w:type="dxa"/>
            <w:gridSpan w:val="3"/>
            <w:vAlign w:val="center"/>
          </w:tcPr>
          <w:p>
            <w:pPr>
              <w:pStyle w:val="13"/>
            </w:pPr>
            <w:r>
              <w:t>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24.00</w:t>
            </w:r>
          </w:p>
        </w:tc>
        <w:tc>
          <w:tcPr>
            <w:tcW w:w="1587" w:type="dxa"/>
            <w:vAlign w:val="center"/>
          </w:tcPr>
          <w:p>
            <w:pPr>
              <w:pStyle w:val="14"/>
            </w:pPr>
            <w:r>
              <w:t>其中：财政    资金</w:t>
            </w:r>
          </w:p>
        </w:tc>
        <w:tc>
          <w:tcPr>
            <w:tcW w:w="1304" w:type="dxa"/>
            <w:vAlign w:val="center"/>
          </w:tcPr>
          <w:p>
            <w:pPr>
              <w:pStyle w:val="13"/>
            </w:pPr>
            <w:r>
              <w:t>24.00</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主要用于为单位缴纳物业管理费，保障单位正常运转。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1.通过物业提供的服务，提高行政效能。</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物业管理费供应保障面积率</w:t>
            </w:r>
          </w:p>
        </w:tc>
        <w:tc>
          <w:tcPr>
            <w:tcW w:w="2891" w:type="dxa"/>
            <w:vAlign w:val="center"/>
          </w:tcPr>
          <w:p>
            <w:pPr>
              <w:pStyle w:val="13"/>
            </w:pPr>
            <w:r>
              <w:t>办公楼3181.51平方</w:t>
            </w:r>
          </w:p>
        </w:tc>
        <w:tc>
          <w:tcPr>
            <w:tcW w:w="1276" w:type="dxa"/>
            <w:vAlign w:val="center"/>
          </w:tcPr>
          <w:p>
            <w:pPr>
              <w:pStyle w:val="13"/>
            </w:pPr>
            <w:r>
              <w:t>100百分比</w:t>
            </w:r>
          </w:p>
        </w:tc>
        <w:tc>
          <w:tcPr>
            <w:tcW w:w="1843" w:type="dxa"/>
            <w:vAlign w:val="center"/>
          </w:tcPr>
          <w:p>
            <w:pPr>
              <w:pStyle w:val="13"/>
            </w:pPr>
            <w:r>
              <w:t>滨江物业管理费合同《滨江优谷大厦--金界物业服务协议书》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本单位相关工作正常开展</w:t>
            </w:r>
          </w:p>
        </w:tc>
        <w:tc>
          <w:tcPr>
            <w:tcW w:w="2891" w:type="dxa"/>
            <w:vAlign w:val="center"/>
          </w:tcPr>
          <w:p>
            <w:pPr>
              <w:pStyle w:val="13"/>
            </w:pPr>
            <w:r>
              <w:t>单位有财力缴纳物业管理费，工作能够正常开展</w:t>
            </w:r>
          </w:p>
        </w:tc>
        <w:tc>
          <w:tcPr>
            <w:tcW w:w="1276" w:type="dxa"/>
            <w:vAlign w:val="center"/>
          </w:tcPr>
          <w:p>
            <w:pPr>
              <w:pStyle w:val="13"/>
            </w:pPr>
            <w:r>
              <w:t>保障办公运行</w:t>
            </w:r>
          </w:p>
        </w:tc>
        <w:tc>
          <w:tcPr>
            <w:tcW w:w="1843" w:type="dxa"/>
            <w:vAlign w:val="center"/>
          </w:tcPr>
          <w:p>
            <w:pPr>
              <w:pStyle w:val="13"/>
            </w:pPr>
            <w:r>
              <w:t>滨江物业管理费合同《滨江优谷大厦--金界物业服务协议书》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季度支出及时率</w:t>
            </w:r>
          </w:p>
        </w:tc>
        <w:tc>
          <w:tcPr>
            <w:tcW w:w="2891" w:type="dxa"/>
            <w:vAlign w:val="center"/>
          </w:tcPr>
          <w:p>
            <w:pPr>
              <w:pStyle w:val="13"/>
            </w:pPr>
            <w:r>
              <w:t>项目经费每季度及时支出，保障单位工作正常开展</w:t>
            </w:r>
          </w:p>
        </w:tc>
        <w:tc>
          <w:tcPr>
            <w:tcW w:w="1276" w:type="dxa"/>
            <w:vAlign w:val="center"/>
          </w:tcPr>
          <w:p>
            <w:pPr>
              <w:pStyle w:val="13"/>
            </w:pPr>
            <w:r>
              <w:t>≥90百分比</w:t>
            </w:r>
          </w:p>
        </w:tc>
        <w:tc>
          <w:tcPr>
            <w:tcW w:w="1843" w:type="dxa"/>
            <w:vAlign w:val="center"/>
          </w:tcPr>
          <w:p>
            <w:pPr>
              <w:pStyle w:val="13"/>
            </w:pPr>
            <w:r>
              <w:t>滨江物业管理费合同《滨江优谷大厦--金界物业服务协议书》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支出控制性</w:t>
            </w:r>
          </w:p>
        </w:tc>
        <w:tc>
          <w:tcPr>
            <w:tcW w:w="2891" w:type="dxa"/>
            <w:vAlign w:val="center"/>
          </w:tcPr>
          <w:p>
            <w:pPr>
              <w:pStyle w:val="13"/>
            </w:pPr>
            <w:r>
              <w:t>支出成本保持平稳，上下浮动合理，控制在预算范围内</w:t>
            </w:r>
          </w:p>
        </w:tc>
        <w:tc>
          <w:tcPr>
            <w:tcW w:w="1276" w:type="dxa"/>
            <w:vAlign w:val="center"/>
          </w:tcPr>
          <w:p>
            <w:pPr>
              <w:pStyle w:val="13"/>
            </w:pPr>
            <w:r>
              <w:t>控制在预算范围内</w:t>
            </w:r>
          </w:p>
        </w:tc>
        <w:tc>
          <w:tcPr>
            <w:tcW w:w="1843" w:type="dxa"/>
            <w:vAlign w:val="center"/>
          </w:tcPr>
          <w:p>
            <w:pPr>
              <w:pStyle w:val="13"/>
            </w:pPr>
            <w:r>
              <w:t>滨江物业管理费合同《滨江优谷大厦--金界物业服务协议书》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效益指标</w:t>
            </w:r>
          </w:p>
        </w:tc>
        <w:tc>
          <w:tcPr>
            <w:tcW w:w="1276" w:type="dxa"/>
            <w:vAlign w:val="center"/>
          </w:tcPr>
          <w:p>
            <w:pPr>
              <w:pStyle w:val="13"/>
            </w:pPr>
            <w:r>
              <w:t>经济效益指标</w:t>
            </w:r>
          </w:p>
        </w:tc>
        <w:tc>
          <w:tcPr>
            <w:tcW w:w="1332" w:type="dxa"/>
            <w:vAlign w:val="center"/>
          </w:tcPr>
          <w:p>
            <w:pPr>
              <w:pStyle w:val="13"/>
            </w:pPr>
            <w:r>
              <w:t>保障公共设施基本运行</w:t>
            </w:r>
          </w:p>
        </w:tc>
        <w:tc>
          <w:tcPr>
            <w:tcW w:w="2891" w:type="dxa"/>
            <w:vAlign w:val="center"/>
          </w:tcPr>
          <w:p>
            <w:pPr>
              <w:pStyle w:val="13"/>
            </w:pPr>
            <w:r>
              <w:t>保障单位工作正常开展</w:t>
            </w:r>
          </w:p>
        </w:tc>
        <w:tc>
          <w:tcPr>
            <w:tcW w:w="1276" w:type="dxa"/>
            <w:vAlign w:val="center"/>
          </w:tcPr>
          <w:p>
            <w:pPr>
              <w:pStyle w:val="13"/>
            </w:pPr>
            <w:r>
              <w:t>保障单位的正常办公</w:t>
            </w:r>
          </w:p>
        </w:tc>
        <w:tc>
          <w:tcPr>
            <w:tcW w:w="1843" w:type="dxa"/>
            <w:vAlign w:val="center"/>
          </w:tcPr>
          <w:p>
            <w:pPr>
              <w:pStyle w:val="13"/>
            </w:pPr>
            <w:r>
              <w:t>滨江物业管理费合同《滨江优谷大厦--金界物业服务协议书》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社会效益指标</w:t>
            </w:r>
          </w:p>
        </w:tc>
        <w:tc>
          <w:tcPr>
            <w:tcW w:w="1332" w:type="dxa"/>
            <w:vAlign w:val="center"/>
          </w:tcPr>
          <w:p>
            <w:pPr>
              <w:pStyle w:val="13"/>
            </w:pPr>
            <w:r>
              <w:t>工作效率</w:t>
            </w:r>
          </w:p>
        </w:tc>
        <w:tc>
          <w:tcPr>
            <w:tcW w:w="2891" w:type="dxa"/>
            <w:vAlign w:val="center"/>
          </w:tcPr>
          <w:p>
            <w:pPr>
              <w:pStyle w:val="13"/>
            </w:pPr>
            <w:r>
              <w:t>工作效率</w:t>
            </w:r>
          </w:p>
        </w:tc>
        <w:tc>
          <w:tcPr>
            <w:tcW w:w="1276" w:type="dxa"/>
            <w:vAlign w:val="center"/>
          </w:tcPr>
          <w:p>
            <w:pPr>
              <w:pStyle w:val="13"/>
            </w:pPr>
            <w:r>
              <w:t>单位员工正常工作</w:t>
            </w:r>
          </w:p>
        </w:tc>
        <w:tc>
          <w:tcPr>
            <w:tcW w:w="1843" w:type="dxa"/>
            <w:vAlign w:val="center"/>
          </w:tcPr>
          <w:p>
            <w:pPr>
              <w:pStyle w:val="13"/>
            </w:pPr>
            <w:r>
              <w:t>滨江物业管理费合同《滨江优谷大厦--金界物业服务协议书》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对物业公司满意率</w:t>
            </w:r>
          </w:p>
        </w:tc>
        <w:tc>
          <w:tcPr>
            <w:tcW w:w="2891" w:type="dxa"/>
            <w:vAlign w:val="center"/>
          </w:tcPr>
          <w:p>
            <w:pPr>
              <w:pStyle w:val="13"/>
            </w:pPr>
            <w:r>
              <w:t>对物业公司满意率</w:t>
            </w:r>
          </w:p>
        </w:tc>
        <w:tc>
          <w:tcPr>
            <w:tcW w:w="1276" w:type="dxa"/>
            <w:vAlign w:val="center"/>
          </w:tcPr>
          <w:p>
            <w:pPr>
              <w:pStyle w:val="13"/>
            </w:pPr>
            <w:r>
              <w:t>≥95满足单位办公需求</w:t>
            </w:r>
          </w:p>
        </w:tc>
        <w:tc>
          <w:tcPr>
            <w:tcW w:w="1843" w:type="dxa"/>
            <w:vAlign w:val="center"/>
          </w:tcPr>
          <w:p>
            <w:pPr>
              <w:pStyle w:val="13"/>
            </w:pPr>
            <w:r>
              <w:t>滨江物业管理费合同《滨江优谷大厦--金界物业服务协议书》</w:t>
            </w:r>
          </w:p>
        </w:tc>
      </w:tr>
    </w:tbl>
    <w:p>
      <w:pPr>
        <w:sectPr>
          <w:pgSz w:w="11900" w:h="16840"/>
          <w:pgMar w:top="1984" w:right="1304" w:bottom="1134" w:left="1304" w:header="720" w:footer="720" w:gutter="0"/>
          <w:cols w:space="720" w:num="1"/>
        </w:sectPr>
      </w:pPr>
    </w:p>
    <w:p>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pPr>
        <w:spacing w:before="0" w:after="0"/>
        <w:ind w:firstLine="560"/>
        <w:jc w:val="left"/>
        <w:outlineLvl w:val="3"/>
      </w:pPr>
      <w:bookmarkStart w:id="13" w:name="_Toc_4_4_0000000014"/>
      <w:r>
        <w:rPr>
          <w:rFonts w:ascii="方正仿宋_GBK" w:hAnsi="方正仿宋_GBK" w:eastAsia="方正仿宋_GBK" w:cs="方正仿宋_GBK"/>
          <w:color w:val="000000"/>
          <w:sz w:val="28"/>
        </w:rPr>
        <w:t>11.疫苗储运费绩效目标表</w:t>
      </w:r>
      <w:bookmarkEnd w:id="13"/>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pPr>
              <w:pStyle w:val="12"/>
            </w:pPr>
            <w:r>
              <w:t>364001石家庄市桥西区疾病预防控制中心本级</w:t>
            </w:r>
          </w:p>
        </w:tc>
        <w:tc>
          <w:tcPr>
            <w:tcW w:w="1843" w:type="dxa"/>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2608" w:type="dxa"/>
            <w:gridSpan w:val="2"/>
            <w:vAlign w:val="center"/>
          </w:tcPr>
          <w:p>
            <w:pPr>
              <w:pStyle w:val="13"/>
            </w:pPr>
            <w:r>
              <w:t>13010426P009811100036</w:t>
            </w:r>
          </w:p>
        </w:tc>
        <w:tc>
          <w:tcPr>
            <w:tcW w:w="1587" w:type="dxa"/>
            <w:vAlign w:val="center"/>
          </w:tcPr>
          <w:p>
            <w:pPr>
              <w:pStyle w:val="14"/>
            </w:pPr>
            <w:r>
              <w:t>项目名称</w:t>
            </w:r>
          </w:p>
        </w:tc>
        <w:tc>
          <w:tcPr>
            <w:tcW w:w="4423" w:type="dxa"/>
            <w:gridSpan w:val="3"/>
            <w:vAlign w:val="center"/>
          </w:tcPr>
          <w:p>
            <w:pPr>
              <w:pStyle w:val="13"/>
            </w:pPr>
            <w:r>
              <w:t>疫苗储运费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1276" w:type="dxa"/>
            <w:vAlign w:val="center"/>
          </w:tcPr>
          <w:p>
            <w:pPr>
              <w:pStyle w:val="14"/>
            </w:pPr>
            <w:r>
              <w:t>预算数</w:t>
            </w:r>
          </w:p>
        </w:tc>
        <w:tc>
          <w:tcPr>
            <w:tcW w:w="1332" w:type="dxa"/>
            <w:vAlign w:val="center"/>
          </w:tcPr>
          <w:p>
            <w:pPr>
              <w:pStyle w:val="13"/>
            </w:pPr>
            <w:r>
              <w:t>20.00</w:t>
            </w:r>
          </w:p>
        </w:tc>
        <w:tc>
          <w:tcPr>
            <w:tcW w:w="1587" w:type="dxa"/>
            <w:vAlign w:val="center"/>
          </w:tcPr>
          <w:p>
            <w:pPr>
              <w:pStyle w:val="14"/>
            </w:pPr>
            <w:r>
              <w:t>其中：财政    资金</w:t>
            </w:r>
          </w:p>
        </w:tc>
        <w:tc>
          <w:tcPr>
            <w:tcW w:w="1304" w:type="dxa"/>
            <w:vAlign w:val="center"/>
          </w:tcPr>
          <w:p>
            <w:pPr>
              <w:pStyle w:val="13"/>
            </w:pPr>
            <w:r>
              <w:t>20.00</w:t>
            </w:r>
          </w:p>
        </w:tc>
        <w:tc>
          <w:tcPr>
            <w:tcW w:w="1276" w:type="dxa"/>
            <w:vAlign w:val="center"/>
          </w:tcPr>
          <w:p>
            <w:pPr>
              <w:pStyle w:val="14"/>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8" w:type="dxa"/>
            <w:gridSpan w:val="6"/>
            <w:vAlign w:val="center"/>
          </w:tcPr>
          <w:p>
            <w:pPr>
              <w:pStyle w:val="13"/>
            </w:pPr>
            <w:r>
              <w:t>主要用于完成疫苗储存运输工作。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2608" w:type="dxa"/>
            <w:gridSpan w:val="2"/>
            <w:vAlign w:val="center"/>
          </w:tcPr>
          <w:p>
            <w:pPr>
              <w:pStyle w:val="14"/>
            </w:pPr>
            <w:r>
              <w:t>3月底</w:t>
            </w:r>
          </w:p>
        </w:tc>
        <w:tc>
          <w:tcPr>
            <w:tcW w:w="1587" w:type="dxa"/>
            <w:vAlign w:val="center"/>
          </w:tcPr>
          <w:p>
            <w:pPr>
              <w:pStyle w:val="14"/>
            </w:pPr>
            <w:r>
              <w:t>6月底</w:t>
            </w:r>
          </w:p>
        </w:tc>
        <w:tc>
          <w:tcPr>
            <w:tcW w:w="1304" w:type="dxa"/>
            <w:vAlign w:val="center"/>
          </w:tcPr>
          <w:p>
            <w:pPr>
              <w:pStyle w:val="14"/>
            </w:pPr>
            <w:r>
              <w:t>10月底</w:t>
            </w:r>
          </w:p>
        </w:tc>
        <w:tc>
          <w:tcPr>
            <w:tcW w:w="3119"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5"/>
            </w:pPr>
            <w:r>
              <w:t>25%</w:t>
            </w:r>
          </w:p>
        </w:tc>
        <w:tc>
          <w:tcPr>
            <w:tcW w:w="1587" w:type="dxa"/>
            <w:vAlign w:val="center"/>
          </w:tcPr>
          <w:p>
            <w:pPr>
              <w:pStyle w:val="15"/>
            </w:pPr>
            <w:r>
              <w:t>50%</w:t>
            </w:r>
          </w:p>
        </w:tc>
        <w:tc>
          <w:tcPr>
            <w:tcW w:w="1304" w:type="dxa"/>
            <w:vAlign w:val="center"/>
          </w:tcPr>
          <w:p>
            <w:pPr>
              <w:pStyle w:val="15"/>
            </w:pPr>
            <w:r>
              <w:t>75%</w:t>
            </w:r>
          </w:p>
        </w:tc>
        <w:tc>
          <w:tcPr>
            <w:tcW w:w="3119"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8618" w:type="dxa"/>
            <w:gridSpan w:val="6"/>
            <w:vAlign w:val="center"/>
          </w:tcPr>
          <w:p>
            <w:pPr>
              <w:pStyle w:val="13"/>
            </w:pPr>
            <w:r>
              <w:t>1.完成疫苗储存运输工作</w:t>
            </w:r>
          </w:p>
        </w:tc>
      </w:tr>
    </w:tbl>
    <w:p>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1276" w:type="dxa"/>
            <w:vAlign w:val="center"/>
          </w:tcPr>
          <w:p>
            <w:pPr>
              <w:pStyle w:val="14"/>
            </w:pPr>
            <w:r>
              <w:t>二级指标</w:t>
            </w:r>
          </w:p>
        </w:tc>
        <w:tc>
          <w:tcPr>
            <w:tcW w:w="1332" w:type="dxa"/>
            <w:vAlign w:val="center"/>
          </w:tcPr>
          <w:p>
            <w:pPr>
              <w:pStyle w:val="14"/>
            </w:pPr>
            <w:r>
              <w:t>三级指标</w:t>
            </w:r>
          </w:p>
        </w:tc>
        <w:tc>
          <w:tcPr>
            <w:tcW w:w="2891" w:type="dxa"/>
            <w:vAlign w:val="center"/>
          </w:tcPr>
          <w:p>
            <w:pPr>
              <w:pStyle w:val="14"/>
            </w:pPr>
            <w:r>
              <w:t>绩效指标描述</w:t>
            </w:r>
          </w:p>
        </w:tc>
        <w:tc>
          <w:tcPr>
            <w:tcW w:w="1276" w:type="dxa"/>
            <w:vAlign w:val="center"/>
          </w:tcPr>
          <w:p>
            <w:pPr>
              <w:pStyle w:val="14"/>
            </w:pPr>
            <w:r>
              <w:t>指标值</w:t>
            </w:r>
          </w:p>
        </w:tc>
        <w:tc>
          <w:tcPr>
            <w:tcW w:w="184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5"/>
            </w:pPr>
            <w:r>
              <w:t>产出指标</w:t>
            </w:r>
          </w:p>
        </w:tc>
        <w:tc>
          <w:tcPr>
            <w:tcW w:w="1276" w:type="dxa"/>
            <w:vAlign w:val="center"/>
          </w:tcPr>
          <w:p>
            <w:pPr>
              <w:pStyle w:val="13"/>
            </w:pPr>
            <w:r>
              <w:t>数量指标</w:t>
            </w:r>
          </w:p>
        </w:tc>
        <w:tc>
          <w:tcPr>
            <w:tcW w:w="1332" w:type="dxa"/>
            <w:vAlign w:val="center"/>
          </w:tcPr>
          <w:p>
            <w:pPr>
              <w:pStyle w:val="13"/>
            </w:pPr>
            <w:r>
              <w:t>配送次数</w:t>
            </w:r>
          </w:p>
        </w:tc>
        <w:tc>
          <w:tcPr>
            <w:tcW w:w="2891" w:type="dxa"/>
            <w:vAlign w:val="center"/>
          </w:tcPr>
          <w:p>
            <w:pPr>
              <w:pStyle w:val="13"/>
            </w:pPr>
            <w:r>
              <w:t>每月根据需求配送1-2次</w:t>
            </w:r>
          </w:p>
        </w:tc>
        <w:tc>
          <w:tcPr>
            <w:tcW w:w="1276" w:type="dxa"/>
            <w:vAlign w:val="center"/>
          </w:tcPr>
          <w:p>
            <w:pPr>
              <w:pStyle w:val="13"/>
            </w:pPr>
            <w:r>
              <w:t>≥1次/月</w:t>
            </w:r>
          </w:p>
        </w:tc>
        <w:tc>
          <w:tcPr>
            <w:tcW w:w="1843" w:type="dxa"/>
            <w:vAlign w:val="center"/>
          </w:tcPr>
          <w:p>
            <w:pPr>
              <w:pStyle w:val="13"/>
            </w:pPr>
            <w:r>
              <w:t>关于解决区疾控中心采购疫苗成本经费的意见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冷链储运</w:t>
            </w:r>
          </w:p>
        </w:tc>
        <w:tc>
          <w:tcPr>
            <w:tcW w:w="2891" w:type="dxa"/>
            <w:vAlign w:val="center"/>
          </w:tcPr>
          <w:p>
            <w:pPr>
              <w:pStyle w:val="13"/>
            </w:pPr>
            <w:r>
              <w:t>保障疫苗全程冷链储存运输</w:t>
            </w:r>
          </w:p>
        </w:tc>
        <w:tc>
          <w:tcPr>
            <w:tcW w:w="1276" w:type="dxa"/>
            <w:vAlign w:val="center"/>
          </w:tcPr>
          <w:p>
            <w:pPr>
              <w:pStyle w:val="13"/>
            </w:pPr>
            <w:r>
              <w:t>100百分比</w:t>
            </w:r>
          </w:p>
        </w:tc>
        <w:tc>
          <w:tcPr>
            <w:tcW w:w="1843" w:type="dxa"/>
            <w:vAlign w:val="center"/>
          </w:tcPr>
          <w:p>
            <w:pPr>
              <w:pStyle w:val="13"/>
            </w:pPr>
            <w:r>
              <w:t>关于解决区疾控中心采购疫苗成本经费的意见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回款时效</w:t>
            </w:r>
          </w:p>
        </w:tc>
        <w:tc>
          <w:tcPr>
            <w:tcW w:w="2891" w:type="dxa"/>
            <w:vAlign w:val="center"/>
          </w:tcPr>
          <w:p>
            <w:pPr>
              <w:pStyle w:val="13"/>
            </w:pPr>
            <w:r>
              <w:t>根据要求及时进行配送</w:t>
            </w:r>
          </w:p>
        </w:tc>
        <w:tc>
          <w:tcPr>
            <w:tcW w:w="1276" w:type="dxa"/>
            <w:vAlign w:val="center"/>
          </w:tcPr>
          <w:p>
            <w:pPr>
              <w:pStyle w:val="13"/>
            </w:pPr>
            <w:r>
              <w:t>100百分比</w:t>
            </w:r>
          </w:p>
        </w:tc>
        <w:tc>
          <w:tcPr>
            <w:tcW w:w="1843" w:type="dxa"/>
            <w:vAlign w:val="center"/>
          </w:tcPr>
          <w:p>
            <w:pPr>
              <w:pStyle w:val="13"/>
            </w:pPr>
            <w:r>
              <w:t>关于解决区疾控中心采购疫苗成本经费的意见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项目资金使用成本</w:t>
            </w:r>
          </w:p>
        </w:tc>
        <w:tc>
          <w:tcPr>
            <w:tcW w:w="2891" w:type="dxa"/>
            <w:vAlign w:val="center"/>
          </w:tcPr>
          <w:p>
            <w:pPr>
              <w:pStyle w:val="13"/>
            </w:pPr>
            <w:r>
              <w:t>体现项目资金使用的合理性与规范性</w:t>
            </w:r>
          </w:p>
        </w:tc>
        <w:tc>
          <w:tcPr>
            <w:tcW w:w="1276" w:type="dxa"/>
            <w:vAlign w:val="center"/>
          </w:tcPr>
          <w:p>
            <w:pPr>
              <w:pStyle w:val="13"/>
            </w:pPr>
            <w:r>
              <w:t>≤100百分比</w:t>
            </w:r>
          </w:p>
          <w:p>
            <w:pPr>
              <w:pStyle w:val="13"/>
            </w:pPr>
          </w:p>
        </w:tc>
        <w:tc>
          <w:tcPr>
            <w:tcW w:w="1843" w:type="dxa"/>
            <w:vAlign w:val="center"/>
          </w:tcPr>
          <w:p>
            <w:pPr>
              <w:pStyle w:val="13"/>
            </w:pPr>
            <w:r>
              <w:t>关于解决区疾控中心采购疫苗成本经费的意见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效益指标</w:t>
            </w:r>
          </w:p>
        </w:tc>
        <w:tc>
          <w:tcPr>
            <w:tcW w:w="1276" w:type="dxa"/>
            <w:vAlign w:val="center"/>
          </w:tcPr>
          <w:p>
            <w:pPr>
              <w:pStyle w:val="13"/>
            </w:pPr>
            <w:r>
              <w:t>经济效益指标</w:t>
            </w:r>
          </w:p>
        </w:tc>
        <w:tc>
          <w:tcPr>
            <w:tcW w:w="1332" w:type="dxa"/>
            <w:vAlign w:val="center"/>
          </w:tcPr>
          <w:p>
            <w:pPr>
              <w:pStyle w:val="13"/>
            </w:pPr>
            <w:r>
              <w:t>减少损耗</w:t>
            </w:r>
          </w:p>
        </w:tc>
        <w:tc>
          <w:tcPr>
            <w:tcW w:w="2891" w:type="dxa"/>
            <w:vAlign w:val="center"/>
          </w:tcPr>
          <w:p>
            <w:pPr>
              <w:pStyle w:val="13"/>
            </w:pPr>
            <w:r>
              <w:t>避免因脱离冷链运输造成的损耗</w:t>
            </w:r>
          </w:p>
        </w:tc>
        <w:tc>
          <w:tcPr>
            <w:tcW w:w="1276" w:type="dxa"/>
            <w:vAlign w:val="center"/>
          </w:tcPr>
          <w:p>
            <w:pPr>
              <w:pStyle w:val="13"/>
            </w:pPr>
            <w:r>
              <w:t>≤100百分比</w:t>
            </w:r>
          </w:p>
        </w:tc>
        <w:tc>
          <w:tcPr>
            <w:tcW w:w="1843" w:type="dxa"/>
            <w:vAlign w:val="center"/>
          </w:tcPr>
          <w:p>
            <w:pPr>
              <w:pStyle w:val="13"/>
            </w:pPr>
            <w:r>
              <w:t>关于解决区疾控中心采购疫苗成本经费的意见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5"/>
            </w:pPr>
            <w:r>
              <w:t>满意度指标</w:t>
            </w:r>
          </w:p>
        </w:tc>
        <w:tc>
          <w:tcPr>
            <w:tcW w:w="1276" w:type="dxa"/>
            <w:vAlign w:val="center"/>
          </w:tcPr>
          <w:p>
            <w:pPr>
              <w:pStyle w:val="13"/>
            </w:pPr>
            <w:r>
              <w:t>服务对象满意度指标</w:t>
            </w:r>
          </w:p>
        </w:tc>
        <w:tc>
          <w:tcPr>
            <w:tcW w:w="1332" w:type="dxa"/>
            <w:vAlign w:val="center"/>
          </w:tcPr>
          <w:p>
            <w:pPr>
              <w:pStyle w:val="13"/>
            </w:pPr>
            <w:r>
              <w:t>服务对象满意度</w:t>
            </w:r>
          </w:p>
        </w:tc>
        <w:tc>
          <w:tcPr>
            <w:tcW w:w="2891" w:type="dxa"/>
            <w:vAlign w:val="center"/>
          </w:tcPr>
          <w:p>
            <w:pPr>
              <w:pStyle w:val="13"/>
            </w:pPr>
            <w:r>
              <w:t>卫生站点接收疫苗配送满意度</w:t>
            </w:r>
          </w:p>
        </w:tc>
        <w:tc>
          <w:tcPr>
            <w:tcW w:w="1276" w:type="dxa"/>
            <w:vAlign w:val="center"/>
          </w:tcPr>
          <w:p>
            <w:pPr>
              <w:pStyle w:val="13"/>
            </w:pPr>
            <w:r>
              <w:t>≥80百分比</w:t>
            </w:r>
          </w:p>
        </w:tc>
        <w:tc>
          <w:tcPr>
            <w:tcW w:w="1843" w:type="dxa"/>
            <w:vAlign w:val="center"/>
          </w:tcPr>
          <w:p>
            <w:pPr>
              <w:pStyle w:val="13"/>
            </w:pPr>
            <w:r>
              <w:t>关于解决区疾控中心采购疫苗成本经费的意见</w:t>
            </w:r>
          </w:p>
        </w:tc>
      </w:tr>
    </w:tbl>
    <w:p/>
    <w:sectPr>
      <w:pgSz w:w="11900" w:h="16840"/>
      <w:pgMar w:top="1984" w:right="1304" w:bottom="1134" w:left="1304"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8987D8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3">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4">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34</Pages>
  <TotalTime>0</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2026-02-13T14:02:00Z</dcterms:created>
  <dc:creator>Administrator</dc:creator>
  <cp:lastModifiedBy>Administrator</cp:lastModifiedBy>
  <dcterms:modified xsi:type="dcterms:W3CDTF">2026-02-13T07:21:23Z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AE693B5501434A8D8C4233BBDAC83469</vt:lpwstr>
  </property>
</Properties>
</file>