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一、石家庄市桥西区财政局本级收支预算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1619.28</w:t>
            </w:r>
          </w:p>
        </w:tc>
        <w:tc>
          <w:tcPr>
            <w:tcW w:w="4535" w:type="dxa"/>
            <w:vAlign w:val="center"/>
          </w:tcPr>
          <w:p>
            <w:pPr>
              <w:pStyle w:val="12"/>
            </w:pPr>
            <w:r>
              <w:t>一、一般公共服务支出</w:t>
            </w:r>
          </w:p>
        </w:tc>
        <w:tc>
          <w:tcPr>
            <w:tcW w:w="2126" w:type="dxa"/>
            <w:vAlign w:val="center"/>
          </w:tcPr>
          <w:p>
            <w:pPr>
              <w:pStyle w:val="11"/>
            </w:pPr>
            <w:r>
              <w:t>1284.79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1619.28</w:t>
            </w:r>
          </w:p>
        </w:tc>
        <w:tc>
          <w:tcPr>
            <w:tcW w:w="4535" w:type="dxa"/>
            <w:vAlign w:val="center"/>
          </w:tcPr>
          <w:p>
            <w:pPr>
              <w:pStyle w:val="14"/>
            </w:pPr>
            <w:r>
              <w:t>本年支出合计</w:t>
            </w:r>
          </w:p>
        </w:tc>
        <w:tc>
          <w:tcPr>
            <w:tcW w:w="2126" w:type="dxa"/>
            <w:vAlign w:val="center"/>
          </w:tcPr>
          <w:p>
            <w:pPr>
              <w:pStyle w:val="15"/>
            </w:pPr>
            <w:r>
              <w:t>1619.28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1619.28</w:t>
            </w:r>
          </w:p>
        </w:tc>
        <w:tc>
          <w:tcPr>
            <w:tcW w:w="4535" w:type="dxa"/>
            <w:vAlign w:val="center"/>
          </w:tcPr>
          <w:p>
            <w:pPr>
              <w:pStyle w:val="14"/>
            </w:pPr>
            <w:r>
              <w:t>支出总计</w:t>
            </w:r>
          </w:p>
        </w:tc>
        <w:tc>
          <w:tcPr>
            <w:tcW w:w="2126" w:type="dxa"/>
            <w:vAlign w:val="center"/>
          </w:tcPr>
          <w:p>
            <w:pPr>
              <w:pStyle w:val="15"/>
            </w:pPr>
            <w:r>
              <w:t>1619.28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1619.28</w:t>
            </w:r>
          </w:p>
        </w:tc>
        <w:tc>
          <w:tcPr>
            <w:tcW w:w="1134" w:type="dxa"/>
            <w:vAlign w:val="center"/>
          </w:tcPr>
          <w:p>
            <w:pPr>
              <w:pStyle w:val="15"/>
            </w:pPr>
            <w:r>
              <w:t>1619.28</w:t>
            </w:r>
          </w:p>
        </w:tc>
        <w:tc>
          <w:tcPr>
            <w:tcW w:w="1134" w:type="dxa"/>
            <w:vAlign w:val="center"/>
          </w:tcPr>
          <w:p>
            <w:pPr>
              <w:pStyle w:val="15"/>
            </w:pPr>
            <w:r>
              <w:t>1619.28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1284.79</w:t>
            </w:r>
          </w:p>
        </w:tc>
        <w:tc>
          <w:tcPr>
            <w:tcW w:w="1134" w:type="dxa"/>
            <w:vAlign w:val="center"/>
          </w:tcPr>
          <w:p>
            <w:pPr>
              <w:pStyle w:val="11"/>
            </w:pPr>
            <w:r>
              <w:t>1284.79</w:t>
            </w:r>
          </w:p>
        </w:tc>
        <w:tc>
          <w:tcPr>
            <w:tcW w:w="1134" w:type="dxa"/>
            <w:vAlign w:val="center"/>
          </w:tcPr>
          <w:p>
            <w:pPr>
              <w:pStyle w:val="11"/>
            </w:pPr>
            <w:r>
              <w:t>1284.79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1284.79</w:t>
            </w:r>
          </w:p>
        </w:tc>
        <w:tc>
          <w:tcPr>
            <w:tcW w:w="1134" w:type="dxa"/>
            <w:vAlign w:val="center"/>
          </w:tcPr>
          <w:p>
            <w:pPr>
              <w:pStyle w:val="11"/>
            </w:pPr>
            <w:r>
              <w:t>1284.79</w:t>
            </w:r>
          </w:p>
        </w:tc>
        <w:tc>
          <w:tcPr>
            <w:tcW w:w="1134" w:type="dxa"/>
            <w:vAlign w:val="center"/>
          </w:tcPr>
          <w:p>
            <w:pPr>
              <w:pStyle w:val="11"/>
            </w:pPr>
            <w:r>
              <w:t>1284.79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652.56</w:t>
            </w:r>
          </w:p>
        </w:tc>
        <w:tc>
          <w:tcPr>
            <w:tcW w:w="1134" w:type="dxa"/>
            <w:vAlign w:val="center"/>
          </w:tcPr>
          <w:p>
            <w:pPr>
              <w:pStyle w:val="11"/>
            </w:pPr>
            <w:r>
              <w:t>652.56</w:t>
            </w:r>
          </w:p>
        </w:tc>
        <w:tc>
          <w:tcPr>
            <w:tcW w:w="1134" w:type="dxa"/>
            <w:vAlign w:val="center"/>
          </w:tcPr>
          <w:p>
            <w:pPr>
              <w:pStyle w:val="11"/>
            </w:pPr>
            <w:r>
              <w:t>652.56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163.27</w:t>
            </w:r>
          </w:p>
        </w:tc>
        <w:tc>
          <w:tcPr>
            <w:tcW w:w="1134" w:type="dxa"/>
            <w:vAlign w:val="center"/>
          </w:tcPr>
          <w:p>
            <w:pPr>
              <w:pStyle w:val="11"/>
            </w:pPr>
            <w:r>
              <w:t>163.27</w:t>
            </w:r>
          </w:p>
        </w:tc>
        <w:tc>
          <w:tcPr>
            <w:tcW w:w="1134" w:type="dxa"/>
            <w:vAlign w:val="center"/>
          </w:tcPr>
          <w:p>
            <w:pPr>
              <w:pStyle w:val="11"/>
            </w:pPr>
            <w:r>
              <w:t>163.27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69.60</w:t>
            </w:r>
          </w:p>
        </w:tc>
        <w:tc>
          <w:tcPr>
            <w:tcW w:w="1134" w:type="dxa"/>
            <w:vAlign w:val="center"/>
          </w:tcPr>
          <w:p>
            <w:pPr>
              <w:pStyle w:val="11"/>
            </w:pPr>
            <w:r>
              <w:t>69.60</w:t>
            </w:r>
          </w:p>
        </w:tc>
        <w:tc>
          <w:tcPr>
            <w:tcW w:w="1134" w:type="dxa"/>
            <w:vAlign w:val="center"/>
          </w:tcPr>
          <w:p>
            <w:pPr>
              <w:pStyle w:val="11"/>
            </w:pPr>
            <w:r>
              <w:t>69.60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399.36</w:t>
            </w:r>
          </w:p>
        </w:tc>
        <w:tc>
          <w:tcPr>
            <w:tcW w:w="1134" w:type="dxa"/>
            <w:vAlign w:val="center"/>
          </w:tcPr>
          <w:p>
            <w:pPr>
              <w:pStyle w:val="11"/>
            </w:pPr>
            <w:r>
              <w:t>399.36</w:t>
            </w:r>
          </w:p>
        </w:tc>
        <w:tc>
          <w:tcPr>
            <w:tcW w:w="1134" w:type="dxa"/>
            <w:vAlign w:val="center"/>
          </w:tcPr>
          <w:p>
            <w:pPr>
              <w:pStyle w:val="11"/>
            </w:pPr>
            <w:r>
              <w:t>399.36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224.52</w:t>
            </w:r>
          </w:p>
        </w:tc>
        <w:tc>
          <w:tcPr>
            <w:tcW w:w="1134" w:type="dxa"/>
            <w:vAlign w:val="center"/>
          </w:tcPr>
          <w:p>
            <w:pPr>
              <w:pStyle w:val="11"/>
            </w:pPr>
            <w:r>
              <w:t>224.52</w:t>
            </w:r>
          </w:p>
        </w:tc>
        <w:tc>
          <w:tcPr>
            <w:tcW w:w="1134" w:type="dxa"/>
            <w:vAlign w:val="center"/>
          </w:tcPr>
          <w:p>
            <w:pPr>
              <w:pStyle w:val="11"/>
            </w:pPr>
            <w:r>
              <w:t>224.52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224.52</w:t>
            </w:r>
          </w:p>
        </w:tc>
        <w:tc>
          <w:tcPr>
            <w:tcW w:w="1134" w:type="dxa"/>
            <w:vAlign w:val="center"/>
          </w:tcPr>
          <w:p>
            <w:pPr>
              <w:pStyle w:val="11"/>
            </w:pPr>
            <w:r>
              <w:t>224.52</w:t>
            </w:r>
          </w:p>
        </w:tc>
        <w:tc>
          <w:tcPr>
            <w:tcW w:w="1134" w:type="dxa"/>
            <w:vAlign w:val="center"/>
          </w:tcPr>
          <w:p>
            <w:pPr>
              <w:pStyle w:val="11"/>
            </w:pPr>
            <w:r>
              <w:t>224.52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132.40</w:t>
            </w:r>
          </w:p>
        </w:tc>
        <w:tc>
          <w:tcPr>
            <w:tcW w:w="1134" w:type="dxa"/>
            <w:vAlign w:val="center"/>
          </w:tcPr>
          <w:p>
            <w:pPr>
              <w:pStyle w:val="11"/>
            </w:pPr>
            <w:r>
              <w:t>132.40</w:t>
            </w:r>
          </w:p>
        </w:tc>
        <w:tc>
          <w:tcPr>
            <w:tcW w:w="1134" w:type="dxa"/>
            <w:vAlign w:val="center"/>
          </w:tcPr>
          <w:p>
            <w:pPr>
              <w:pStyle w:val="11"/>
            </w:pPr>
            <w:r>
              <w:t>132.40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72.12</w:t>
            </w:r>
          </w:p>
        </w:tc>
        <w:tc>
          <w:tcPr>
            <w:tcW w:w="1134" w:type="dxa"/>
            <w:vAlign w:val="center"/>
          </w:tcPr>
          <w:p>
            <w:pPr>
              <w:pStyle w:val="11"/>
            </w:pPr>
            <w:r>
              <w:t>72.12</w:t>
            </w:r>
          </w:p>
        </w:tc>
        <w:tc>
          <w:tcPr>
            <w:tcW w:w="1134" w:type="dxa"/>
            <w:vAlign w:val="center"/>
          </w:tcPr>
          <w:p>
            <w:pPr>
              <w:pStyle w:val="11"/>
            </w:pPr>
            <w:r>
              <w:t>72.12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36.41</w:t>
            </w:r>
          </w:p>
        </w:tc>
        <w:tc>
          <w:tcPr>
            <w:tcW w:w="1134" w:type="dxa"/>
            <w:vAlign w:val="center"/>
          </w:tcPr>
          <w:p>
            <w:pPr>
              <w:pStyle w:val="11"/>
            </w:pPr>
            <w:r>
              <w:t>36.41</w:t>
            </w:r>
          </w:p>
        </w:tc>
        <w:tc>
          <w:tcPr>
            <w:tcW w:w="1134" w:type="dxa"/>
            <w:vAlign w:val="center"/>
          </w:tcPr>
          <w:p>
            <w:pPr>
              <w:pStyle w:val="11"/>
            </w:pPr>
            <w:r>
              <w:t>36.41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36.41</w:t>
            </w:r>
          </w:p>
        </w:tc>
        <w:tc>
          <w:tcPr>
            <w:tcW w:w="1134" w:type="dxa"/>
            <w:vAlign w:val="center"/>
          </w:tcPr>
          <w:p>
            <w:pPr>
              <w:pStyle w:val="11"/>
            </w:pPr>
            <w:r>
              <w:t>36.41</w:t>
            </w:r>
          </w:p>
        </w:tc>
        <w:tc>
          <w:tcPr>
            <w:tcW w:w="1134" w:type="dxa"/>
            <w:vAlign w:val="center"/>
          </w:tcPr>
          <w:p>
            <w:pPr>
              <w:pStyle w:val="11"/>
            </w:pPr>
            <w:r>
              <w:t>36.41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30.81</w:t>
            </w:r>
          </w:p>
        </w:tc>
        <w:tc>
          <w:tcPr>
            <w:tcW w:w="1134" w:type="dxa"/>
            <w:vAlign w:val="center"/>
          </w:tcPr>
          <w:p>
            <w:pPr>
              <w:pStyle w:val="11"/>
            </w:pPr>
            <w:r>
              <w:t>30.81</w:t>
            </w:r>
          </w:p>
        </w:tc>
        <w:tc>
          <w:tcPr>
            <w:tcW w:w="1134" w:type="dxa"/>
            <w:vAlign w:val="center"/>
          </w:tcPr>
          <w:p>
            <w:pPr>
              <w:pStyle w:val="11"/>
            </w:pPr>
            <w:r>
              <w:t>30.81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5.82</w:t>
            </w:r>
          </w:p>
        </w:tc>
        <w:tc>
          <w:tcPr>
            <w:tcW w:w="1134" w:type="dxa"/>
            <w:vAlign w:val="center"/>
          </w:tcPr>
          <w:p>
            <w:pPr>
              <w:pStyle w:val="11"/>
            </w:pPr>
            <w:r>
              <w:t>5.82</w:t>
            </w:r>
          </w:p>
        </w:tc>
        <w:tc>
          <w:tcPr>
            <w:tcW w:w="1134" w:type="dxa"/>
            <w:vAlign w:val="center"/>
          </w:tcPr>
          <w:p>
            <w:pPr>
              <w:pStyle w:val="11"/>
            </w:pPr>
            <w:r>
              <w:t>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5.82</w:t>
            </w:r>
          </w:p>
        </w:tc>
        <w:tc>
          <w:tcPr>
            <w:tcW w:w="1134" w:type="dxa"/>
            <w:vAlign w:val="center"/>
          </w:tcPr>
          <w:p>
            <w:pPr>
              <w:pStyle w:val="11"/>
            </w:pPr>
            <w:r>
              <w:t>5.82</w:t>
            </w:r>
          </w:p>
        </w:tc>
        <w:tc>
          <w:tcPr>
            <w:tcW w:w="1134" w:type="dxa"/>
            <w:vAlign w:val="center"/>
          </w:tcPr>
          <w:p>
            <w:pPr>
              <w:pStyle w:val="11"/>
            </w:pPr>
            <w:r>
              <w:t>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5.82</w:t>
            </w:r>
          </w:p>
        </w:tc>
        <w:tc>
          <w:tcPr>
            <w:tcW w:w="1134" w:type="dxa"/>
            <w:vAlign w:val="center"/>
          </w:tcPr>
          <w:p>
            <w:pPr>
              <w:pStyle w:val="11"/>
            </w:pPr>
            <w:r>
              <w:t>5.82</w:t>
            </w:r>
          </w:p>
        </w:tc>
        <w:tc>
          <w:tcPr>
            <w:tcW w:w="1134" w:type="dxa"/>
            <w:vAlign w:val="center"/>
          </w:tcPr>
          <w:p>
            <w:pPr>
              <w:pStyle w:val="11"/>
            </w:pPr>
            <w:r>
              <w:t>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67.74</w:t>
            </w:r>
          </w:p>
        </w:tc>
        <w:tc>
          <w:tcPr>
            <w:tcW w:w="1134" w:type="dxa"/>
            <w:vAlign w:val="center"/>
          </w:tcPr>
          <w:p>
            <w:pPr>
              <w:pStyle w:val="11"/>
            </w:pPr>
            <w:r>
              <w:t>67.74</w:t>
            </w:r>
          </w:p>
        </w:tc>
        <w:tc>
          <w:tcPr>
            <w:tcW w:w="1134" w:type="dxa"/>
            <w:vAlign w:val="center"/>
          </w:tcPr>
          <w:p>
            <w:pPr>
              <w:pStyle w:val="11"/>
            </w:pPr>
            <w:r>
              <w:t>67.74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67.74</w:t>
            </w:r>
          </w:p>
        </w:tc>
        <w:tc>
          <w:tcPr>
            <w:tcW w:w="1134" w:type="dxa"/>
            <w:vAlign w:val="center"/>
          </w:tcPr>
          <w:p>
            <w:pPr>
              <w:pStyle w:val="11"/>
            </w:pPr>
            <w:r>
              <w:t>67.74</w:t>
            </w:r>
          </w:p>
        </w:tc>
        <w:tc>
          <w:tcPr>
            <w:tcW w:w="1134" w:type="dxa"/>
            <w:vAlign w:val="center"/>
          </w:tcPr>
          <w:p>
            <w:pPr>
              <w:pStyle w:val="11"/>
            </w:pPr>
            <w:r>
              <w:t>67.74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67.74</w:t>
            </w:r>
          </w:p>
        </w:tc>
        <w:tc>
          <w:tcPr>
            <w:tcW w:w="1134" w:type="dxa"/>
            <w:vAlign w:val="center"/>
          </w:tcPr>
          <w:p>
            <w:pPr>
              <w:pStyle w:val="11"/>
            </w:pPr>
            <w:r>
              <w:t>67.74</w:t>
            </w:r>
          </w:p>
        </w:tc>
        <w:tc>
          <w:tcPr>
            <w:tcW w:w="1134" w:type="dxa"/>
            <w:vAlign w:val="center"/>
          </w:tcPr>
          <w:p>
            <w:pPr>
              <w:pStyle w:val="11"/>
            </w:pPr>
            <w:r>
              <w:t>67.74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1619.28</w:t>
            </w:r>
          </w:p>
        </w:tc>
        <w:tc>
          <w:tcPr>
            <w:tcW w:w="1361" w:type="dxa"/>
            <w:vAlign w:val="center"/>
          </w:tcPr>
          <w:p>
            <w:pPr>
              <w:pStyle w:val="15"/>
            </w:pPr>
            <w:r>
              <w:t>981.23</w:t>
            </w:r>
          </w:p>
        </w:tc>
        <w:tc>
          <w:tcPr>
            <w:tcW w:w="1361" w:type="dxa"/>
            <w:vAlign w:val="center"/>
          </w:tcPr>
          <w:p>
            <w:pPr>
              <w:pStyle w:val="15"/>
            </w:pPr>
            <w:r>
              <w:t>638.05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1284.79</w:t>
            </w:r>
          </w:p>
        </w:tc>
        <w:tc>
          <w:tcPr>
            <w:tcW w:w="1361" w:type="dxa"/>
            <w:vAlign w:val="center"/>
          </w:tcPr>
          <w:p>
            <w:pPr>
              <w:pStyle w:val="11"/>
            </w:pPr>
            <w:r>
              <w:t>652.56</w:t>
            </w:r>
          </w:p>
        </w:tc>
        <w:tc>
          <w:tcPr>
            <w:tcW w:w="1361" w:type="dxa"/>
            <w:vAlign w:val="center"/>
          </w:tcPr>
          <w:p>
            <w:pPr>
              <w:pStyle w:val="11"/>
            </w:pPr>
            <w:r>
              <w:t>632.23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1284.79</w:t>
            </w:r>
          </w:p>
        </w:tc>
        <w:tc>
          <w:tcPr>
            <w:tcW w:w="1361" w:type="dxa"/>
            <w:vAlign w:val="center"/>
          </w:tcPr>
          <w:p>
            <w:pPr>
              <w:pStyle w:val="11"/>
            </w:pPr>
            <w:r>
              <w:t>652.56</w:t>
            </w:r>
          </w:p>
        </w:tc>
        <w:tc>
          <w:tcPr>
            <w:tcW w:w="1361" w:type="dxa"/>
            <w:vAlign w:val="center"/>
          </w:tcPr>
          <w:p>
            <w:pPr>
              <w:pStyle w:val="11"/>
            </w:pPr>
            <w:r>
              <w:t>632.23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652.56</w:t>
            </w:r>
          </w:p>
        </w:tc>
        <w:tc>
          <w:tcPr>
            <w:tcW w:w="1361" w:type="dxa"/>
            <w:vAlign w:val="center"/>
          </w:tcPr>
          <w:p>
            <w:pPr>
              <w:pStyle w:val="11"/>
            </w:pPr>
            <w:r>
              <w:t>652.56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163.27</w:t>
            </w:r>
          </w:p>
        </w:tc>
        <w:tc>
          <w:tcPr>
            <w:tcW w:w="1361" w:type="dxa"/>
            <w:vAlign w:val="center"/>
          </w:tcPr>
          <w:p>
            <w:pPr>
              <w:pStyle w:val="11"/>
            </w:pPr>
          </w:p>
        </w:tc>
        <w:tc>
          <w:tcPr>
            <w:tcW w:w="1361" w:type="dxa"/>
            <w:vAlign w:val="center"/>
          </w:tcPr>
          <w:p>
            <w:pPr>
              <w:pStyle w:val="11"/>
            </w:pPr>
            <w:r>
              <w:t>163.27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69.60</w:t>
            </w:r>
          </w:p>
        </w:tc>
        <w:tc>
          <w:tcPr>
            <w:tcW w:w="1361" w:type="dxa"/>
            <w:vAlign w:val="center"/>
          </w:tcPr>
          <w:p>
            <w:pPr>
              <w:pStyle w:val="11"/>
            </w:pPr>
          </w:p>
        </w:tc>
        <w:tc>
          <w:tcPr>
            <w:tcW w:w="1361" w:type="dxa"/>
            <w:vAlign w:val="center"/>
          </w:tcPr>
          <w:p>
            <w:pPr>
              <w:pStyle w:val="11"/>
            </w:pPr>
            <w:r>
              <w:t>69.60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399.36</w:t>
            </w:r>
          </w:p>
        </w:tc>
        <w:tc>
          <w:tcPr>
            <w:tcW w:w="1361" w:type="dxa"/>
            <w:vAlign w:val="center"/>
          </w:tcPr>
          <w:p>
            <w:pPr>
              <w:pStyle w:val="11"/>
            </w:pPr>
          </w:p>
        </w:tc>
        <w:tc>
          <w:tcPr>
            <w:tcW w:w="1361" w:type="dxa"/>
            <w:vAlign w:val="center"/>
          </w:tcPr>
          <w:p>
            <w:pPr>
              <w:pStyle w:val="11"/>
            </w:pPr>
            <w:r>
              <w:t>399.36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224.52</w:t>
            </w:r>
          </w:p>
        </w:tc>
        <w:tc>
          <w:tcPr>
            <w:tcW w:w="1361" w:type="dxa"/>
            <w:vAlign w:val="center"/>
          </w:tcPr>
          <w:p>
            <w:pPr>
              <w:pStyle w:val="11"/>
            </w:pPr>
            <w:r>
              <w:t>224.52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224.52</w:t>
            </w:r>
          </w:p>
        </w:tc>
        <w:tc>
          <w:tcPr>
            <w:tcW w:w="1361" w:type="dxa"/>
            <w:vAlign w:val="center"/>
          </w:tcPr>
          <w:p>
            <w:pPr>
              <w:pStyle w:val="11"/>
            </w:pPr>
            <w:r>
              <w:t>224.52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132.40</w:t>
            </w:r>
          </w:p>
        </w:tc>
        <w:tc>
          <w:tcPr>
            <w:tcW w:w="1361" w:type="dxa"/>
            <w:vAlign w:val="center"/>
          </w:tcPr>
          <w:p>
            <w:pPr>
              <w:pStyle w:val="11"/>
            </w:pPr>
            <w:r>
              <w:t>132.40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72.12</w:t>
            </w:r>
          </w:p>
        </w:tc>
        <w:tc>
          <w:tcPr>
            <w:tcW w:w="1361" w:type="dxa"/>
            <w:vAlign w:val="center"/>
          </w:tcPr>
          <w:p>
            <w:pPr>
              <w:pStyle w:val="11"/>
            </w:pPr>
            <w:r>
              <w:t>72.12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36.41</w:t>
            </w:r>
          </w:p>
        </w:tc>
        <w:tc>
          <w:tcPr>
            <w:tcW w:w="1361" w:type="dxa"/>
            <w:vAlign w:val="center"/>
          </w:tcPr>
          <w:p>
            <w:pPr>
              <w:pStyle w:val="11"/>
            </w:pPr>
            <w:r>
              <w:t>36.41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36.41</w:t>
            </w:r>
          </w:p>
        </w:tc>
        <w:tc>
          <w:tcPr>
            <w:tcW w:w="1361" w:type="dxa"/>
            <w:vAlign w:val="center"/>
          </w:tcPr>
          <w:p>
            <w:pPr>
              <w:pStyle w:val="11"/>
            </w:pPr>
            <w:r>
              <w:t>36.41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30.81</w:t>
            </w:r>
          </w:p>
        </w:tc>
        <w:tc>
          <w:tcPr>
            <w:tcW w:w="1361" w:type="dxa"/>
            <w:vAlign w:val="center"/>
          </w:tcPr>
          <w:p>
            <w:pPr>
              <w:pStyle w:val="11"/>
            </w:pPr>
            <w:r>
              <w:t>30.81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5.60</w:t>
            </w: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5.82</w:t>
            </w:r>
          </w:p>
        </w:tc>
        <w:tc>
          <w:tcPr>
            <w:tcW w:w="1361" w:type="dxa"/>
            <w:vAlign w:val="center"/>
          </w:tcPr>
          <w:p>
            <w:pPr>
              <w:pStyle w:val="11"/>
            </w:pPr>
          </w:p>
        </w:tc>
        <w:tc>
          <w:tcPr>
            <w:tcW w:w="1361" w:type="dxa"/>
            <w:vAlign w:val="center"/>
          </w:tcPr>
          <w:p>
            <w:pPr>
              <w:pStyle w:val="11"/>
            </w:pPr>
            <w:r>
              <w:t>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5.82</w:t>
            </w:r>
          </w:p>
        </w:tc>
        <w:tc>
          <w:tcPr>
            <w:tcW w:w="1361" w:type="dxa"/>
            <w:vAlign w:val="center"/>
          </w:tcPr>
          <w:p>
            <w:pPr>
              <w:pStyle w:val="11"/>
            </w:pPr>
          </w:p>
        </w:tc>
        <w:tc>
          <w:tcPr>
            <w:tcW w:w="1361" w:type="dxa"/>
            <w:vAlign w:val="center"/>
          </w:tcPr>
          <w:p>
            <w:pPr>
              <w:pStyle w:val="11"/>
            </w:pPr>
            <w:r>
              <w:t>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5.82</w:t>
            </w:r>
          </w:p>
        </w:tc>
        <w:tc>
          <w:tcPr>
            <w:tcW w:w="1361" w:type="dxa"/>
            <w:vAlign w:val="center"/>
          </w:tcPr>
          <w:p>
            <w:pPr>
              <w:pStyle w:val="11"/>
            </w:pPr>
          </w:p>
        </w:tc>
        <w:tc>
          <w:tcPr>
            <w:tcW w:w="1361" w:type="dxa"/>
            <w:vAlign w:val="center"/>
          </w:tcPr>
          <w:p>
            <w:pPr>
              <w:pStyle w:val="11"/>
            </w:pPr>
            <w:r>
              <w:t>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67.74</w:t>
            </w:r>
          </w:p>
        </w:tc>
        <w:tc>
          <w:tcPr>
            <w:tcW w:w="1361" w:type="dxa"/>
            <w:vAlign w:val="center"/>
          </w:tcPr>
          <w:p>
            <w:pPr>
              <w:pStyle w:val="11"/>
            </w:pPr>
            <w:r>
              <w:t>67.74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67.74</w:t>
            </w:r>
          </w:p>
        </w:tc>
        <w:tc>
          <w:tcPr>
            <w:tcW w:w="1361" w:type="dxa"/>
            <w:vAlign w:val="center"/>
          </w:tcPr>
          <w:p>
            <w:pPr>
              <w:pStyle w:val="11"/>
            </w:pPr>
            <w:r>
              <w:t>67.74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67.74</w:t>
            </w:r>
          </w:p>
        </w:tc>
        <w:tc>
          <w:tcPr>
            <w:tcW w:w="1361" w:type="dxa"/>
            <w:vAlign w:val="center"/>
          </w:tcPr>
          <w:p>
            <w:pPr>
              <w:pStyle w:val="11"/>
            </w:pPr>
            <w:r>
              <w:t>67.74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1619.28</w:t>
            </w:r>
          </w:p>
        </w:tc>
        <w:tc>
          <w:tcPr>
            <w:tcW w:w="3402" w:type="dxa"/>
            <w:vAlign w:val="center"/>
          </w:tcPr>
          <w:p>
            <w:pPr>
              <w:pStyle w:val="12"/>
            </w:pPr>
            <w:r>
              <w:t>一、一般公共服务支出</w:t>
            </w:r>
          </w:p>
        </w:tc>
        <w:tc>
          <w:tcPr>
            <w:tcW w:w="1474" w:type="dxa"/>
            <w:vAlign w:val="center"/>
          </w:tcPr>
          <w:p>
            <w:pPr>
              <w:pStyle w:val="11"/>
            </w:pPr>
            <w:r>
              <w:t>1284.79</w:t>
            </w:r>
          </w:p>
        </w:tc>
        <w:tc>
          <w:tcPr>
            <w:tcW w:w="1474" w:type="dxa"/>
            <w:vAlign w:val="center"/>
          </w:tcPr>
          <w:p>
            <w:pPr>
              <w:pStyle w:val="11"/>
            </w:pPr>
            <w:r>
              <w:t>1284.79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224.52</w:t>
            </w:r>
          </w:p>
        </w:tc>
        <w:tc>
          <w:tcPr>
            <w:tcW w:w="1474" w:type="dxa"/>
            <w:vAlign w:val="center"/>
          </w:tcPr>
          <w:p>
            <w:pPr>
              <w:pStyle w:val="11"/>
            </w:pPr>
            <w:r>
              <w:t>224.52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36.41</w:t>
            </w:r>
          </w:p>
        </w:tc>
        <w:tc>
          <w:tcPr>
            <w:tcW w:w="1474" w:type="dxa"/>
            <w:vAlign w:val="center"/>
          </w:tcPr>
          <w:p>
            <w:pPr>
              <w:pStyle w:val="11"/>
            </w:pPr>
            <w:r>
              <w:t>36.41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5.82</w:t>
            </w:r>
          </w:p>
        </w:tc>
        <w:tc>
          <w:tcPr>
            <w:tcW w:w="1474" w:type="dxa"/>
            <w:vAlign w:val="center"/>
          </w:tcPr>
          <w:p>
            <w:pPr>
              <w:pStyle w:val="11"/>
            </w:pPr>
            <w:r>
              <w:t>5.82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67.74</w:t>
            </w:r>
          </w:p>
        </w:tc>
        <w:tc>
          <w:tcPr>
            <w:tcW w:w="1474" w:type="dxa"/>
            <w:vAlign w:val="center"/>
          </w:tcPr>
          <w:p>
            <w:pPr>
              <w:pStyle w:val="11"/>
            </w:pPr>
            <w:r>
              <w:t>67.74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1619.28</w:t>
            </w:r>
          </w:p>
        </w:tc>
        <w:tc>
          <w:tcPr>
            <w:tcW w:w="3402" w:type="dxa"/>
            <w:vAlign w:val="center"/>
          </w:tcPr>
          <w:p>
            <w:pPr>
              <w:pStyle w:val="14"/>
            </w:pPr>
            <w:r>
              <w:t>本年支出合计</w:t>
            </w:r>
          </w:p>
        </w:tc>
        <w:tc>
          <w:tcPr>
            <w:tcW w:w="1474" w:type="dxa"/>
            <w:vAlign w:val="center"/>
          </w:tcPr>
          <w:p>
            <w:pPr>
              <w:pStyle w:val="15"/>
            </w:pPr>
            <w:r>
              <w:t>1619.28</w:t>
            </w:r>
          </w:p>
        </w:tc>
        <w:tc>
          <w:tcPr>
            <w:tcW w:w="1474" w:type="dxa"/>
            <w:vAlign w:val="center"/>
          </w:tcPr>
          <w:p>
            <w:pPr>
              <w:pStyle w:val="15"/>
            </w:pPr>
            <w:r>
              <w:t>1619.28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1619.28</w:t>
            </w:r>
          </w:p>
        </w:tc>
        <w:tc>
          <w:tcPr>
            <w:tcW w:w="3402" w:type="dxa"/>
            <w:vAlign w:val="center"/>
          </w:tcPr>
          <w:p>
            <w:pPr>
              <w:pStyle w:val="14"/>
            </w:pPr>
            <w:r>
              <w:t>支出总计</w:t>
            </w:r>
          </w:p>
        </w:tc>
        <w:tc>
          <w:tcPr>
            <w:tcW w:w="1474" w:type="dxa"/>
            <w:vAlign w:val="center"/>
          </w:tcPr>
          <w:p>
            <w:pPr>
              <w:pStyle w:val="15"/>
            </w:pPr>
            <w:r>
              <w:t>1619.28</w:t>
            </w:r>
          </w:p>
        </w:tc>
        <w:tc>
          <w:tcPr>
            <w:tcW w:w="1474" w:type="dxa"/>
            <w:vAlign w:val="center"/>
          </w:tcPr>
          <w:p>
            <w:pPr>
              <w:pStyle w:val="15"/>
            </w:pPr>
            <w:r>
              <w:t>1619.28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1619.28</w:t>
            </w:r>
          </w:p>
        </w:tc>
        <w:tc>
          <w:tcPr>
            <w:tcW w:w="2551" w:type="dxa"/>
            <w:vAlign w:val="center"/>
          </w:tcPr>
          <w:p>
            <w:pPr>
              <w:pStyle w:val="15"/>
            </w:pPr>
            <w:r>
              <w:t>981.23</w:t>
            </w:r>
          </w:p>
        </w:tc>
        <w:tc>
          <w:tcPr>
            <w:tcW w:w="2551" w:type="dxa"/>
            <w:vAlign w:val="center"/>
          </w:tcPr>
          <w:p>
            <w:pPr>
              <w:pStyle w:val="15"/>
            </w:pPr>
            <w:r>
              <w:t>638.05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1284.79</w:t>
            </w:r>
          </w:p>
        </w:tc>
        <w:tc>
          <w:tcPr>
            <w:tcW w:w="2551" w:type="dxa"/>
            <w:vAlign w:val="center"/>
          </w:tcPr>
          <w:p>
            <w:pPr>
              <w:pStyle w:val="11"/>
            </w:pPr>
            <w:r>
              <w:t>652.56</w:t>
            </w:r>
          </w:p>
        </w:tc>
        <w:tc>
          <w:tcPr>
            <w:tcW w:w="2551" w:type="dxa"/>
            <w:vAlign w:val="center"/>
          </w:tcPr>
          <w:p>
            <w:pPr>
              <w:pStyle w:val="11"/>
            </w:pPr>
            <w:r>
              <w:t>632.23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1284.79</w:t>
            </w:r>
          </w:p>
        </w:tc>
        <w:tc>
          <w:tcPr>
            <w:tcW w:w="2551" w:type="dxa"/>
            <w:vAlign w:val="center"/>
          </w:tcPr>
          <w:p>
            <w:pPr>
              <w:pStyle w:val="11"/>
            </w:pPr>
            <w:r>
              <w:t>652.56</w:t>
            </w:r>
          </w:p>
        </w:tc>
        <w:tc>
          <w:tcPr>
            <w:tcW w:w="2551" w:type="dxa"/>
            <w:vAlign w:val="center"/>
          </w:tcPr>
          <w:p>
            <w:pPr>
              <w:pStyle w:val="11"/>
            </w:pPr>
            <w:r>
              <w:t>632.23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652.56</w:t>
            </w:r>
          </w:p>
        </w:tc>
        <w:tc>
          <w:tcPr>
            <w:tcW w:w="2551" w:type="dxa"/>
            <w:vAlign w:val="center"/>
          </w:tcPr>
          <w:p>
            <w:pPr>
              <w:pStyle w:val="11"/>
            </w:pPr>
            <w:r>
              <w:t>652.56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163.27</w:t>
            </w:r>
          </w:p>
        </w:tc>
        <w:tc>
          <w:tcPr>
            <w:tcW w:w="2551" w:type="dxa"/>
            <w:vAlign w:val="center"/>
          </w:tcPr>
          <w:p>
            <w:pPr>
              <w:pStyle w:val="11"/>
            </w:pPr>
          </w:p>
        </w:tc>
        <w:tc>
          <w:tcPr>
            <w:tcW w:w="2551" w:type="dxa"/>
            <w:vAlign w:val="center"/>
          </w:tcPr>
          <w:p>
            <w:pPr>
              <w:pStyle w:val="11"/>
            </w:pPr>
            <w:r>
              <w:t>163.27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69.60</w:t>
            </w:r>
          </w:p>
        </w:tc>
        <w:tc>
          <w:tcPr>
            <w:tcW w:w="2551" w:type="dxa"/>
            <w:vAlign w:val="center"/>
          </w:tcPr>
          <w:p>
            <w:pPr>
              <w:pStyle w:val="11"/>
            </w:pPr>
          </w:p>
        </w:tc>
        <w:tc>
          <w:tcPr>
            <w:tcW w:w="2551" w:type="dxa"/>
            <w:vAlign w:val="center"/>
          </w:tcPr>
          <w:p>
            <w:pPr>
              <w:pStyle w:val="11"/>
            </w:pPr>
            <w:r>
              <w:t>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399.36</w:t>
            </w:r>
          </w:p>
        </w:tc>
        <w:tc>
          <w:tcPr>
            <w:tcW w:w="2551" w:type="dxa"/>
            <w:vAlign w:val="center"/>
          </w:tcPr>
          <w:p>
            <w:pPr>
              <w:pStyle w:val="11"/>
            </w:pPr>
          </w:p>
        </w:tc>
        <w:tc>
          <w:tcPr>
            <w:tcW w:w="2551" w:type="dxa"/>
            <w:vAlign w:val="center"/>
          </w:tcPr>
          <w:p>
            <w:pPr>
              <w:pStyle w:val="11"/>
            </w:pPr>
            <w:r>
              <w:t>399.36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224.52</w:t>
            </w:r>
          </w:p>
        </w:tc>
        <w:tc>
          <w:tcPr>
            <w:tcW w:w="2551" w:type="dxa"/>
            <w:vAlign w:val="center"/>
          </w:tcPr>
          <w:p>
            <w:pPr>
              <w:pStyle w:val="11"/>
            </w:pPr>
            <w:r>
              <w:t>224.52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224.52</w:t>
            </w:r>
          </w:p>
        </w:tc>
        <w:tc>
          <w:tcPr>
            <w:tcW w:w="2551" w:type="dxa"/>
            <w:vAlign w:val="center"/>
          </w:tcPr>
          <w:p>
            <w:pPr>
              <w:pStyle w:val="11"/>
            </w:pPr>
            <w:r>
              <w:t>224.52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132.40</w:t>
            </w:r>
          </w:p>
        </w:tc>
        <w:tc>
          <w:tcPr>
            <w:tcW w:w="2551" w:type="dxa"/>
            <w:vAlign w:val="center"/>
          </w:tcPr>
          <w:p>
            <w:pPr>
              <w:pStyle w:val="11"/>
            </w:pPr>
            <w:r>
              <w:t>132.40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72.12</w:t>
            </w:r>
          </w:p>
        </w:tc>
        <w:tc>
          <w:tcPr>
            <w:tcW w:w="2551" w:type="dxa"/>
            <w:vAlign w:val="center"/>
          </w:tcPr>
          <w:p>
            <w:pPr>
              <w:pStyle w:val="11"/>
            </w:pPr>
            <w:r>
              <w:t>72.12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36.41</w:t>
            </w:r>
          </w:p>
        </w:tc>
        <w:tc>
          <w:tcPr>
            <w:tcW w:w="2551" w:type="dxa"/>
            <w:vAlign w:val="center"/>
          </w:tcPr>
          <w:p>
            <w:pPr>
              <w:pStyle w:val="11"/>
            </w:pPr>
            <w:r>
              <w:t>36.41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36.41</w:t>
            </w:r>
          </w:p>
        </w:tc>
        <w:tc>
          <w:tcPr>
            <w:tcW w:w="2551" w:type="dxa"/>
            <w:vAlign w:val="center"/>
          </w:tcPr>
          <w:p>
            <w:pPr>
              <w:pStyle w:val="11"/>
            </w:pPr>
            <w:r>
              <w:t>36.41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30.81</w:t>
            </w:r>
          </w:p>
        </w:tc>
        <w:tc>
          <w:tcPr>
            <w:tcW w:w="2551" w:type="dxa"/>
            <w:vAlign w:val="center"/>
          </w:tcPr>
          <w:p>
            <w:pPr>
              <w:pStyle w:val="11"/>
            </w:pPr>
            <w:r>
              <w:t>30.81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67.74</w:t>
            </w:r>
          </w:p>
        </w:tc>
        <w:tc>
          <w:tcPr>
            <w:tcW w:w="2551" w:type="dxa"/>
            <w:vAlign w:val="center"/>
          </w:tcPr>
          <w:p>
            <w:pPr>
              <w:pStyle w:val="11"/>
            </w:pPr>
            <w:r>
              <w:t>67.74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67.74</w:t>
            </w:r>
          </w:p>
        </w:tc>
        <w:tc>
          <w:tcPr>
            <w:tcW w:w="2551" w:type="dxa"/>
            <w:vAlign w:val="center"/>
          </w:tcPr>
          <w:p>
            <w:pPr>
              <w:pStyle w:val="11"/>
            </w:pPr>
            <w:r>
              <w:t>67.74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67.74</w:t>
            </w:r>
          </w:p>
        </w:tc>
        <w:tc>
          <w:tcPr>
            <w:tcW w:w="2551" w:type="dxa"/>
            <w:vAlign w:val="center"/>
          </w:tcPr>
          <w:p>
            <w:pPr>
              <w:pStyle w:val="11"/>
            </w:pPr>
            <w:r>
              <w:t>67.74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981.23</w:t>
            </w:r>
          </w:p>
        </w:tc>
        <w:tc>
          <w:tcPr>
            <w:tcW w:w="2551" w:type="dxa"/>
            <w:vAlign w:val="center"/>
          </w:tcPr>
          <w:p>
            <w:pPr>
              <w:pStyle w:val="15"/>
            </w:pPr>
            <w:r>
              <w:t>914.17</w:t>
            </w:r>
          </w:p>
        </w:tc>
        <w:tc>
          <w:tcPr>
            <w:tcW w:w="2551" w:type="dxa"/>
            <w:vAlign w:val="center"/>
          </w:tcPr>
          <w:p>
            <w:pPr>
              <w:pStyle w:val="15"/>
            </w:pPr>
            <w:r>
              <w:t>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785.23</w:t>
            </w:r>
          </w:p>
        </w:tc>
        <w:tc>
          <w:tcPr>
            <w:tcW w:w="2551" w:type="dxa"/>
            <w:vAlign w:val="center"/>
          </w:tcPr>
          <w:p>
            <w:pPr>
              <w:pStyle w:val="11"/>
            </w:pPr>
            <w:r>
              <w:t>785.23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205.96</w:t>
            </w:r>
          </w:p>
        </w:tc>
        <w:tc>
          <w:tcPr>
            <w:tcW w:w="2551" w:type="dxa"/>
            <w:vAlign w:val="center"/>
          </w:tcPr>
          <w:p>
            <w:pPr>
              <w:pStyle w:val="11"/>
            </w:pPr>
            <w:r>
              <w:t>205.96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124.63</w:t>
            </w:r>
          </w:p>
        </w:tc>
        <w:tc>
          <w:tcPr>
            <w:tcW w:w="2551" w:type="dxa"/>
            <w:vAlign w:val="center"/>
          </w:tcPr>
          <w:p>
            <w:pPr>
              <w:pStyle w:val="11"/>
            </w:pPr>
            <w:r>
              <w:t>124.63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92.68</w:t>
            </w:r>
          </w:p>
        </w:tc>
        <w:tc>
          <w:tcPr>
            <w:tcW w:w="2551" w:type="dxa"/>
            <w:vAlign w:val="center"/>
          </w:tcPr>
          <w:p>
            <w:pPr>
              <w:pStyle w:val="11"/>
            </w:pPr>
            <w:r>
              <w:t>92.68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162.28</w:t>
            </w:r>
          </w:p>
        </w:tc>
        <w:tc>
          <w:tcPr>
            <w:tcW w:w="2551" w:type="dxa"/>
            <w:vAlign w:val="center"/>
          </w:tcPr>
          <w:p>
            <w:pPr>
              <w:pStyle w:val="11"/>
            </w:pPr>
            <w:r>
              <w:t>162.28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72.12</w:t>
            </w:r>
          </w:p>
        </w:tc>
        <w:tc>
          <w:tcPr>
            <w:tcW w:w="2551" w:type="dxa"/>
            <w:vAlign w:val="center"/>
          </w:tcPr>
          <w:p>
            <w:pPr>
              <w:pStyle w:val="11"/>
            </w:pPr>
            <w:r>
              <w:t>72.12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30.81</w:t>
            </w:r>
          </w:p>
        </w:tc>
        <w:tc>
          <w:tcPr>
            <w:tcW w:w="2551" w:type="dxa"/>
            <w:vAlign w:val="center"/>
          </w:tcPr>
          <w:p>
            <w:pPr>
              <w:pStyle w:val="11"/>
            </w:pPr>
            <w:r>
              <w:t>30.81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3.41</w:t>
            </w:r>
          </w:p>
        </w:tc>
        <w:tc>
          <w:tcPr>
            <w:tcW w:w="2551" w:type="dxa"/>
            <w:vAlign w:val="center"/>
          </w:tcPr>
          <w:p>
            <w:pPr>
              <w:pStyle w:val="11"/>
            </w:pPr>
            <w:r>
              <w:t>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67.74</w:t>
            </w:r>
          </w:p>
        </w:tc>
        <w:tc>
          <w:tcPr>
            <w:tcW w:w="2551" w:type="dxa"/>
            <w:vAlign w:val="center"/>
          </w:tcPr>
          <w:p>
            <w:pPr>
              <w:pStyle w:val="11"/>
            </w:pPr>
            <w:r>
              <w:t>67.74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67.06</w:t>
            </w:r>
          </w:p>
        </w:tc>
        <w:tc>
          <w:tcPr>
            <w:tcW w:w="2551" w:type="dxa"/>
            <w:vAlign w:val="center"/>
          </w:tcPr>
          <w:p>
            <w:pPr>
              <w:pStyle w:val="11"/>
            </w:pPr>
          </w:p>
        </w:tc>
        <w:tc>
          <w:tcPr>
            <w:tcW w:w="2551" w:type="dxa"/>
            <w:vAlign w:val="center"/>
          </w:tcPr>
          <w:p>
            <w:pPr>
              <w:pStyle w:val="11"/>
            </w:pPr>
            <w:r>
              <w:t>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12.37</w:t>
            </w:r>
          </w:p>
        </w:tc>
        <w:tc>
          <w:tcPr>
            <w:tcW w:w="2551" w:type="dxa"/>
            <w:vAlign w:val="center"/>
          </w:tcPr>
          <w:p>
            <w:pPr>
              <w:pStyle w:val="11"/>
            </w:pPr>
          </w:p>
        </w:tc>
        <w:tc>
          <w:tcPr>
            <w:tcW w:w="2551" w:type="dxa"/>
            <w:vAlign w:val="center"/>
          </w:tcPr>
          <w:p>
            <w:pPr>
              <w:pStyle w:val="11"/>
            </w:pPr>
            <w:r>
              <w:t>12.37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13.34</w:t>
            </w:r>
          </w:p>
        </w:tc>
        <w:tc>
          <w:tcPr>
            <w:tcW w:w="2551" w:type="dxa"/>
            <w:vAlign w:val="center"/>
          </w:tcPr>
          <w:p>
            <w:pPr>
              <w:pStyle w:val="11"/>
            </w:pPr>
          </w:p>
        </w:tc>
        <w:tc>
          <w:tcPr>
            <w:tcW w:w="2551" w:type="dxa"/>
            <w:vAlign w:val="center"/>
          </w:tcPr>
          <w:p>
            <w:pPr>
              <w:pStyle w:val="11"/>
            </w:pPr>
            <w:r>
              <w:t>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0.65</w:t>
            </w:r>
          </w:p>
        </w:tc>
        <w:tc>
          <w:tcPr>
            <w:tcW w:w="2551" w:type="dxa"/>
            <w:vAlign w:val="center"/>
          </w:tcPr>
          <w:p>
            <w:pPr>
              <w:pStyle w:val="11"/>
            </w:pPr>
          </w:p>
        </w:tc>
        <w:tc>
          <w:tcPr>
            <w:tcW w:w="2551"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6.85</w:t>
            </w:r>
          </w:p>
        </w:tc>
        <w:tc>
          <w:tcPr>
            <w:tcW w:w="2551" w:type="dxa"/>
            <w:vAlign w:val="center"/>
          </w:tcPr>
          <w:p>
            <w:pPr>
              <w:pStyle w:val="11"/>
            </w:pPr>
          </w:p>
        </w:tc>
        <w:tc>
          <w:tcPr>
            <w:tcW w:w="2551" w:type="dxa"/>
            <w:vAlign w:val="center"/>
          </w:tcPr>
          <w:p>
            <w:pPr>
              <w:pStyle w:val="11"/>
            </w:pPr>
            <w:r>
              <w:t>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3.30</w:t>
            </w:r>
          </w:p>
        </w:tc>
        <w:tc>
          <w:tcPr>
            <w:tcW w:w="2551" w:type="dxa"/>
            <w:vAlign w:val="center"/>
          </w:tcPr>
          <w:p>
            <w:pPr>
              <w:pStyle w:val="11"/>
            </w:pPr>
          </w:p>
        </w:tc>
        <w:tc>
          <w:tcPr>
            <w:tcW w:w="2551" w:type="dxa"/>
            <w:vAlign w:val="center"/>
          </w:tcPr>
          <w:p>
            <w:pPr>
              <w:pStyle w:val="11"/>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12.36</w:t>
            </w:r>
          </w:p>
        </w:tc>
        <w:tc>
          <w:tcPr>
            <w:tcW w:w="2551" w:type="dxa"/>
            <w:vAlign w:val="center"/>
          </w:tcPr>
          <w:p>
            <w:pPr>
              <w:pStyle w:val="11"/>
            </w:pPr>
          </w:p>
        </w:tc>
        <w:tc>
          <w:tcPr>
            <w:tcW w:w="2551" w:type="dxa"/>
            <w:vAlign w:val="center"/>
          </w:tcPr>
          <w:p>
            <w:pPr>
              <w:pStyle w:val="11"/>
            </w:pPr>
            <w:r>
              <w:t>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16.01</w:t>
            </w:r>
          </w:p>
        </w:tc>
        <w:tc>
          <w:tcPr>
            <w:tcW w:w="2551" w:type="dxa"/>
            <w:vAlign w:val="center"/>
          </w:tcPr>
          <w:p>
            <w:pPr>
              <w:pStyle w:val="11"/>
            </w:pPr>
          </w:p>
        </w:tc>
        <w:tc>
          <w:tcPr>
            <w:tcW w:w="2551" w:type="dxa"/>
            <w:vAlign w:val="center"/>
          </w:tcPr>
          <w:p>
            <w:pPr>
              <w:pStyle w:val="11"/>
            </w:pPr>
            <w:r>
              <w:t>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128.94</w:t>
            </w:r>
          </w:p>
        </w:tc>
        <w:tc>
          <w:tcPr>
            <w:tcW w:w="2551" w:type="dxa"/>
            <w:vAlign w:val="center"/>
          </w:tcPr>
          <w:p>
            <w:pPr>
              <w:pStyle w:val="11"/>
            </w:pPr>
            <w:r>
              <w:t>128.94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128.94</w:t>
            </w:r>
          </w:p>
        </w:tc>
        <w:tc>
          <w:tcPr>
            <w:tcW w:w="2551" w:type="dxa"/>
            <w:vAlign w:val="center"/>
          </w:tcPr>
          <w:p>
            <w:pPr>
              <w:pStyle w:val="11"/>
            </w:pPr>
            <w:r>
              <w:t>128.94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3.50</w:t>
            </w:r>
          </w:p>
        </w:tc>
        <w:tc>
          <w:tcPr>
            <w:tcW w:w="2381" w:type="dxa"/>
            <w:vAlign w:val="center"/>
          </w:tcPr>
          <w:p>
            <w:pPr>
              <w:pStyle w:val="15"/>
            </w:pPr>
            <w:r>
              <w:t>3.50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3.30</w:t>
            </w:r>
          </w:p>
        </w:tc>
        <w:tc>
          <w:tcPr>
            <w:tcW w:w="2381" w:type="dxa"/>
            <w:vAlign w:val="center"/>
          </w:tcPr>
          <w:p>
            <w:pPr>
              <w:pStyle w:val="11"/>
            </w:pPr>
            <w:r>
              <w:t>3.30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3.30</w:t>
            </w:r>
          </w:p>
        </w:tc>
        <w:tc>
          <w:tcPr>
            <w:tcW w:w="2381" w:type="dxa"/>
            <w:vAlign w:val="center"/>
          </w:tcPr>
          <w:p>
            <w:pPr>
              <w:pStyle w:val="11"/>
            </w:pPr>
            <w:r>
              <w:t>3.30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r>
              <w:t>0.20</w:t>
            </w:r>
          </w:p>
        </w:tc>
        <w:tc>
          <w:tcPr>
            <w:tcW w:w="2381" w:type="dxa"/>
            <w:vAlign w:val="center"/>
          </w:tcPr>
          <w:p>
            <w:pPr>
              <w:pStyle w:val="11"/>
            </w:pPr>
            <w:r>
              <w:t>0.20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财税发展规划、政策和改革方案并组织实施。分析预测全区宏观经济形势，贯彻各项宏观经济政策，提出运用财税政策实施宏观调控和综合平衡社会财力的建议；贯彻区政府与企业的分配政策，完善鼓励公益事业发展的财税政策。</w:t>
      </w:r>
    </w:p>
    <w:p>
      <w:pPr>
        <w:pStyle w:val="17"/>
      </w:pPr>
      <w:r>
        <w:t>（二）贯彻执行财政、财务、会计管理的法律、法规和规章。</w:t>
      </w:r>
    </w:p>
    <w:p>
      <w:pPr>
        <w:pStyle w:val="17"/>
      </w:pPr>
      <w:r>
        <w:t>（三）负责管理区级各项财政收支。编制年度区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财政预决算公开。</w:t>
      </w:r>
    </w:p>
    <w:p>
      <w:pPr>
        <w:pStyle w:val="17"/>
      </w:pPr>
      <w:r>
        <w:t xml:space="preserve">（四）贯彻执行税收地方性法规和规章、实施细则和税收政策调整方案。提出上级授权税目税率调整、减免和地方税收政策等重大事项的建议。组织推进税收制度改革。    </w:t>
      </w:r>
    </w:p>
    <w:p>
      <w:pPr>
        <w:pStyle w:val="17"/>
      </w:pPr>
      <w:r>
        <w:t xml:space="preserve">(五）按分工负责政府非税收入管理。负责政府性基金管理，按规定管理行政事业性收费。管理财政票据。  </w:t>
      </w:r>
    </w:p>
    <w:p>
      <w:pPr>
        <w:pStyle w:val="17"/>
      </w:pPr>
      <w:r>
        <w:t>(六）研究制定国库管理制度、国库集中收付制度，指导和监督区级国库业务，按规定开展国库资金现金管理工作。制定政府财务报告编制办法并组织实施。制定政府采购制度并监督管理。</w:t>
      </w:r>
    </w:p>
    <w:p>
      <w:pPr>
        <w:pStyle w:val="17"/>
      </w:pPr>
      <w:r>
        <w:t xml:space="preserve">(七)拟订政府债务管理制度和办法并组织实施。负责政府债务限额管理，按规定组织政府债券申报、转贷和还本付息等工作。开展对外财经交流。 </w:t>
      </w:r>
    </w:p>
    <w:p>
      <w:pPr>
        <w:pStyle w:val="17"/>
      </w:pPr>
      <w:r>
        <w:t xml:space="preserve">(八)牵头编制国有资产管理情况报告。根据区政府授权，逐步履行区级国有金融资本出资人职责。执行国有金融资本管理规章制度。拟订行政事业单位国有资产管理制度并组织实施，制定需要全区统一规定的开支标准和支出政策。 </w:t>
      </w:r>
    </w:p>
    <w:p>
      <w:pPr>
        <w:pStyle w:val="17"/>
      </w:pPr>
      <w:r>
        <w:t xml:space="preserve">（九）负责审核并汇总编制全区国有资本经营预决算草案，组织实施国有资本经营预算制度，收取区属企业国有资本收益。组织实施企业财务制度。负责财政预算内行政事业单位和社会团体的非贸易外汇管理。 </w:t>
      </w:r>
    </w:p>
    <w:p>
      <w:pPr>
        <w:pStyle w:val="17"/>
      </w:pPr>
      <w:r>
        <w:t xml:space="preserve">（十）负责审核并汇总编制全区社会保险基金预决算草案，会同有关部门拟订有关资金（基金）财务管理制度并组织实施。承担社会保险基金财政监管工作。 </w:t>
      </w:r>
    </w:p>
    <w:p>
      <w:pPr>
        <w:pStyle w:val="17"/>
      </w:pPr>
      <w:r>
        <w:t>（十一）负责办理和监督区级财政的经济发展支出、区级政府性投资项目的财政拨款，参与拟订区级建设投资的有关政策，制定基建财务管理制度。负责财政评审管理。</w:t>
      </w:r>
    </w:p>
    <w:p>
      <w:pPr>
        <w:pStyle w:val="17"/>
      </w:pPr>
      <w:r>
        <w:t>（十二）负责管理全区会计工作，监督和规范会计行为，组织实施会计制度。</w:t>
      </w:r>
    </w:p>
    <w:p>
      <w:pPr>
        <w:pStyle w:val="17"/>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1619.28万元，其中：一般公共预算收入1619.28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桥西区财政局本级年度单位预算中支出预算的总体情况。2026年支出预算1619.28万元，其中基本支出981.23万元，包括人员经费914.17万元和日常公用经费67.06万元；项目支出638.05万元，主要为委托业务费、劳务派遣人员经费、财政一体化系统运维服务经费、财政专网网络服务经费、驻村工作队经费；预计下年使用的单位资金结余0.00万元。委托业务费共计安排468.96万元，主要用于因技术原因确需对外委托的辅助性工作和确有必要对外委托开展咨询、评审、规划等工作。</w:t>
      </w:r>
    </w:p>
    <w:p>
      <w:pPr>
        <w:pStyle w:val="18"/>
      </w:pPr>
      <w:r>
        <w:t>3、比上年增减情况</w:t>
      </w:r>
    </w:p>
    <w:p>
      <w:pPr>
        <w:pStyle w:val="18"/>
      </w:pPr>
      <w:r>
        <w:t>2026年预算收支安排1619.28万元，较2025年预算增加62.07万元，其中：基本支出减少27.86万元，主要为在职人员减少，退休人员增加。项目支出增加89.93万元，主要为根据实际工作需求增加委托业务经费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ascii="Times New Roman" w:hAnsi="Times New Roman" w:eastAsia="方正仿宋_GBK" w:cs="Times New Roman"/>
          <w:sz w:val="28"/>
          <w:szCs w:val="22"/>
        </w:rPr>
      </w:pPr>
      <w:r>
        <w:rPr>
          <w:rFonts w:ascii="宋体" w:hAnsi="宋体" w:eastAsia="宋体" w:cs="宋体"/>
          <w:sz w:val="24"/>
          <w:szCs w:val="24"/>
        </w:rPr>
        <w:t> </w:t>
      </w:r>
      <w:r>
        <w:rPr>
          <w:rFonts w:ascii="Times New Roman" w:hAnsi="Times New Roman" w:eastAsia="方正仿宋_GBK" w:cs="Times New Roman"/>
          <w:sz w:val="28"/>
          <w:szCs w:val="22"/>
        </w:rPr>
        <w:t>2026年，我单位机关运行经费共计安排67.06万元，主要用于日常维修、办公用房水电费、办公用房取暖费、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w:t>
      </w:r>
      <w:bookmarkStart w:id="1" w:name="_GoBack"/>
      <w:bookmarkEnd w:id="1"/>
      <w:r>
        <w:rPr>
          <w:rFonts w:ascii="黑体" w:hAnsi="黑体" w:eastAsia="黑体" w:cs="黑体"/>
          <w:color w:val="000000"/>
          <w:sz w:val="32"/>
        </w:rPr>
        <w:t>化原因</w:t>
      </w:r>
    </w:p>
    <w:p>
      <w:pPr>
        <w:pStyle w:val="20"/>
      </w:pPr>
      <w:r>
        <w:t>2026年，我单位财政拨款“三公”经费预算安排3.50万元，其中因公出国（境）费0.00万元；公务用车购置及运维费3.30万元（其中：公务用车购置费为0.00万元，公务用车运维费3.30万元)；公务接待费0.20万元。与2025年相比增加0.00万元，增减变化的主要原因是我单位持续强化厉行节约管理，从严从紧控制非必要、非刚性支出，始终保持三公经费支出规模稳定。</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1、财政一体化系统运维服务经费绩效目标表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13010426P00987510019R</w:t>
            </w:r>
          </w:p>
        </w:tc>
        <w:tc>
          <w:tcPr>
            <w:tcW w:w="2835" w:type="dxa"/>
            <w:vAlign w:val="center"/>
          </w:tcPr>
          <w:p>
            <w:pPr>
              <w:pStyle w:val="10"/>
            </w:pPr>
            <w:r>
              <w:t>项目名称</w:t>
            </w:r>
          </w:p>
        </w:tc>
        <w:tc>
          <w:tcPr>
            <w:tcW w:w="6095" w:type="dxa"/>
            <w:gridSpan w:val="3"/>
            <w:vAlign w:val="center"/>
          </w:tcPr>
          <w:p>
            <w:pPr>
              <w:pStyle w:val="12"/>
            </w:pPr>
            <w:r>
              <w:t>财政一体化系统运维服务经费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43.10</w:t>
            </w:r>
          </w:p>
        </w:tc>
        <w:tc>
          <w:tcPr>
            <w:tcW w:w="2835" w:type="dxa"/>
            <w:vAlign w:val="center"/>
          </w:tcPr>
          <w:p>
            <w:pPr>
              <w:pStyle w:val="10"/>
            </w:pPr>
            <w:r>
              <w:t>其中：财政    资金</w:t>
            </w:r>
          </w:p>
        </w:tc>
        <w:tc>
          <w:tcPr>
            <w:tcW w:w="2551" w:type="dxa"/>
            <w:vAlign w:val="center"/>
          </w:tcPr>
          <w:p>
            <w:pPr>
              <w:pStyle w:val="12"/>
            </w:pPr>
            <w:r>
              <w:t>43.10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主要用于河北省预算管理一体化系统、会计核算、决算模块年度运维服务费，及等保测评服务、防火墙购置等支出。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1.实现河北省预算管理一体化业务系统中部门决算、会计核算等模块的使用、维护，保障全区各单位问题及时解决。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系统运维数量</w:t>
            </w:r>
          </w:p>
        </w:tc>
        <w:tc>
          <w:tcPr>
            <w:tcW w:w="5386" w:type="dxa"/>
            <w:vAlign w:val="center"/>
          </w:tcPr>
          <w:p>
            <w:pPr>
              <w:pStyle w:val="12"/>
            </w:pPr>
            <w:r>
              <w:t>全区一体化系统运维模块数量</w:t>
            </w:r>
          </w:p>
        </w:tc>
        <w:tc>
          <w:tcPr>
            <w:tcW w:w="2268" w:type="dxa"/>
            <w:vAlign w:val="center"/>
          </w:tcPr>
          <w:p>
            <w:pPr>
              <w:pStyle w:val="12"/>
            </w:pPr>
            <w:r>
              <w:t>3个</w:t>
            </w:r>
          </w:p>
        </w:tc>
        <w:tc>
          <w:tcPr>
            <w:tcW w:w="1276" w:type="dxa"/>
            <w:vAlign w:val="center"/>
          </w:tcPr>
          <w:p>
            <w:pPr>
              <w:pStyle w:val="12"/>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一体化运行质量</w:t>
            </w:r>
          </w:p>
        </w:tc>
        <w:tc>
          <w:tcPr>
            <w:tcW w:w="5386" w:type="dxa"/>
            <w:vAlign w:val="center"/>
          </w:tcPr>
          <w:p>
            <w:pPr>
              <w:pStyle w:val="12"/>
            </w:pPr>
            <w:r>
              <w:t>一体化正常运行率</w:t>
            </w:r>
          </w:p>
        </w:tc>
        <w:tc>
          <w:tcPr>
            <w:tcW w:w="2268" w:type="dxa"/>
            <w:vAlign w:val="center"/>
          </w:tcPr>
          <w:p>
            <w:pPr>
              <w:pStyle w:val="12"/>
            </w:pPr>
            <w:r>
              <w:t>≥95百分比</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一体化运维及时性</w:t>
            </w:r>
          </w:p>
        </w:tc>
        <w:tc>
          <w:tcPr>
            <w:tcW w:w="5386" w:type="dxa"/>
            <w:vAlign w:val="center"/>
          </w:tcPr>
          <w:p>
            <w:pPr>
              <w:pStyle w:val="12"/>
            </w:pPr>
            <w:r>
              <w:t>运行中出现问题解决及时，工作正常进行</w:t>
            </w:r>
          </w:p>
        </w:tc>
        <w:tc>
          <w:tcPr>
            <w:tcW w:w="2268" w:type="dxa"/>
            <w:vAlign w:val="center"/>
          </w:tcPr>
          <w:p>
            <w:pPr>
              <w:pStyle w:val="12"/>
            </w:pPr>
            <w:r>
              <w:t>≤5天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运行总成本</w:t>
            </w:r>
          </w:p>
        </w:tc>
        <w:tc>
          <w:tcPr>
            <w:tcW w:w="5386" w:type="dxa"/>
            <w:vAlign w:val="center"/>
          </w:tcPr>
          <w:p>
            <w:pPr>
              <w:pStyle w:val="12"/>
            </w:pPr>
            <w:r>
              <w:t>一体化维护成本</w:t>
            </w:r>
          </w:p>
        </w:tc>
        <w:tc>
          <w:tcPr>
            <w:tcW w:w="2268" w:type="dxa"/>
            <w:vAlign w:val="center"/>
          </w:tcPr>
          <w:p>
            <w:pPr>
              <w:pStyle w:val="12"/>
            </w:pPr>
            <w:r>
              <w:t>≤43.1万元</w:t>
            </w:r>
          </w:p>
        </w:tc>
        <w:tc>
          <w:tcPr>
            <w:tcW w:w="1276" w:type="dxa"/>
            <w:vAlign w:val="center"/>
          </w:tcPr>
          <w:p>
            <w:pPr>
              <w:pStyle w:val="12"/>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提升各单位使用一体化能力</w:t>
            </w:r>
          </w:p>
        </w:tc>
        <w:tc>
          <w:tcPr>
            <w:tcW w:w="5386" w:type="dxa"/>
            <w:vAlign w:val="center"/>
          </w:tcPr>
          <w:p>
            <w:pPr>
              <w:pStyle w:val="12"/>
            </w:pPr>
            <w:r>
              <w:t>提升各预算单位使用一体化能力，保障河北省财政一体化系统正常运转</w:t>
            </w:r>
          </w:p>
        </w:tc>
        <w:tc>
          <w:tcPr>
            <w:tcW w:w="2268" w:type="dxa"/>
            <w:vAlign w:val="center"/>
          </w:tcPr>
          <w:p>
            <w:pPr>
              <w:pStyle w:val="12"/>
            </w:pPr>
            <w:r>
              <w:t>≥95百分比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各预算单位满意度</w:t>
            </w:r>
          </w:p>
        </w:tc>
        <w:tc>
          <w:tcPr>
            <w:tcW w:w="5386" w:type="dxa"/>
            <w:vAlign w:val="center"/>
          </w:tcPr>
          <w:p>
            <w:pPr>
              <w:pStyle w:val="12"/>
            </w:pPr>
            <w:r>
              <w:t>使用财政一体化预算单位满意度</w:t>
            </w:r>
          </w:p>
        </w:tc>
        <w:tc>
          <w:tcPr>
            <w:tcW w:w="2268" w:type="dxa"/>
            <w:vAlign w:val="center"/>
          </w:tcPr>
          <w:p>
            <w:pPr>
              <w:pStyle w:val="12"/>
            </w:pPr>
            <w:r>
              <w:t>≥95百分比</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2、财政专网网络服务经费绩效目标表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13010426P00987210011U</w:t>
            </w:r>
          </w:p>
        </w:tc>
        <w:tc>
          <w:tcPr>
            <w:tcW w:w="2835" w:type="dxa"/>
            <w:vAlign w:val="center"/>
          </w:tcPr>
          <w:p>
            <w:pPr>
              <w:pStyle w:val="10"/>
            </w:pPr>
            <w:r>
              <w:t>项目名称</w:t>
            </w:r>
          </w:p>
        </w:tc>
        <w:tc>
          <w:tcPr>
            <w:tcW w:w="6095" w:type="dxa"/>
            <w:gridSpan w:val="3"/>
            <w:vAlign w:val="center"/>
          </w:tcPr>
          <w:p>
            <w:pPr>
              <w:pStyle w:val="12"/>
            </w:pPr>
            <w:r>
              <w:t>财政专网网络服务经费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26.50</w:t>
            </w:r>
          </w:p>
        </w:tc>
        <w:tc>
          <w:tcPr>
            <w:tcW w:w="2835" w:type="dxa"/>
            <w:vAlign w:val="center"/>
          </w:tcPr>
          <w:p>
            <w:pPr>
              <w:pStyle w:val="10"/>
            </w:pPr>
            <w:r>
              <w:t>其中：财政    资金</w:t>
            </w:r>
          </w:p>
        </w:tc>
        <w:tc>
          <w:tcPr>
            <w:tcW w:w="2551" w:type="dxa"/>
            <w:vAlign w:val="center"/>
          </w:tcPr>
          <w:p>
            <w:pPr>
              <w:pStyle w:val="12"/>
            </w:pPr>
            <w:r>
              <w:t>26.50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用于支付财政专网网络服务费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1.实现省市区三级财政专网互联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一体化使用率</w:t>
            </w:r>
          </w:p>
        </w:tc>
        <w:tc>
          <w:tcPr>
            <w:tcW w:w="5386" w:type="dxa"/>
            <w:vAlign w:val="center"/>
          </w:tcPr>
          <w:p>
            <w:pPr>
              <w:pStyle w:val="12"/>
            </w:pPr>
            <w:r>
              <w:t>全区各预算单位一体化运维互联网络使用情况</w:t>
            </w:r>
          </w:p>
        </w:tc>
        <w:tc>
          <w:tcPr>
            <w:tcW w:w="2268" w:type="dxa"/>
            <w:vAlign w:val="center"/>
          </w:tcPr>
          <w:p>
            <w:pPr>
              <w:pStyle w:val="12"/>
            </w:pPr>
            <w:r>
              <w:t>≥95百分比</w:t>
            </w:r>
          </w:p>
        </w:tc>
        <w:tc>
          <w:tcPr>
            <w:tcW w:w="1276" w:type="dxa"/>
            <w:vAlign w:val="center"/>
          </w:tcPr>
          <w:p>
            <w:pPr>
              <w:pStyle w:val="12"/>
            </w:pPr>
            <w:r>
              <w:t>业务开通情况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一体化运行质量</w:t>
            </w:r>
          </w:p>
        </w:tc>
        <w:tc>
          <w:tcPr>
            <w:tcW w:w="5386" w:type="dxa"/>
            <w:vAlign w:val="center"/>
          </w:tcPr>
          <w:p>
            <w:pPr>
              <w:pStyle w:val="12"/>
            </w:pPr>
            <w:r>
              <w:t>一体化正常运行率</w:t>
            </w:r>
          </w:p>
        </w:tc>
        <w:tc>
          <w:tcPr>
            <w:tcW w:w="2268" w:type="dxa"/>
            <w:vAlign w:val="center"/>
          </w:tcPr>
          <w:p>
            <w:pPr>
              <w:pStyle w:val="12"/>
            </w:pPr>
            <w:r>
              <w:t>≥95百分比</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一体化运维及时性</w:t>
            </w:r>
          </w:p>
        </w:tc>
        <w:tc>
          <w:tcPr>
            <w:tcW w:w="5386" w:type="dxa"/>
            <w:vAlign w:val="center"/>
          </w:tcPr>
          <w:p>
            <w:pPr>
              <w:pStyle w:val="12"/>
            </w:pPr>
            <w:r>
              <w:t>运行中出现问题解决及时，工作正常进行</w:t>
            </w:r>
          </w:p>
        </w:tc>
        <w:tc>
          <w:tcPr>
            <w:tcW w:w="2268" w:type="dxa"/>
            <w:vAlign w:val="center"/>
          </w:tcPr>
          <w:p>
            <w:pPr>
              <w:pStyle w:val="12"/>
            </w:pPr>
            <w:r>
              <w:t>≤5天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网络运行成本</w:t>
            </w:r>
          </w:p>
        </w:tc>
        <w:tc>
          <w:tcPr>
            <w:tcW w:w="5386" w:type="dxa"/>
            <w:vAlign w:val="center"/>
          </w:tcPr>
          <w:p>
            <w:pPr>
              <w:pStyle w:val="12"/>
            </w:pPr>
            <w:r>
              <w:t>全区预算单位一体化维护成本</w:t>
            </w:r>
          </w:p>
        </w:tc>
        <w:tc>
          <w:tcPr>
            <w:tcW w:w="2268" w:type="dxa"/>
            <w:vAlign w:val="center"/>
          </w:tcPr>
          <w:p>
            <w:pPr>
              <w:pStyle w:val="12"/>
            </w:pPr>
            <w:r>
              <w:t>≤26.5万元</w:t>
            </w:r>
          </w:p>
        </w:tc>
        <w:tc>
          <w:tcPr>
            <w:tcW w:w="1276" w:type="dxa"/>
            <w:vAlign w:val="center"/>
          </w:tcPr>
          <w:p>
            <w:pPr>
              <w:pStyle w:val="12"/>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提升各预算单位财政信息化能力</w:t>
            </w:r>
          </w:p>
        </w:tc>
        <w:tc>
          <w:tcPr>
            <w:tcW w:w="5386" w:type="dxa"/>
            <w:vAlign w:val="center"/>
          </w:tcPr>
          <w:p>
            <w:pPr>
              <w:pStyle w:val="12"/>
            </w:pPr>
            <w:r>
              <w:t>提升各预算单位使用一体化能力，保障河北省财政一体化系统正常运转</w:t>
            </w:r>
          </w:p>
        </w:tc>
        <w:tc>
          <w:tcPr>
            <w:tcW w:w="2268" w:type="dxa"/>
            <w:vAlign w:val="center"/>
          </w:tcPr>
          <w:p>
            <w:pPr>
              <w:pStyle w:val="12"/>
            </w:pPr>
            <w:r>
              <w:t>≥95百分比</w:t>
            </w:r>
          </w:p>
        </w:tc>
        <w:tc>
          <w:tcPr>
            <w:tcW w:w="1276" w:type="dxa"/>
            <w:vAlign w:val="center"/>
          </w:tcPr>
          <w:p>
            <w:pPr>
              <w:pStyle w:val="12"/>
            </w:pPr>
            <w:r>
              <w:t>机关运行效能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各预算单位网络满意率</w:t>
            </w:r>
          </w:p>
        </w:tc>
        <w:tc>
          <w:tcPr>
            <w:tcW w:w="5386" w:type="dxa"/>
            <w:vAlign w:val="center"/>
          </w:tcPr>
          <w:p>
            <w:pPr>
              <w:pStyle w:val="12"/>
            </w:pPr>
            <w:r>
              <w:t>使用财政一体化预算单位满意度</w:t>
            </w:r>
          </w:p>
        </w:tc>
        <w:tc>
          <w:tcPr>
            <w:tcW w:w="2268" w:type="dxa"/>
            <w:vAlign w:val="center"/>
          </w:tcPr>
          <w:p>
            <w:pPr>
              <w:pStyle w:val="12"/>
            </w:pPr>
            <w:r>
              <w:t>≥99百分比</w:t>
            </w:r>
          </w:p>
        </w:tc>
        <w:tc>
          <w:tcPr>
            <w:tcW w:w="1276" w:type="dxa"/>
            <w:vAlign w:val="center"/>
          </w:tcPr>
          <w:p>
            <w:pPr>
              <w:pStyle w:val="12"/>
            </w:pPr>
            <w:r>
              <w:t>使用单位满意度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13010426P009870101886</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162.63</w:t>
            </w:r>
          </w:p>
        </w:tc>
        <w:tc>
          <w:tcPr>
            <w:tcW w:w="2835" w:type="dxa"/>
            <w:vAlign w:val="center"/>
          </w:tcPr>
          <w:p>
            <w:pPr>
              <w:pStyle w:val="10"/>
            </w:pPr>
            <w:r>
              <w:t>其中：财政    资金</w:t>
            </w:r>
          </w:p>
        </w:tc>
        <w:tc>
          <w:tcPr>
            <w:tcW w:w="2551" w:type="dxa"/>
            <w:vAlign w:val="center"/>
          </w:tcPr>
          <w:p>
            <w:pPr>
              <w:pStyle w:val="12"/>
            </w:pPr>
            <w:r>
              <w:t>162.63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主要用于支付劳动派遣人员费用。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1.按时足额支付劳动派遣人员费用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派遣人员数量保障率</w:t>
            </w:r>
          </w:p>
        </w:tc>
        <w:tc>
          <w:tcPr>
            <w:tcW w:w="5386" w:type="dxa"/>
            <w:vAlign w:val="center"/>
          </w:tcPr>
          <w:p>
            <w:pPr>
              <w:pStyle w:val="12"/>
            </w:pPr>
            <w:r>
              <w:t>实际到岗数</w:t>
            </w:r>
          </w:p>
        </w:tc>
        <w:tc>
          <w:tcPr>
            <w:tcW w:w="2268" w:type="dxa"/>
            <w:vAlign w:val="center"/>
          </w:tcPr>
          <w:p>
            <w:pPr>
              <w:pStyle w:val="12"/>
            </w:pPr>
            <w:r>
              <w:t>≥95百分比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薪资发放准确率</w:t>
            </w:r>
          </w:p>
        </w:tc>
        <w:tc>
          <w:tcPr>
            <w:tcW w:w="5386" w:type="dxa"/>
            <w:vAlign w:val="center"/>
          </w:tcPr>
          <w:p>
            <w:pPr>
              <w:pStyle w:val="12"/>
            </w:pPr>
            <w:r>
              <w:t>薪资发放准确率</w:t>
            </w:r>
          </w:p>
        </w:tc>
        <w:tc>
          <w:tcPr>
            <w:tcW w:w="2268" w:type="dxa"/>
            <w:vAlign w:val="center"/>
          </w:tcPr>
          <w:p>
            <w:pPr>
              <w:pStyle w:val="12"/>
            </w:pPr>
            <w:r>
              <w:t>≥90百分比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支付到位率</w:t>
            </w:r>
          </w:p>
        </w:tc>
        <w:tc>
          <w:tcPr>
            <w:tcW w:w="5386" w:type="dxa"/>
            <w:vAlign w:val="center"/>
          </w:tcPr>
          <w:p>
            <w:pPr>
              <w:pStyle w:val="12"/>
            </w:pPr>
            <w:r>
              <w:t>支付到位率</w:t>
            </w:r>
          </w:p>
        </w:tc>
        <w:tc>
          <w:tcPr>
            <w:tcW w:w="2268" w:type="dxa"/>
            <w:vAlign w:val="center"/>
          </w:tcPr>
          <w:p>
            <w:pPr>
              <w:pStyle w:val="12"/>
            </w:pPr>
            <w:r>
              <w:t>≥90百分比</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不超预算支出数</w:t>
            </w:r>
          </w:p>
        </w:tc>
        <w:tc>
          <w:tcPr>
            <w:tcW w:w="5386" w:type="dxa"/>
            <w:vAlign w:val="center"/>
          </w:tcPr>
          <w:p>
            <w:pPr>
              <w:pStyle w:val="12"/>
            </w:pPr>
            <w:r>
              <w:t>不超预算成本支出数</w:t>
            </w:r>
          </w:p>
        </w:tc>
        <w:tc>
          <w:tcPr>
            <w:tcW w:w="2268" w:type="dxa"/>
            <w:vAlign w:val="center"/>
          </w:tcPr>
          <w:p>
            <w:pPr>
              <w:pStyle w:val="12"/>
            </w:pPr>
            <w:r>
              <w:t>≤170.41万元</w:t>
            </w:r>
          </w:p>
        </w:tc>
        <w:tc>
          <w:tcPr>
            <w:tcW w:w="1276" w:type="dxa"/>
            <w:vAlign w:val="center"/>
          </w:tcPr>
          <w:p>
            <w:pPr>
              <w:pStyle w:val="12"/>
            </w:pPr>
            <w:r>
              <w:t>《中华人民共和国预算法》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带动人员就业</w:t>
            </w:r>
          </w:p>
        </w:tc>
        <w:tc>
          <w:tcPr>
            <w:tcW w:w="5386" w:type="dxa"/>
            <w:vAlign w:val="center"/>
          </w:tcPr>
          <w:p>
            <w:pPr>
              <w:pStyle w:val="12"/>
            </w:pPr>
            <w:r>
              <w:t>带动人员就业</w:t>
            </w:r>
          </w:p>
        </w:tc>
        <w:tc>
          <w:tcPr>
            <w:tcW w:w="2268" w:type="dxa"/>
            <w:vAlign w:val="center"/>
          </w:tcPr>
          <w:p>
            <w:pPr>
              <w:pStyle w:val="12"/>
            </w:pPr>
            <w:r>
              <w:t>≥37人</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派遣人员满意率</w:t>
            </w:r>
          </w:p>
        </w:tc>
        <w:tc>
          <w:tcPr>
            <w:tcW w:w="5386" w:type="dxa"/>
            <w:vAlign w:val="center"/>
          </w:tcPr>
          <w:p>
            <w:pPr>
              <w:pStyle w:val="12"/>
            </w:pPr>
            <w:r>
              <w:t>派遣人员满意率</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4、委托业务费绩效目标表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13010426P00986310003M</w:t>
            </w:r>
          </w:p>
        </w:tc>
        <w:tc>
          <w:tcPr>
            <w:tcW w:w="2835" w:type="dxa"/>
            <w:vAlign w:val="center"/>
          </w:tcPr>
          <w:p>
            <w:pPr>
              <w:pStyle w:val="10"/>
            </w:pPr>
            <w:r>
              <w:t>项目名称</w:t>
            </w:r>
          </w:p>
        </w:tc>
        <w:tc>
          <w:tcPr>
            <w:tcW w:w="6095" w:type="dxa"/>
            <w:gridSpan w:val="3"/>
            <w:vAlign w:val="center"/>
          </w:tcPr>
          <w:p>
            <w:pPr>
              <w:pStyle w:val="12"/>
            </w:pPr>
            <w:r>
              <w:t>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主要用支付评审费、评估费、税收分析服务费、专项检测费、绩效评价服务费、案件代理费等费用支出。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77%</w:t>
            </w:r>
          </w:p>
        </w:tc>
        <w:tc>
          <w:tcPr>
            <w:tcW w:w="2835" w:type="dxa"/>
            <w:vAlign w:val="center"/>
          </w:tcPr>
          <w:p>
            <w:pPr>
              <w:pStyle w:val="13"/>
            </w:pPr>
            <w:r>
              <w:t>87%</w:t>
            </w:r>
          </w:p>
        </w:tc>
        <w:tc>
          <w:tcPr>
            <w:tcW w:w="2551" w:type="dxa"/>
            <w:vAlign w:val="center"/>
          </w:tcPr>
          <w:p>
            <w:pPr>
              <w:pStyle w:val="13"/>
            </w:pPr>
            <w:r>
              <w:t>88%</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1.通过委托第三方机构对区属行政事业单位投资工程项目进行预算、结算评审，提升项目资金使用的规范和有效性，提高财政资金使用效率。</w:t>
            </w:r>
          </w:p>
          <w:p>
            <w:pPr>
              <w:pStyle w:val="12"/>
            </w:pPr>
            <w:r>
              <w:t>2.通过支付法律顾问费用，依法依规处理政府采购类案件，促进政府采购领域公平竞争；委托第三方提供监督检查等服务，辅助开展财政采购专项业务事项，增强单位业务能力水平</w:t>
            </w:r>
          </w:p>
          <w:p>
            <w:pPr>
              <w:pStyle w:val="12"/>
            </w:pPr>
            <w:r>
              <w:t>3.委托评估公司对资产处置、房屋出租等进行评估，保证资产处置的严谨、规范，防止国有资产流失，保证资产出租客观公正，确保固有资产保值增值。</w:t>
            </w:r>
          </w:p>
          <w:p>
            <w:pPr>
              <w:pStyle w:val="12"/>
            </w:pPr>
            <w:r>
              <w:t>4.委托第三方机构对区属预算单位进行会计信息质量检查、重点绩效评价工作，提高财政资金使用效益和财政管理科学化、精细化水平。</w:t>
            </w:r>
          </w:p>
          <w:p>
            <w:pPr>
              <w:pStyle w:val="12"/>
            </w:pPr>
            <w:r>
              <w:t>5.委托第三方机构对税收疑点进行查漏补缺，做到应收尽收。</w:t>
            </w:r>
          </w:p>
          <w:p>
            <w:pPr>
              <w:pStyle w:val="12"/>
            </w:pPr>
            <w:r>
              <w:t>6.通过聘请常年法律顾问，提供法律服务，参与财政事务，起到规范性作用。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委托送审项目报告出具情况</w:t>
            </w:r>
          </w:p>
        </w:tc>
        <w:tc>
          <w:tcPr>
            <w:tcW w:w="5386" w:type="dxa"/>
            <w:vAlign w:val="center"/>
          </w:tcPr>
          <w:p>
            <w:pPr>
              <w:pStyle w:val="12"/>
            </w:pPr>
            <w:r>
              <w:t>委托送审项目报告出具情况</w:t>
            </w:r>
          </w:p>
        </w:tc>
        <w:tc>
          <w:tcPr>
            <w:tcW w:w="2268" w:type="dxa"/>
            <w:vAlign w:val="center"/>
          </w:tcPr>
          <w:p>
            <w:pPr>
              <w:pStyle w:val="12"/>
            </w:pPr>
            <w:r>
              <w:t>100百分比</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评审报告合格率</w:t>
            </w:r>
          </w:p>
        </w:tc>
        <w:tc>
          <w:tcPr>
            <w:tcW w:w="5386" w:type="dxa"/>
            <w:vAlign w:val="center"/>
          </w:tcPr>
          <w:p>
            <w:pPr>
              <w:pStyle w:val="12"/>
            </w:pPr>
            <w:r>
              <w:t>评审报告合格率</w:t>
            </w:r>
          </w:p>
        </w:tc>
        <w:tc>
          <w:tcPr>
            <w:tcW w:w="2268" w:type="dxa"/>
            <w:vAlign w:val="center"/>
          </w:tcPr>
          <w:p>
            <w:pPr>
              <w:pStyle w:val="12"/>
            </w:pPr>
            <w:r>
              <w:t>100百分比</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委托业务</w:t>
            </w:r>
          </w:p>
          <w:p>
            <w:pPr>
              <w:pStyle w:val="12"/>
            </w:pPr>
            <w:r>
              <w:t>完成时效</w:t>
            </w:r>
          </w:p>
        </w:tc>
        <w:tc>
          <w:tcPr>
            <w:tcW w:w="5386" w:type="dxa"/>
            <w:vAlign w:val="center"/>
          </w:tcPr>
          <w:p>
            <w:pPr>
              <w:pStyle w:val="12"/>
            </w:pPr>
            <w:r>
              <w:t>委托业务</w:t>
            </w:r>
          </w:p>
          <w:p>
            <w:pPr>
              <w:pStyle w:val="12"/>
            </w:pPr>
            <w:r>
              <w:t>完成时效</w:t>
            </w:r>
          </w:p>
        </w:tc>
        <w:tc>
          <w:tcPr>
            <w:tcW w:w="2268" w:type="dxa"/>
            <w:vAlign w:val="center"/>
          </w:tcPr>
          <w:p>
            <w:pPr>
              <w:pStyle w:val="12"/>
            </w:pPr>
            <w:r>
              <w:t>≥98百分比</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不超预算支出数</w:t>
            </w:r>
          </w:p>
        </w:tc>
        <w:tc>
          <w:tcPr>
            <w:tcW w:w="5386" w:type="dxa"/>
            <w:vAlign w:val="center"/>
          </w:tcPr>
          <w:p>
            <w:pPr>
              <w:pStyle w:val="12"/>
            </w:pPr>
            <w:r>
              <w:t>不超预算成本支出数</w:t>
            </w:r>
          </w:p>
        </w:tc>
        <w:tc>
          <w:tcPr>
            <w:tcW w:w="2268" w:type="dxa"/>
            <w:vAlign w:val="center"/>
          </w:tcPr>
          <w:p>
            <w:pPr>
              <w:pStyle w:val="12"/>
            </w:pPr>
            <w:r>
              <w:t>≤400万元</w:t>
            </w:r>
          </w:p>
        </w:tc>
        <w:tc>
          <w:tcPr>
            <w:tcW w:w="1276" w:type="dxa"/>
            <w:vAlign w:val="center"/>
          </w:tcPr>
          <w:p>
            <w:pPr>
              <w:pStyle w:val="12"/>
            </w:pPr>
            <w:r>
              <w:t>《中华人民共和国预算法》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委托送审项目审减率</w:t>
            </w:r>
          </w:p>
        </w:tc>
        <w:tc>
          <w:tcPr>
            <w:tcW w:w="5386" w:type="dxa"/>
            <w:vAlign w:val="center"/>
          </w:tcPr>
          <w:p>
            <w:pPr>
              <w:pStyle w:val="12"/>
            </w:pPr>
            <w:r>
              <w:t>委托送审项目审减率</w:t>
            </w:r>
          </w:p>
        </w:tc>
        <w:tc>
          <w:tcPr>
            <w:tcW w:w="2268" w:type="dxa"/>
            <w:vAlign w:val="center"/>
          </w:tcPr>
          <w:p>
            <w:pPr>
              <w:pStyle w:val="12"/>
            </w:pPr>
            <w:r>
              <w:t>≥5百分比</w:t>
            </w:r>
          </w:p>
        </w:tc>
        <w:tc>
          <w:tcPr>
            <w:tcW w:w="1276" w:type="dxa"/>
            <w:vAlign w:val="center"/>
          </w:tcPr>
          <w:p>
            <w:pPr>
              <w:pStyle w:val="12"/>
            </w:pPr>
            <w:r>
              <w:t>依据报审项目完成情况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优化送审签批程序</w:t>
            </w:r>
          </w:p>
        </w:tc>
        <w:tc>
          <w:tcPr>
            <w:tcW w:w="5386" w:type="dxa"/>
            <w:vAlign w:val="center"/>
          </w:tcPr>
          <w:p>
            <w:pPr>
              <w:pStyle w:val="12"/>
            </w:pPr>
            <w:r>
              <w:t>优化送审签批程序</w:t>
            </w:r>
          </w:p>
        </w:tc>
        <w:tc>
          <w:tcPr>
            <w:tcW w:w="2268" w:type="dxa"/>
            <w:vAlign w:val="center"/>
          </w:tcPr>
          <w:p>
            <w:pPr>
              <w:pStyle w:val="12"/>
            </w:pPr>
            <w:r>
              <w:t>≤1天</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完善政策和改进管理</w:t>
            </w:r>
          </w:p>
        </w:tc>
        <w:tc>
          <w:tcPr>
            <w:tcW w:w="5386" w:type="dxa"/>
            <w:vAlign w:val="center"/>
          </w:tcPr>
          <w:p>
            <w:pPr>
              <w:pStyle w:val="12"/>
            </w:pPr>
            <w:r>
              <w:t>完善政策和改进管理</w:t>
            </w:r>
          </w:p>
        </w:tc>
        <w:tc>
          <w:tcPr>
            <w:tcW w:w="2268" w:type="dxa"/>
            <w:vAlign w:val="center"/>
          </w:tcPr>
          <w:p>
            <w:pPr>
              <w:pStyle w:val="12"/>
            </w:pPr>
            <w:r>
              <w:t>≥1条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100百分比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5、驻村干部工作经费绩效目标表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13010426P004497100280</w:t>
            </w:r>
          </w:p>
        </w:tc>
        <w:tc>
          <w:tcPr>
            <w:tcW w:w="2835" w:type="dxa"/>
            <w:vAlign w:val="center"/>
          </w:tcPr>
          <w:p>
            <w:pPr>
              <w:pStyle w:val="10"/>
            </w:pPr>
            <w:r>
              <w:t>项目名称</w:t>
            </w:r>
          </w:p>
        </w:tc>
        <w:tc>
          <w:tcPr>
            <w:tcW w:w="6095" w:type="dxa"/>
            <w:gridSpan w:val="3"/>
            <w:vAlign w:val="center"/>
          </w:tcPr>
          <w:p>
            <w:pPr>
              <w:pStyle w:val="12"/>
            </w:pPr>
            <w:r>
              <w:t>驻村干部工作经费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5.82</w:t>
            </w:r>
          </w:p>
        </w:tc>
        <w:tc>
          <w:tcPr>
            <w:tcW w:w="2835" w:type="dxa"/>
            <w:vAlign w:val="center"/>
          </w:tcPr>
          <w:p>
            <w:pPr>
              <w:pStyle w:val="10"/>
            </w:pPr>
            <w:r>
              <w:t>其中：财政    资金</w:t>
            </w:r>
          </w:p>
        </w:tc>
        <w:tc>
          <w:tcPr>
            <w:tcW w:w="2551" w:type="dxa"/>
            <w:vAlign w:val="center"/>
          </w:tcPr>
          <w:p>
            <w:pPr>
              <w:pStyle w:val="12"/>
            </w:pPr>
            <w:r>
              <w:t>5.82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用于支付驻村工作队开展日常工作及工作人员补助经费。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w:t>
            </w:r>
          </w:p>
        </w:tc>
        <w:tc>
          <w:tcPr>
            <w:tcW w:w="2835" w:type="dxa"/>
            <w:vAlign w:val="center"/>
          </w:tcPr>
          <w:p>
            <w:pPr>
              <w:pStyle w:val="13"/>
            </w:pPr>
            <w:r>
              <w:t>32%</w:t>
            </w:r>
          </w:p>
        </w:tc>
        <w:tc>
          <w:tcPr>
            <w:tcW w:w="2551" w:type="dxa"/>
            <w:vAlign w:val="center"/>
          </w:tcPr>
          <w:p>
            <w:pPr>
              <w:pStyle w:val="13"/>
            </w:pPr>
            <w:r>
              <w:t>66%</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1.用于走亲慰问，增进感情提高满意度，用于产业发展，促进百姓经济增收，提高生活幸福指数。</w:t>
            </w:r>
          </w:p>
          <w:p>
            <w:pPr>
              <w:pStyle w:val="12"/>
            </w:pPr>
            <w:r>
              <w:t>2.用于保障驻村途中正常运行开展工作。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慰问次数</w:t>
            </w:r>
          </w:p>
        </w:tc>
        <w:tc>
          <w:tcPr>
            <w:tcW w:w="5386" w:type="dxa"/>
            <w:vAlign w:val="center"/>
          </w:tcPr>
          <w:p>
            <w:pPr>
              <w:pStyle w:val="12"/>
            </w:pPr>
            <w:r>
              <w:t>组织慰问次数</w:t>
            </w:r>
          </w:p>
        </w:tc>
        <w:tc>
          <w:tcPr>
            <w:tcW w:w="2268" w:type="dxa"/>
            <w:vAlign w:val="center"/>
          </w:tcPr>
          <w:p>
            <w:pPr>
              <w:pStyle w:val="12"/>
            </w:pPr>
            <w:r>
              <w:t>2次</w:t>
            </w:r>
          </w:p>
        </w:tc>
        <w:tc>
          <w:tcPr>
            <w:tcW w:w="1276" w:type="dxa"/>
            <w:vAlign w:val="center"/>
          </w:tcPr>
          <w:p>
            <w:pPr>
              <w:pStyle w:val="12"/>
            </w:pPr>
            <w:r>
              <w:t>《关于加强贫困驻村工作对选派管理工作的实施意见》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足月发放生活补贴</w:t>
            </w:r>
          </w:p>
        </w:tc>
        <w:tc>
          <w:tcPr>
            <w:tcW w:w="5386" w:type="dxa"/>
            <w:vAlign w:val="center"/>
          </w:tcPr>
          <w:p>
            <w:pPr>
              <w:pStyle w:val="12"/>
            </w:pPr>
            <w:r>
              <w:t>足月发放驻村干部生活补贴</w:t>
            </w:r>
          </w:p>
        </w:tc>
        <w:tc>
          <w:tcPr>
            <w:tcW w:w="2268" w:type="dxa"/>
            <w:vAlign w:val="center"/>
          </w:tcPr>
          <w:p>
            <w:pPr>
              <w:pStyle w:val="12"/>
            </w:pPr>
            <w:r>
              <w:t>12月</w:t>
            </w:r>
          </w:p>
        </w:tc>
        <w:tc>
          <w:tcPr>
            <w:tcW w:w="1276" w:type="dxa"/>
            <w:vAlign w:val="center"/>
          </w:tcPr>
          <w:p>
            <w:pPr>
              <w:pStyle w:val="12"/>
            </w:pPr>
            <w:r>
              <w:t>《关于为精准脱贫驻村干部发放驻村补贴的请示》及领导批示。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生活补贴发放频次</w:t>
            </w:r>
          </w:p>
        </w:tc>
        <w:tc>
          <w:tcPr>
            <w:tcW w:w="5386" w:type="dxa"/>
            <w:vAlign w:val="center"/>
          </w:tcPr>
          <w:p>
            <w:pPr>
              <w:pStyle w:val="12"/>
            </w:pPr>
            <w:r>
              <w:t>按季度发放驻村干部生活补贴</w:t>
            </w:r>
          </w:p>
        </w:tc>
        <w:tc>
          <w:tcPr>
            <w:tcW w:w="2268" w:type="dxa"/>
            <w:vAlign w:val="center"/>
          </w:tcPr>
          <w:p>
            <w:pPr>
              <w:pStyle w:val="12"/>
            </w:pPr>
            <w:r>
              <w:t>4次</w:t>
            </w:r>
          </w:p>
        </w:tc>
        <w:tc>
          <w:tcPr>
            <w:tcW w:w="1276" w:type="dxa"/>
            <w:vAlign w:val="center"/>
          </w:tcPr>
          <w:p>
            <w:pPr>
              <w:pStyle w:val="12"/>
            </w:pPr>
            <w:r>
              <w:t>《关于为精准脱贫驻村干部发放驻村补贴的请示》及领导批示。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驻村工作经费及慰问</w:t>
            </w:r>
          </w:p>
        </w:tc>
        <w:tc>
          <w:tcPr>
            <w:tcW w:w="5386" w:type="dxa"/>
            <w:vAlign w:val="center"/>
          </w:tcPr>
          <w:p>
            <w:pPr>
              <w:pStyle w:val="12"/>
            </w:pPr>
            <w:r>
              <w:t>驻村工作经费及慰问</w:t>
            </w:r>
          </w:p>
        </w:tc>
        <w:tc>
          <w:tcPr>
            <w:tcW w:w="2268" w:type="dxa"/>
            <w:vAlign w:val="center"/>
          </w:tcPr>
          <w:p>
            <w:pPr>
              <w:pStyle w:val="12"/>
            </w:pPr>
            <w:r>
              <w:t>≤5.82万元</w:t>
            </w:r>
          </w:p>
        </w:tc>
        <w:tc>
          <w:tcPr>
            <w:tcW w:w="1276" w:type="dxa"/>
            <w:vAlign w:val="center"/>
          </w:tcPr>
          <w:p>
            <w:pPr>
              <w:pStyle w:val="12"/>
            </w:pPr>
            <w:r>
              <w:t>《关于为精准脱贫驻村干部发放驻村补贴的请示》及领导批示。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保障圆满完成驻村工作</w:t>
            </w:r>
          </w:p>
        </w:tc>
        <w:tc>
          <w:tcPr>
            <w:tcW w:w="5386" w:type="dxa"/>
            <w:vAlign w:val="center"/>
          </w:tcPr>
          <w:p>
            <w:pPr>
              <w:pStyle w:val="12"/>
            </w:pPr>
            <w:r>
              <w:t>圆满完成年度工作，获得上级和村民对驻村工作满意和认可</w:t>
            </w:r>
          </w:p>
        </w:tc>
        <w:tc>
          <w:tcPr>
            <w:tcW w:w="2268" w:type="dxa"/>
            <w:vAlign w:val="center"/>
          </w:tcPr>
          <w:p>
            <w:pPr>
              <w:pStyle w:val="12"/>
            </w:pPr>
            <w:r>
              <w:t>≥95百分比</w:t>
            </w:r>
          </w:p>
        </w:tc>
        <w:tc>
          <w:tcPr>
            <w:tcW w:w="1276" w:type="dxa"/>
            <w:vAlign w:val="center"/>
          </w:tcPr>
          <w:p>
            <w:pPr>
              <w:pStyle w:val="12"/>
            </w:pPr>
            <w:r>
              <w:t>《关于加强贫困驻村工作对选派管理工作的实施意见》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保障驻村干部满意</w:t>
            </w:r>
          </w:p>
        </w:tc>
        <w:tc>
          <w:tcPr>
            <w:tcW w:w="5386" w:type="dxa"/>
            <w:vAlign w:val="center"/>
          </w:tcPr>
          <w:p>
            <w:pPr>
              <w:pStyle w:val="12"/>
            </w:pPr>
            <w:r>
              <w:t>驻村干部满意度</w:t>
            </w:r>
          </w:p>
        </w:tc>
        <w:tc>
          <w:tcPr>
            <w:tcW w:w="2268" w:type="dxa"/>
            <w:vAlign w:val="center"/>
          </w:tcPr>
          <w:p>
            <w:pPr>
              <w:pStyle w:val="12"/>
            </w:pPr>
            <w:r>
              <w:t>≥95百分比</w:t>
            </w:r>
          </w:p>
        </w:tc>
        <w:tc>
          <w:tcPr>
            <w:tcW w:w="1276" w:type="dxa"/>
            <w:vAlign w:val="center"/>
          </w:tcPr>
          <w:p>
            <w:pPr>
              <w:pStyle w:val="12"/>
            </w:pPr>
            <w:r>
              <w:t>《关于加强贫困驻村工作对选派管理工作的实施意见》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412.31</w:t>
            </w:r>
          </w:p>
        </w:tc>
        <w:tc>
          <w:tcPr>
            <w:tcW w:w="964" w:type="dxa"/>
            <w:vAlign w:val="center"/>
          </w:tcPr>
          <w:p>
            <w:pPr>
              <w:pStyle w:val="15"/>
            </w:pPr>
            <w:r>
              <w:t>412.31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石家庄市桥西区财政局本级小计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412.31</w:t>
            </w:r>
          </w:p>
        </w:tc>
        <w:tc>
          <w:tcPr>
            <w:tcW w:w="964" w:type="dxa"/>
            <w:vAlign w:val="center"/>
          </w:tcPr>
          <w:p>
            <w:pPr>
              <w:pStyle w:val="15"/>
            </w:pPr>
            <w:r>
              <w:t>412.31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21.72</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21.72</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21.72</w:t>
            </w:r>
          </w:p>
        </w:tc>
        <w:tc>
          <w:tcPr>
            <w:tcW w:w="1134" w:type="dxa"/>
            <w:vAlign w:val="center"/>
          </w:tcPr>
          <w:p>
            <w:pPr>
              <w:pStyle w:val="12"/>
            </w:pPr>
            <w:r>
              <w:t>会议椅</w:t>
            </w:r>
          </w:p>
        </w:tc>
        <w:tc>
          <w:tcPr>
            <w:tcW w:w="1134" w:type="dxa"/>
            <w:vAlign w:val="center"/>
          </w:tcPr>
          <w:p>
            <w:pPr>
              <w:pStyle w:val="12"/>
            </w:pPr>
            <w:r>
              <w:t>A05010303</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0.08</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21.72</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0.16</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21.72</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0.24</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21.72</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21.72</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0.88</w:t>
            </w:r>
          </w:p>
        </w:tc>
        <w:tc>
          <w:tcPr>
            <w:tcW w:w="964" w:type="dxa"/>
            <w:vAlign w:val="center"/>
          </w:tcPr>
          <w:p>
            <w:pPr>
              <w:pStyle w:val="11"/>
            </w:pPr>
            <w:r>
              <w:t>0.88</w:t>
            </w:r>
          </w:p>
        </w:tc>
        <w:tc>
          <w:tcPr>
            <w:tcW w:w="964" w:type="dxa"/>
            <w:vAlign w:val="center"/>
          </w:tcPr>
          <w:p>
            <w:pPr>
              <w:pStyle w:val="11"/>
            </w:pPr>
            <w:r>
              <w:t>0.88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21.72</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21.72</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财政一体化系统运维服务经费</w:t>
            </w:r>
          </w:p>
        </w:tc>
        <w:tc>
          <w:tcPr>
            <w:tcW w:w="964" w:type="dxa"/>
            <w:vAlign w:val="center"/>
          </w:tcPr>
          <w:p>
            <w:pPr>
              <w:pStyle w:val="11"/>
            </w:pPr>
            <w:r>
              <w:t>43.10</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21.10</w:t>
            </w:r>
          </w:p>
        </w:tc>
        <w:tc>
          <w:tcPr>
            <w:tcW w:w="964" w:type="dxa"/>
            <w:vAlign w:val="center"/>
          </w:tcPr>
          <w:p>
            <w:pPr>
              <w:pStyle w:val="11"/>
            </w:pPr>
            <w:r>
              <w:t>21.10</w:t>
            </w:r>
          </w:p>
        </w:tc>
        <w:tc>
          <w:tcPr>
            <w:tcW w:w="964" w:type="dxa"/>
            <w:vAlign w:val="center"/>
          </w:tcPr>
          <w:p>
            <w:pPr>
              <w:pStyle w:val="11"/>
            </w:pPr>
            <w:r>
              <w:t>21.10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财政一体化系统运维服务经费</w:t>
            </w:r>
          </w:p>
        </w:tc>
        <w:tc>
          <w:tcPr>
            <w:tcW w:w="964" w:type="dxa"/>
            <w:vAlign w:val="center"/>
          </w:tcPr>
          <w:p>
            <w:pPr>
              <w:pStyle w:val="11"/>
            </w:pPr>
            <w:r>
              <w:t>43.10</w:t>
            </w:r>
          </w:p>
        </w:tc>
        <w:tc>
          <w:tcPr>
            <w:tcW w:w="1134" w:type="dxa"/>
            <w:vAlign w:val="center"/>
          </w:tcPr>
          <w:p>
            <w:pPr>
              <w:pStyle w:val="12"/>
            </w:pPr>
            <w:r>
              <w:t>安全运维服务</w:t>
            </w:r>
          </w:p>
        </w:tc>
        <w:tc>
          <w:tcPr>
            <w:tcW w:w="1134" w:type="dxa"/>
            <w:vAlign w:val="center"/>
          </w:tcPr>
          <w:p>
            <w:pPr>
              <w:pStyle w:val="12"/>
            </w:pPr>
            <w:r>
              <w:t>C16070400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8.00</w:t>
            </w:r>
          </w:p>
        </w:tc>
        <w:tc>
          <w:tcPr>
            <w:tcW w:w="964"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财政专网网络服务经费</w:t>
            </w:r>
          </w:p>
        </w:tc>
        <w:tc>
          <w:tcPr>
            <w:tcW w:w="964" w:type="dxa"/>
            <w:vAlign w:val="center"/>
          </w:tcPr>
          <w:p>
            <w:pPr>
              <w:pStyle w:val="11"/>
            </w:pPr>
            <w:r>
              <w:t>26.50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26.50</w:t>
            </w:r>
          </w:p>
        </w:tc>
        <w:tc>
          <w:tcPr>
            <w:tcW w:w="964" w:type="dxa"/>
            <w:vAlign w:val="center"/>
          </w:tcPr>
          <w:p>
            <w:pPr>
              <w:pStyle w:val="11"/>
            </w:pPr>
            <w:r>
              <w:t>26.50</w:t>
            </w:r>
          </w:p>
        </w:tc>
        <w:tc>
          <w:tcPr>
            <w:tcW w:w="964" w:type="dxa"/>
            <w:vAlign w:val="center"/>
          </w:tcPr>
          <w:p>
            <w:pPr>
              <w:pStyle w:val="11"/>
            </w:pPr>
            <w:r>
              <w:t>26.50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委托业务费</w:t>
            </w:r>
          </w:p>
        </w:tc>
        <w:tc>
          <w:tcPr>
            <w:tcW w:w="964" w:type="dxa"/>
            <w:vAlign w:val="center"/>
          </w:tcPr>
          <w:p>
            <w:pPr>
              <w:pStyle w:val="11"/>
            </w:pPr>
            <w:r>
              <w:t>400.00</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委托业务费</w:t>
            </w:r>
          </w:p>
        </w:tc>
        <w:tc>
          <w:tcPr>
            <w:tcW w:w="964" w:type="dxa"/>
            <w:vAlign w:val="center"/>
          </w:tcPr>
          <w:p>
            <w:pPr>
              <w:pStyle w:val="11"/>
            </w:pPr>
            <w:r>
              <w:t>400.00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292.33</w:t>
            </w:r>
          </w:p>
        </w:tc>
        <w:tc>
          <w:tcPr>
            <w:tcW w:w="964" w:type="dxa"/>
            <w:vAlign w:val="center"/>
          </w:tcPr>
          <w:p>
            <w:pPr>
              <w:pStyle w:val="11"/>
            </w:pPr>
            <w:r>
              <w:t>292.33</w:t>
            </w:r>
          </w:p>
        </w:tc>
        <w:tc>
          <w:tcPr>
            <w:tcW w:w="964" w:type="dxa"/>
            <w:vAlign w:val="center"/>
          </w:tcPr>
          <w:p>
            <w:pPr>
              <w:pStyle w:val="11"/>
            </w:pPr>
            <w:r>
              <w:t>292.33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委托业务费</w:t>
            </w:r>
          </w:p>
        </w:tc>
        <w:tc>
          <w:tcPr>
            <w:tcW w:w="964" w:type="dxa"/>
            <w:vAlign w:val="center"/>
          </w:tcPr>
          <w:p>
            <w:pPr>
              <w:pStyle w:val="11"/>
            </w:pPr>
            <w:r>
              <w:t>400.00</w:t>
            </w:r>
          </w:p>
        </w:tc>
        <w:tc>
          <w:tcPr>
            <w:tcW w:w="1134" w:type="dxa"/>
            <w:vAlign w:val="center"/>
          </w:tcPr>
          <w:p>
            <w:pPr>
              <w:pStyle w:val="12"/>
            </w:pPr>
            <w:r>
              <w:t>其他税务服务</w:t>
            </w:r>
          </w:p>
        </w:tc>
        <w:tc>
          <w:tcPr>
            <w:tcW w:w="1134" w:type="dxa"/>
            <w:vAlign w:val="center"/>
          </w:tcPr>
          <w:p>
            <w:pPr>
              <w:pStyle w:val="12"/>
            </w:pPr>
            <w:r>
              <w:t>C23049900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53.48</w:t>
            </w:r>
          </w:p>
        </w:tc>
        <w:tc>
          <w:tcPr>
            <w:tcW w:w="964" w:type="dxa"/>
            <w:vAlign w:val="center"/>
          </w:tcPr>
          <w:p>
            <w:pPr>
              <w:pStyle w:val="11"/>
            </w:pPr>
            <w:r>
              <w:t>53.48</w:t>
            </w:r>
          </w:p>
        </w:tc>
        <w:tc>
          <w:tcPr>
            <w:tcW w:w="964" w:type="dxa"/>
            <w:vAlign w:val="center"/>
          </w:tcPr>
          <w:p>
            <w:pPr>
              <w:pStyle w:val="11"/>
            </w:pPr>
            <w:r>
              <w:t>53.48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石家庄市桥西区财政局本级上年末固定资产金额为576.63万元（详见下表）。本年度拟购置固定资产总额为9.22万元，已按要求列入政府采购预算，详见政府采购预算表。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318001石家庄市桥西区财政局本级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576.63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1680</w:t>
            </w:r>
          </w:p>
        </w:tc>
        <w:tc>
          <w:tcPr>
            <w:tcW w:w="2835" w:type="dxa"/>
            <w:vAlign w:val="center"/>
          </w:tcPr>
          <w:p>
            <w:pPr>
              <w:pStyle w:val="11"/>
            </w:pPr>
            <w:r>
              <w:t>565.79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5ZmYyNDBlNmUxYWY5N2QwODNlZjVmZDgwNThmMTkifQ=="/>
  </w:docVars>
  <w:rsids>
    <w:rsidRoot w:val="00000000"/>
    <w:rsid w:val="04A4530B"/>
    <w:rsid w:val="588B65C4"/>
    <w:rsid w:val="627B5A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5</TotalTime>
  <ScaleCrop>false</ScaleCrop>
  <LinksUpToDate>false</LinksUpToDate>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2026-02-13T12:12:00Z</dcterms:created>
  <dc:creator>Administrator</dc:creator>
  <cp:lastModifiedBy>Administrator</cp:lastModifiedBy>
  <dcterms:modified xsi:type="dcterms:W3CDTF">2026-02-13T08:18:26Z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41221185F90F49588694050F68047BD5_13</vt:lpwstr>
  </property>
</Properties>
</file>