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318石家庄市桥西区财政局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1619.28</w:t>
            </w:r>
          </w:p>
        </w:tc>
        <w:tc>
          <w:tcPr>
            <w:tcW w:w="4535" w:type="dxa"/>
            <w:vAlign w:val="center"/>
          </w:tcPr>
          <w:p>
            <w:pPr>
              <w:pStyle w:val="13"/>
            </w:pPr>
            <w:r>
              <w:t>一、一般公共服务支出</w:t>
            </w:r>
          </w:p>
        </w:tc>
        <w:tc>
          <w:tcPr>
            <w:tcW w:w="2126" w:type="dxa"/>
            <w:vAlign w:val="center"/>
          </w:tcPr>
          <w:p>
            <w:pPr>
              <w:pStyle w:val="12"/>
            </w:pPr>
            <w:r>
              <w:t>1284.79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224.52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1619.28</w:t>
            </w:r>
          </w:p>
        </w:tc>
        <w:tc>
          <w:tcPr>
            <w:tcW w:w="4535" w:type="dxa"/>
            <w:vAlign w:val="center"/>
          </w:tcPr>
          <w:p>
            <w:pPr>
              <w:pStyle w:val="15"/>
            </w:pPr>
            <w:r>
              <w:t>本年支出合计</w:t>
            </w:r>
          </w:p>
        </w:tc>
        <w:tc>
          <w:tcPr>
            <w:tcW w:w="2126" w:type="dxa"/>
            <w:vAlign w:val="center"/>
          </w:tcPr>
          <w:p>
            <w:pPr>
              <w:pStyle w:val="16"/>
            </w:pPr>
            <w:r>
              <w:t>1619.28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1619.28</w:t>
            </w:r>
          </w:p>
        </w:tc>
        <w:tc>
          <w:tcPr>
            <w:tcW w:w="4535" w:type="dxa"/>
            <w:vAlign w:val="center"/>
          </w:tcPr>
          <w:p>
            <w:pPr>
              <w:pStyle w:val="15"/>
            </w:pPr>
            <w:r>
              <w:t>支出总计</w:t>
            </w:r>
          </w:p>
        </w:tc>
        <w:tc>
          <w:tcPr>
            <w:tcW w:w="2126" w:type="dxa"/>
            <w:vAlign w:val="center"/>
          </w:tcPr>
          <w:p>
            <w:pPr>
              <w:pStyle w:val="16"/>
            </w:pPr>
            <w:r>
              <w:t>1619.28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318石家庄市桥西区财政局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1619.28</w:t>
            </w:r>
          </w:p>
        </w:tc>
        <w:tc>
          <w:tcPr>
            <w:tcW w:w="1134" w:type="dxa"/>
            <w:vAlign w:val="center"/>
          </w:tcPr>
          <w:p>
            <w:pPr>
              <w:pStyle w:val="16"/>
            </w:pPr>
            <w:r>
              <w:t>1619.28</w:t>
            </w:r>
          </w:p>
        </w:tc>
        <w:tc>
          <w:tcPr>
            <w:tcW w:w="1134" w:type="dxa"/>
            <w:vAlign w:val="center"/>
          </w:tcPr>
          <w:p>
            <w:pPr>
              <w:pStyle w:val="16"/>
            </w:pPr>
            <w:r>
              <w:t>1619.28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1284.79</w:t>
            </w:r>
          </w:p>
        </w:tc>
        <w:tc>
          <w:tcPr>
            <w:tcW w:w="1134" w:type="dxa"/>
            <w:vAlign w:val="center"/>
          </w:tcPr>
          <w:p>
            <w:pPr>
              <w:pStyle w:val="12"/>
            </w:pPr>
            <w:r>
              <w:t>1284.79</w:t>
            </w:r>
          </w:p>
        </w:tc>
        <w:tc>
          <w:tcPr>
            <w:tcW w:w="1134" w:type="dxa"/>
            <w:vAlign w:val="center"/>
          </w:tcPr>
          <w:p>
            <w:pPr>
              <w:pStyle w:val="12"/>
            </w:pPr>
            <w:r>
              <w:t>1284.79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1284.79</w:t>
            </w:r>
          </w:p>
        </w:tc>
        <w:tc>
          <w:tcPr>
            <w:tcW w:w="1134" w:type="dxa"/>
            <w:vAlign w:val="center"/>
          </w:tcPr>
          <w:p>
            <w:pPr>
              <w:pStyle w:val="12"/>
            </w:pPr>
            <w:r>
              <w:t>1284.79</w:t>
            </w:r>
          </w:p>
        </w:tc>
        <w:tc>
          <w:tcPr>
            <w:tcW w:w="1134" w:type="dxa"/>
            <w:vAlign w:val="center"/>
          </w:tcPr>
          <w:p>
            <w:pPr>
              <w:pStyle w:val="12"/>
            </w:pPr>
            <w:r>
              <w:t>1284.79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652.56</w:t>
            </w:r>
          </w:p>
        </w:tc>
        <w:tc>
          <w:tcPr>
            <w:tcW w:w="1134" w:type="dxa"/>
            <w:vAlign w:val="center"/>
          </w:tcPr>
          <w:p>
            <w:pPr>
              <w:pStyle w:val="12"/>
            </w:pPr>
            <w:r>
              <w:t>652.56</w:t>
            </w:r>
          </w:p>
        </w:tc>
        <w:tc>
          <w:tcPr>
            <w:tcW w:w="1134" w:type="dxa"/>
            <w:vAlign w:val="center"/>
          </w:tcPr>
          <w:p>
            <w:pPr>
              <w:pStyle w:val="12"/>
            </w:pPr>
            <w:r>
              <w:t>652.56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2010602</w:t>
            </w:r>
          </w:p>
        </w:tc>
        <w:tc>
          <w:tcPr>
            <w:tcW w:w="1559" w:type="dxa"/>
            <w:vAlign w:val="center"/>
          </w:tcPr>
          <w:p>
            <w:pPr>
              <w:pStyle w:val="13"/>
            </w:pPr>
            <w:r>
              <w:t>一般行政管理事务</w:t>
            </w:r>
          </w:p>
        </w:tc>
        <w:tc>
          <w:tcPr>
            <w:tcW w:w="1134" w:type="dxa"/>
            <w:vAlign w:val="center"/>
          </w:tcPr>
          <w:p>
            <w:pPr>
              <w:pStyle w:val="12"/>
            </w:pPr>
            <w:r>
              <w:t>163.27</w:t>
            </w:r>
          </w:p>
        </w:tc>
        <w:tc>
          <w:tcPr>
            <w:tcW w:w="1134" w:type="dxa"/>
            <w:vAlign w:val="center"/>
          </w:tcPr>
          <w:p>
            <w:pPr>
              <w:pStyle w:val="12"/>
            </w:pPr>
            <w:r>
              <w:t>163.27</w:t>
            </w:r>
          </w:p>
        </w:tc>
        <w:tc>
          <w:tcPr>
            <w:tcW w:w="1134" w:type="dxa"/>
            <w:vAlign w:val="center"/>
          </w:tcPr>
          <w:p>
            <w:pPr>
              <w:pStyle w:val="12"/>
            </w:pPr>
            <w:r>
              <w:t>163.27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2010607</w:t>
            </w:r>
          </w:p>
        </w:tc>
        <w:tc>
          <w:tcPr>
            <w:tcW w:w="1559" w:type="dxa"/>
            <w:vAlign w:val="center"/>
          </w:tcPr>
          <w:p>
            <w:pPr>
              <w:pStyle w:val="13"/>
            </w:pPr>
            <w:r>
              <w:t>信息化建设</w:t>
            </w:r>
          </w:p>
        </w:tc>
        <w:tc>
          <w:tcPr>
            <w:tcW w:w="1134" w:type="dxa"/>
            <w:vAlign w:val="center"/>
          </w:tcPr>
          <w:p>
            <w:pPr>
              <w:pStyle w:val="12"/>
            </w:pPr>
            <w:r>
              <w:t>69.60</w:t>
            </w:r>
          </w:p>
        </w:tc>
        <w:tc>
          <w:tcPr>
            <w:tcW w:w="1134" w:type="dxa"/>
            <w:vAlign w:val="center"/>
          </w:tcPr>
          <w:p>
            <w:pPr>
              <w:pStyle w:val="12"/>
            </w:pPr>
            <w:r>
              <w:t>69.60</w:t>
            </w:r>
          </w:p>
        </w:tc>
        <w:tc>
          <w:tcPr>
            <w:tcW w:w="1134" w:type="dxa"/>
            <w:vAlign w:val="center"/>
          </w:tcPr>
          <w:p>
            <w:pPr>
              <w:pStyle w:val="12"/>
            </w:pPr>
            <w:r>
              <w:t>69.60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2010608</w:t>
            </w:r>
          </w:p>
        </w:tc>
        <w:tc>
          <w:tcPr>
            <w:tcW w:w="1559" w:type="dxa"/>
            <w:vAlign w:val="center"/>
          </w:tcPr>
          <w:p>
            <w:pPr>
              <w:pStyle w:val="13"/>
            </w:pPr>
            <w:r>
              <w:t>财政委托业务支出</w:t>
            </w:r>
          </w:p>
        </w:tc>
        <w:tc>
          <w:tcPr>
            <w:tcW w:w="1134" w:type="dxa"/>
            <w:vAlign w:val="center"/>
          </w:tcPr>
          <w:p>
            <w:pPr>
              <w:pStyle w:val="12"/>
            </w:pPr>
            <w:r>
              <w:t>399.36</w:t>
            </w:r>
          </w:p>
        </w:tc>
        <w:tc>
          <w:tcPr>
            <w:tcW w:w="1134" w:type="dxa"/>
            <w:vAlign w:val="center"/>
          </w:tcPr>
          <w:p>
            <w:pPr>
              <w:pStyle w:val="12"/>
            </w:pPr>
            <w:r>
              <w:t>399.36</w:t>
            </w:r>
          </w:p>
        </w:tc>
        <w:tc>
          <w:tcPr>
            <w:tcW w:w="1134" w:type="dxa"/>
            <w:vAlign w:val="center"/>
          </w:tcPr>
          <w:p>
            <w:pPr>
              <w:pStyle w:val="12"/>
            </w:pPr>
            <w:r>
              <w:t>399.36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224.52</w:t>
            </w:r>
          </w:p>
        </w:tc>
        <w:tc>
          <w:tcPr>
            <w:tcW w:w="1134" w:type="dxa"/>
            <w:vAlign w:val="center"/>
          </w:tcPr>
          <w:p>
            <w:pPr>
              <w:pStyle w:val="12"/>
            </w:pPr>
            <w:r>
              <w:t>224.52</w:t>
            </w:r>
          </w:p>
        </w:tc>
        <w:tc>
          <w:tcPr>
            <w:tcW w:w="1134" w:type="dxa"/>
            <w:vAlign w:val="center"/>
          </w:tcPr>
          <w:p>
            <w:pPr>
              <w:pStyle w:val="12"/>
            </w:pPr>
            <w:r>
              <w:t>224.52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224.52</w:t>
            </w:r>
          </w:p>
        </w:tc>
        <w:tc>
          <w:tcPr>
            <w:tcW w:w="1134" w:type="dxa"/>
            <w:vAlign w:val="center"/>
          </w:tcPr>
          <w:p>
            <w:pPr>
              <w:pStyle w:val="12"/>
            </w:pPr>
            <w:r>
              <w:t>224.52</w:t>
            </w:r>
          </w:p>
        </w:tc>
        <w:tc>
          <w:tcPr>
            <w:tcW w:w="1134" w:type="dxa"/>
            <w:vAlign w:val="center"/>
          </w:tcPr>
          <w:p>
            <w:pPr>
              <w:pStyle w:val="12"/>
            </w:pPr>
            <w:r>
              <w:t>224.52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132.40</w:t>
            </w:r>
          </w:p>
        </w:tc>
        <w:tc>
          <w:tcPr>
            <w:tcW w:w="1134" w:type="dxa"/>
            <w:vAlign w:val="center"/>
          </w:tcPr>
          <w:p>
            <w:pPr>
              <w:pStyle w:val="12"/>
            </w:pPr>
            <w:r>
              <w:t>132.40</w:t>
            </w:r>
          </w:p>
        </w:tc>
        <w:tc>
          <w:tcPr>
            <w:tcW w:w="1134" w:type="dxa"/>
            <w:vAlign w:val="center"/>
          </w:tcPr>
          <w:p>
            <w:pPr>
              <w:pStyle w:val="12"/>
            </w:pPr>
            <w:r>
              <w:t>132.40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72.12</w:t>
            </w:r>
          </w:p>
        </w:tc>
        <w:tc>
          <w:tcPr>
            <w:tcW w:w="1134" w:type="dxa"/>
            <w:vAlign w:val="center"/>
          </w:tcPr>
          <w:p>
            <w:pPr>
              <w:pStyle w:val="12"/>
            </w:pPr>
            <w:r>
              <w:t>72.12</w:t>
            </w:r>
          </w:p>
        </w:tc>
        <w:tc>
          <w:tcPr>
            <w:tcW w:w="1134" w:type="dxa"/>
            <w:vAlign w:val="center"/>
          </w:tcPr>
          <w:p>
            <w:pPr>
              <w:pStyle w:val="12"/>
            </w:pPr>
            <w:r>
              <w:t>72.12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36.41</w:t>
            </w:r>
          </w:p>
        </w:tc>
        <w:tc>
          <w:tcPr>
            <w:tcW w:w="1134" w:type="dxa"/>
            <w:vAlign w:val="center"/>
          </w:tcPr>
          <w:p>
            <w:pPr>
              <w:pStyle w:val="12"/>
            </w:pPr>
            <w:r>
              <w:t>36.41</w:t>
            </w:r>
          </w:p>
        </w:tc>
        <w:tc>
          <w:tcPr>
            <w:tcW w:w="1134" w:type="dxa"/>
            <w:vAlign w:val="center"/>
          </w:tcPr>
          <w:p>
            <w:pPr>
              <w:pStyle w:val="12"/>
            </w:pPr>
            <w:r>
              <w:t>36.41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36.41</w:t>
            </w:r>
          </w:p>
        </w:tc>
        <w:tc>
          <w:tcPr>
            <w:tcW w:w="1134" w:type="dxa"/>
            <w:vAlign w:val="center"/>
          </w:tcPr>
          <w:p>
            <w:pPr>
              <w:pStyle w:val="12"/>
            </w:pPr>
            <w:r>
              <w:t>36.41</w:t>
            </w:r>
          </w:p>
        </w:tc>
        <w:tc>
          <w:tcPr>
            <w:tcW w:w="1134" w:type="dxa"/>
            <w:vAlign w:val="center"/>
          </w:tcPr>
          <w:p>
            <w:pPr>
              <w:pStyle w:val="12"/>
            </w:pPr>
            <w:r>
              <w:t>36.41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30.81</w:t>
            </w:r>
          </w:p>
        </w:tc>
        <w:tc>
          <w:tcPr>
            <w:tcW w:w="1134" w:type="dxa"/>
            <w:vAlign w:val="center"/>
          </w:tcPr>
          <w:p>
            <w:pPr>
              <w:pStyle w:val="12"/>
            </w:pPr>
            <w:r>
              <w:t>30.81</w:t>
            </w:r>
          </w:p>
        </w:tc>
        <w:tc>
          <w:tcPr>
            <w:tcW w:w="1134" w:type="dxa"/>
            <w:vAlign w:val="center"/>
          </w:tcPr>
          <w:p>
            <w:pPr>
              <w:pStyle w:val="12"/>
            </w:pPr>
            <w:r>
              <w:t>30.81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5.60</w:t>
            </w:r>
          </w:p>
        </w:tc>
        <w:tc>
          <w:tcPr>
            <w:tcW w:w="1134" w:type="dxa"/>
            <w:vAlign w:val="center"/>
          </w:tcPr>
          <w:p>
            <w:pPr>
              <w:pStyle w:val="12"/>
            </w:pPr>
            <w:r>
              <w:t>5.60</w:t>
            </w:r>
          </w:p>
        </w:tc>
        <w:tc>
          <w:tcPr>
            <w:tcW w:w="1134" w:type="dxa"/>
            <w:vAlign w:val="center"/>
          </w:tcPr>
          <w:p>
            <w:pPr>
              <w:pStyle w:val="12"/>
            </w:pPr>
            <w:r>
              <w:t>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5.82</w:t>
            </w:r>
          </w:p>
        </w:tc>
        <w:tc>
          <w:tcPr>
            <w:tcW w:w="1134" w:type="dxa"/>
            <w:vAlign w:val="center"/>
          </w:tcPr>
          <w:p>
            <w:pPr>
              <w:pStyle w:val="12"/>
            </w:pPr>
            <w:r>
              <w:t>5.82</w:t>
            </w:r>
          </w:p>
        </w:tc>
        <w:tc>
          <w:tcPr>
            <w:tcW w:w="1134" w:type="dxa"/>
            <w:vAlign w:val="center"/>
          </w:tcPr>
          <w:p>
            <w:pPr>
              <w:pStyle w:val="12"/>
            </w:pPr>
            <w:r>
              <w:t>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5.82</w:t>
            </w:r>
          </w:p>
        </w:tc>
        <w:tc>
          <w:tcPr>
            <w:tcW w:w="1134" w:type="dxa"/>
            <w:vAlign w:val="center"/>
          </w:tcPr>
          <w:p>
            <w:pPr>
              <w:pStyle w:val="12"/>
            </w:pPr>
            <w:r>
              <w:t>5.82</w:t>
            </w:r>
          </w:p>
        </w:tc>
        <w:tc>
          <w:tcPr>
            <w:tcW w:w="1134" w:type="dxa"/>
            <w:vAlign w:val="center"/>
          </w:tcPr>
          <w:p>
            <w:pPr>
              <w:pStyle w:val="12"/>
            </w:pPr>
            <w:r>
              <w:t>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2130599</w:t>
            </w:r>
          </w:p>
        </w:tc>
        <w:tc>
          <w:tcPr>
            <w:tcW w:w="1559" w:type="dxa"/>
            <w:vAlign w:val="center"/>
          </w:tcPr>
          <w:p>
            <w:pPr>
              <w:pStyle w:val="13"/>
            </w:pPr>
            <w:r>
              <w:t>其他巩固脱贫攻坚成果衔接乡村振兴支出</w:t>
            </w:r>
          </w:p>
        </w:tc>
        <w:tc>
          <w:tcPr>
            <w:tcW w:w="1134" w:type="dxa"/>
            <w:vAlign w:val="center"/>
          </w:tcPr>
          <w:p>
            <w:pPr>
              <w:pStyle w:val="12"/>
            </w:pPr>
            <w:r>
              <w:t>5.82</w:t>
            </w:r>
          </w:p>
        </w:tc>
        <w:tc>
          <w:tcPr>
            <w:tcW w:w="1134" w:type="dxa"/>
            <w:vAlign w:val="center"/>
          </w:tcPr>
          <w:p>
            <w:pPr>
              <w:pStyle w:val="12"/>
            </w:pPr>
            <w:r>
              <w:t>5.82</w:t>
            </w:r>
          </w:p>
        </w:tc>
        <w:tc>
          <w:tcPr>
            <w:tcW w:w="1134" w:type="dxa"/>
            <w:vAlign w:val="center"/>
          </w:tcPr>
          <w:p>
            <w:pPr>
              <w:pStyle w:val="12"/>
            </w:pPr>
            <w:r>
              <w:t>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67.74</w:t>
            </w:r>
          </w:p>
        </w:tc>
        <w:tc>
          <w:tcPr>
            <w:tcW w:w="1134" w:type="dxa"/>
            <w:vAlign w:val="center"/>
          </w:tcPr>
          <w:p>
            <w:pPr>
              <w:pStyle w:val="12"/>
            </w:pPr>
            <w:r>
              <w:t>67.74</w:t>
            </w:r>
          </w:p>
        </w:tc>
        <w:tc>
          <w:tcPr>
            <w:tcW w:w="1134" w:type="dxa"/>
            <w:vAlign w:val="center"/>
          </w:tcPr>
          <w:p>
            <w:pPr>
              <w:pStyle w:val="12"/>
            </w:pPr>
            <w:r>
              <w:t>67.74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67.74</w:t>
            </w:r>
          </w:p>
        </w:tc>
        <w:tc>
          <w:tcPr>
            <w:tcW w:w="1134" w:type="dxa"/>
            <w:vAlign w:val="center"/>
          </w:tcPr>
          <w:p>
            <w:pPr>
              <w:pStyle w:val="12"/>
            </w:pPr>
            <w:r>
              <w:t>67.74</w:t>
            </w:r>
          </w:p>
        </w:tc>
        <w:tc>
          <w:tcPr>
            <w:tcW w:w="1134" w:type="dxa"/>
            <w:vAlign w:val="center"/>
          </w:tcPr>
          <w:p>
            <w:pPr>
              <w:pStyle w:val="12"/>
            </w:pPr>
            <w:r>
              <w:t>67.74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67.74</w:t>
            </w:r>
          </w:p>
        </w:tc>
        <w:tc>
          <w:tcPr>
            <w:tcW w:w="1134" w:type="dxa"/>
            <w:vAlign w:val="center"/>
          </w:tcPr>
          <w:p>
            <w:pPr>
              <w:pStyle w:val="12"/>
            </w:pPr>
            <w:r>
              <w:t>67.74</w:t>
            </w:r>
          </w:p>
        </w:tc>
        <w:tc>
          <w:tcPr>
            <w:tcW w:w="1134" w:type="dxa"/>
            <w:vAlign w:val="center"/>
          </w:tcPr>
          <w:p>
            <w:pPr>
              <w:pStyle w:val="12"/>
            </w:pPr>
            <w:r>
              <w:t>67.74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318石家庄市桥西区财政局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1619.28</w:t>
            </w:r>
          </w:p>
        </w:tc>
        <w:tc>
          <w:tcPr>
            <w:tcW w:w="1361" w:type="dxa"/>
            <w:vAlign w:val="center"/>
          </w:tcPr>
          <w:p>
            <w:pPr>
              <w:pStyle w:val="16"/>
            </w:pPr>
            <w:r>
              <w:t>981.23</w:t>
            </w:r>
          </w:p>
        </w:tc>
        <w:tc>
          <w:tcPr>
            <w:tcW w:w="1361" w:type="dxa"/>
            <w:vAlign w:val="center"/>
          </w:tcPr>
          <w:p>
            <w:pPr>
              <w:pStyle w:val="16"/>
            </w:pPr>
            <w:r>
              <w:t>638.05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1284.79</w:t>
            </w:r>
          </w:p>
        </w:tc>
        <w:tc>
          <w:tcPr>
            <w:tcW w:w="1361" w:type="dxa"/>
            <w:vAlign w:val="center"/>
          </w:tcPr>
          <w:p>
            <w:pPr>
              <w:pStyle w:val="12"/>
            </w:pPr>
            <w:r>
              <w:t>652.56</w:t>
            </w:r>
          </w:p>
        </w:tc>
        <w:tc>
          <w:tcPr>
            <w:tcW w:w="1361" w:type="dxa"/>
            <w:vAlign w:val="center"/>
          </w:tcPr>
          <w:p>
            <w:pPr>
              <w:pStyle w:val="12"/>
            </w:pPr>
            <w:r>
              <w:t>632.23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1284.79</w:t>
            </w:r>
          </w:p>
        </w:tc>
        <w:tc>
          <w:tcPr>
            <w:tcW w:w="1361" w:type="dxa"/>
            <w:vAlign w:val="center"/>
          </w:tcPr>
          <w:p>
            <w:pPr>
              <w:pStyle w:val="12"/>
            </w:pPr>
            <w:r>
              <w:t>652.56</w:t>
            </w:r>
          </w:p>
        </w:tc>
        <w:tc>
          <w:tcPr>
            <w:tcW w:w="1361" w:type="dxa"/>
            <w:vAlign w:val="center"/>
          </w:tcPr>
          <w:p>
            <w:pPr>
              <w:pStyle w:val="12"/>
            </w:pPr>
            <w:r>
              <w:t>632.23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652.56</w:t>
            </w:r>
          </w:p>
        </w:tc>
        <w:tc>
          <w:tcPr>
            <w:tcW w:w="1361" w:type="dxa"/>
            <w:vAlign w:val="center"/>
          </w:tcPr>
          <w:p>
            <w:pPr>
              <w:pStyle w:val="12"/>
            </w:pPr>
            <w:r>
              <w:t>652.56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2010602</w:t>
            </w:r>
          </w:p>
        </w:tc>
        <w:tc>
          <w:tcPr>
            <w:tcW w:w="4535" w:type="dxa"/>
            <w:vAlign w:val="center"/>
          </w:tcPr>
          <w:p>
            <w:pPr>
              <w:pStyle w:val="13"/>
            </w:pPr>
            <w:r>
              <w:t>一般行政管理事务</w:t>
            </w:r>
          </w:p>
        </w:tc>
        <w:tc>
          <w:tcPr>
            <w:tcW w:w="1361" w:type="dxa"/>
            <w:vAlign w:val="center"/>
          </w:tcPr>
          <w:p>
            <w:pPr>
              <w:pStyle w:val="12"/>
            </w:pPr>
            <w:r>
              <w:t>163.27</w:t>
            </w:r>
          </w:p>
        </w:tc>
        <w:tc>
          <w:tcPr>
            <w:tcW w:w="1361" w:type="dxa"/>
            <w:vAlign w:val="center"/>
          </w:tcPr>
          <w:p>
            <w:pPr>
              <w:pStyle w:val="12"/>
            </w:pPr>
          </w:p>
        </w:tc>
        <w:tc>
          <w:tcPr>
            <w:tcW w:w="1361" w:type="dxa"/>
            <w:vAlign w:val="center"/>
          </w:tcPr>
          <w:p>
            <w:pPr>
              <w:pStyle w:val="12"/>
            </w:pPr>
            <w:r>
              <w:t>163.27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2010607</w:t>
            </w:r>
          </w:p>
        </w:tc>
        <w:tc>
          <w:tcPr>
            <w:tcW w:w="4535" w:type="dxa"/>
            <w:vAlign w:val="center"/>
          </w:tcPr>
          <w:p>
            <w:pPr>
              <w:pStyle w:val="13"/>
            </w:pPr>
            <w:r>
              <w:t>信息化建设</w:t>
            </w:r>
          </w:p>
        </w:tc>
        <w:tc>
          <w:tcPr>
            <w:tcW w:w="1361" w:type="dxa"/>
            <w:vAlign w:val="center"/>
          </w:tcPr>
          <w:p>
            <w:pPr>
              <w:pStyle w:val="12"/>
            </w:pPr>
            <w:r>
              <w:t>69.60</w:t>
            </w:r>
          </w:p>
        </w:tc>
        <w:tc>
          <w:tcPr>
            <w:tcW w:w="1361" w:type="dxa"/>
            <w:vAlign w:val="center"/>
          </w:tcPr>
          <w:p>
            <w:pPr>
              <w:pStyle w:val="12"/>
            </w:pPr>
          </w:p>
        </w:tc>
        <w:tc>
          <w:tcPr>
            <w:tcW w:w="1361" w:type="dxa"/>
            <w:vAlign w:val="center"/>
          </w:tcPr>
          <w:p>
            <w:pPr>
              <w:pStyle w:val="12"/>
            </w:pPr>
            <w:r>
              <w:t>69.60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2010608</w:t>
            </w:r>
          </w:p>
        </w:tc>
        <w:tc>
          <w:tcPr>
            <w:tcW w:w="4535" w:type="dxa"/>
            <w:vAlign w:val="center"/>
          </w:tcPr>
          <w:p>
            <w:pPr>
              <w:pStyle w:val="13"/>
            </w:pPr>
            <w:r>
              <w:t>财政委托业务支出</w:t>
            </w:r>
          </w:p>
        </w:tc>
        <w:tc>
          <w:tcPr>
            <w:tcW w:w="1361" w:type="dxa"/>
            <w:vAlign w:val="center"/>
          </w:tcPr>
          <w:p>
            <w:pPr>
              <w:pStyle w:val="12"/>
            </w:pPr>
            <w:r>
              <w:t>399.36</w:t>
            </w:r>
          </w:p>
        </w:tc>
        <w:tc>
          <w:tcPr>
            <w:tcW w:w="1361" w:type="dxa"/>
            <w:vAlign w:val="center"/>
          </w:tcPr>
          <w:p>
            <w:pPr>
              <w:pStyle w:val="12"/>
            </w:pPr>
          </w:p>
        </w:tc>
        <w:tc>
          <w:tcPr>
            <w:tcW w:w="1361" w:type="dxa"/>
            <w:vAlign w:val="center"/>
          </w:tcPr>
          <w:p>
            <w:pPr>
              <w:pStyle w:val="12"/>
            </w:pPr>
            <w:r>
              <w:t>399.36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224.52</w:t>
            </w:r>
          </w:p>
        </w:tc>
        <w:tc>
          <w:tcPr>
            <w:tcW w:w="1361" w:type="dxa"/>
            <w:vAlign w:val="center"/>
          </w:tcPr>
          <w:p>
            <w:pPr>
              <w:pStyle w:val="12"/>
            </w:pPr>
            <w:r>
              <w:t>224.52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224.52</w:t>
            </w:r>
          </w:p>
        </w:tc>
        <w:tc>
          <w:tcPr>
            <w:tcW w:w="1361" w:type="dxa"/>
            <w:vAlign w:val="center"/>
          </w:tcPr>
          <w:p>
            <w:pPr>
              <w:pStyle w:val="12"/>
            </w:pPr>
            <w:r>
              <w:t>224.52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132.40</w:t>
            </w:r>
          </w:p>
        </w:tc>
        <w:tc>
          <w:tcPr>
            <w:tcW w:w="1361" w:type="dxa"/>
            <w:vAlign w:val="center"/>
          </w:tcPr>
          <w:p>
            <w:pPr>
              <w:pStyle w:val="12"/>
            </w:pPr>
            <w:r>
              <w:t>132.40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72.12</w:t>
            </w:r>
          </w:p>
        </w:tc>
        <w:tc>
          <w:tcPr>
            <w:tcW w:w="1361" w:type="dxa"/>
            <w:vAlign w:val="center"/>
          </w:tcPr>
          <w:p>
            <w:pPr>
              <w:pStyle w:val="12"/>
            </w:pPr>
            <w:r>
              <w:t>72.12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36.41</w:t>
            </w:r>
          </w:p>
        </w:tc>
        <w:tc>
          <w:tcPr>
            <w:tcW w:w="1361" w:type="dxa"/>
            <w:vAlign w:val="center"/>
          </w:tcPr>
          <w:p>
            <w:pPr>
              <w:pStyle w:val="12"/>
            </w:pPr>
            <w:r>
              <w:t>36.41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36.41</w:t>
            </w:r>
          </w:p>
        </w:tc>
        <w:tc>
          <w:tcPr>
            <w:tcW w:w="1361" w:type="dxa"/>
            <w:vAlign w:val="center"/>
          </w:tcPr>
          <w:p>
            <w:pPr>
              <w:pStyle w:val="12"/>
            </w:pPr>
            <w:r>
              <w:t>36.41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30.81</w:t>
            </w:r>
          </w:p>
        </w:tc>
        <w:tc>
          <w:tcPr>
            <w:tcW w:w="1361" w:type="dxa"/>
            <w:vAlign w:val="center"/>
          </w:tcPr>
          <w:p>
            <w:pPr>
              <w:pStyle w:val="12"/>
            </w:pPr>
            <w:r>
              <w:t>30.81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5.60</w:t>
            </w:r>
          </w:p>
        </w:tc>
        <w:tc>
          <w:tcPr>
            <w:tcW w:w="1361" w:type="dxa"/>
            <w:vAlign w:val="center"/>
          </w:tcPr>
          <w:p>
            <w:pPr>
              <w:pStyle w:val="12"/>
            </w:pPr>
            <w:r>
              <w:t>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5.82</w:t>
            </w:r>
          </w:p>
        </w:tc>
        <w:tc>
          <w:tcPr>
            <w:tcW w:w="1361" w:type="dxa"/>
            <w:vAlign w:val="center"/>
          </w:tcPr>
          <w:p>
            <w:pPr>
              <w:pStyle w:val="12"/>
            </w:pPr>
          </w:p>
        </w:tc>
        <w:tc>
          <w:tcPr>
            <w:tcW w:w="1361" w:type="dxa"/>
            <w:vAlign w:val="center"/>
          </w:tcPr>
          <w:p>
            <w:pPr>
              <w:pStyle w:val="12"/>
            </w:pPr>
            <w:r>
              <w:t>5.82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5.82</w:t>
            </w:r>
          </w:p>
        </w:tc>
        <w:tc>
          <w:tcPr>
            <w:tcW w:w="1361" w:type="dxa"/>
            <w:vAlign w:val="center"/>
          </w:tcPr>
          <w:p>
            <w:pPr>
              <w:pStyle w:val="12"/>
            </w:pPr>
          </w:p>
        </w:tc>
        <w:tc>
          <w:tcPr>
            <w:tcW w:w="1361" w:type="dxa"/>
            <w:vAlign w:val="center"/>
          </w:tcPr>
          <w:p>
            <w:pPr>
              <w:pStyle w:val="12"/>
            </w:pPr>
            <w:r>
              <w:t>5.82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2130599</w:t>
            </w:r>
          </w:p>
        </w:tc>
        <w:tc>
          <w:tcPr>
            <w:tcW w:w="4535" w:type="dxa"/>
            <w:vAlign w:val="center"/>
          </w:tcPr>
          <w:p>
            <w:pPr>
              <w:pStyle w:val="13"/>
            </w:pPr>
            <w:r>
              <w:t>其他巩固脱贫攻坚成果衔接乡村振兴支出</w:t>
            </w:r>
          </w:p>
        </w:tc>
        <w:tc>
          <w:tcPr>
            <w:tcW w:w="1361" w:type="dxa"/>
            <w:vAlign w:val="center"/>
          </w:tcPr>
          <w:p>
            <w:pPr>
              <w:pStyle w:val="12"/>
            </w:pPr>
            <w:r>
              <w:t>5.82</w:t>
            </w:r>
          </w:p>
        </w:tc>
        <w:tc>
          <w:tcPr>
            <w:tcW w:w="1361" w:type="dxa"/>
            <w:vAlign w:val="center"/>
          </w:tcPr>
          <w:p>
            <w:pPr>
              <w:pStyle w:val="12"/>
            </w:pPr>
          </w:p>
        </w:tc>
        <w:tc>
          <w:tcPr>
            <w:tcW w:w="1361" w:type="dxa"/>
            <w:vAlign w:val="center"/>
          </w:tcPr>
          <w:p>
            <w:pPr>
              <w:pStyle w:val="12"/>
            </w:pPr>
            <w:r>
              <w:t>5.82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67.74</w:t>
            </w:r>
          </w:p>
        </w:tc>
        <w:tc>
          <w:tcPr>
            <w:tcW w:w="1361" w:type="dxa"/>
            <w:vAlign w:val="center"/>
          </w:tcPr>
          <w:p>
            <w:pPr>
              <w:pStyle w:val="12"/>
            </w:pPr>
            <w:r>
              <w:t>67.74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67.74</w:t>
            </w:r>
          </w:p>
        </w:tc>
        <w:tc>
          <w:tcPr>
            <w:tcW w:w="1361" w:type="dxa"/>
            <w:vAlign w:val="center"/>
          </w:tcPr>
          <w:p>
            <w:pPr>
              <w:pStyle w:val="12"/>
            </w:pPr>
            <w:r>
              <w:t>67.74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67.74</w:t>
            </w:r>
          </w:p>
        </w:tc>
        <w:tc>
          <w:tcPr>
            <w:tcW w:w="1361" w:type="dxa"/>
            <w:vAlign w:val="center"/>
          </w:tcPr>
          <w:p>
            <w:pPr>
              <w:pStyle w:val="12"/>
            </w:pPr>
            <w:r>
              <w:t>67.74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318石家庄市桥西区财政局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1619.28</w:t>
            </w:r>
          </w:p>
        </w:tc>
        <w:tc>
          <w:tcPr>
            <w:tcW w:w="3402" w:type="dxa"/>
            <w:vAlign w:val="center"/>
          </w:tcPr>
          <w:p>
            <w:pPr>
              <w:pStyle w:val="13"/>
            </w:pPr>
            <w:r>
              <w:t>一、一般公共服务支出</w:t>
            </w:r>
          </w:p>
        </w:tc>
        <w:tc>
          <w:tcPr>
            <w:tcW w:w="1474" w:type="dxa"/>
            <w:vAlign w:val="center"/>
          </w:tcPr>
          <w:p>
            <w:pPr>
              <w:pStyle w:val="12"/>
            </w:pPr>
            <w:r>
              <w:t>1284.79</w:t>
            </w:r>
          </w:p>
        </w:tc>
        <w:tc>
          <w:tcPr>
            <w:tcW w:w="1474" w:type="dxa"/>
            <w:vAlign w:val="center"/>
          </w:tcPr>
          <w:p>
            <w:pPr>
              <w:pStyle w:val="12"/>
            </w:pPr>
            <w:r>
              <w:t>1284.79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224.52</w:t>
            </w:r>
          </w:p>
        </w:tc>
        <w:tc>
          <w:tcPr>
            <w:tcW w:w="1474" w:type="dxa"/>
            <w:vAlign w:val="center"/>
          </w:tcPr>
          <w:p>
            <w:pPr>
              <w:pStyle w:val="12"/>
            </w:pPr>
            <w:r>
              <w:t>224.52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36.41</w:t>
            </w:r>
          </w:p>
        </w:tc>
        <w:tc>
          <w:tcPr>
            <w:tcW w:w="1474" w:type="dxa"/>
            <w:vAlign w:val="center"/>
          </w:tcPr>
          <w:p>
            <w:pPr>
              <w:pStyle w:val="12"/>
            </w:pPr>
            <w:r>
              <w:t>36.41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5.82</w:t>
            </w:r>
          </w:p>
        </w:tc>
        <w:tc>
          <w:tcPr>
            <w:tcW w:w="1474" w:type="dxa"/>
            <w:vAlign w:val="center"/>
          </w:tcPr>
          <w:p>
            <w:pPr>
              <w:pStyle w:val="12"/>
            </w:pPr>
            <w:r>
              <w:t>5.82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67.74</w:t>
            </w:r>
          </w:p>
        </w:tc>
        <w:tc>
          <w:tcPr>
            <w:tcW w:w="1474" w:type="dxa"/>
            <w:vAlign w:val="center"/>
          </w:tcPr>
          <w:p>
            <w:pPr>
              <w:pStyle w:val="12"/>
            </w:pPr>
            <w:r>
              <w:t>67.74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1619.28</w:t>
            </w:r>
          </w:p>
        </w:tc>
        <w:tc>
          <w:tcPr>
            <w:tcW w:w="3402" w:type="dxa"/>
            <w:vAlign w:val="center"/>
          </w:tcPr>
          <w:p>
            <w:pPr>
              <w:pStyle w:val="15"/>
            </w:pPr>
            <w:r>
              <w:t>本年支出合计</w:t>
            </w:r>
          </w:p>
        </w:tc>
        <w:tc>
          <w:tcPr>
            <w:tcW w:w="1474" w:type="dxa"/>
            <w:vAlign w:val="center"/>
          </w:tcPr>
          <w:p>
            <w:pPr>
              <w:pStyle w:val="16"/>
            </w:pPr>
            <w:r>
              <w:t>1619.28</w:t>
            </w:r>
          </w:p>
        </w:tc>
        <w:tc>
          <w:tcPr>
            <w:tcW w:w="1474" w:type="dxa"/>
            <w:vAlign w:val="center"/>
          </w:tcPr>
          <w:p>
            <w:pPr>
              <w:pStyle w:val="16"/>
            </w:pPr>
            <w:r>
              <w:t>1619.28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1619.28</w:t>
            </w:r>
          </w:p>
        </w:tc>
        <w:tc>
          <w:tcPr>
            <w:tcW w:w="3402" w:type="dxa"/>
            <w:vAlign w:val="center"/>
          </w:tcPr>
          <w:p>
            <w:pPr>
              <w:pStyle w:val="15"/>
            </w:pPr>
            <w:r>
              <w:t>支出总计</w:t>
            </w:r>
          </w:p>
        </w:tc>
        <w:tc>
          <w:tcPr>
            <w:tcW w:w="1474" w:type="dxa"/>
            <w:vAlign w:val="center"/>
          </w:tcPr>
          <w:p>
            <w:pPr>
              <w:pStyle w:val="16"/>
            </w:pPr>
            <w:r>
              <w:t>1619.28</w:t>
            </w:r>
          </w:p>
        </w:tc>
        <w:tc>
          <w:tcPr>
            <w:tcW w:w="1474" w:type="dxa"/>
            <w:vAlign w:val="center"/>
          </w:tcPr>
          <w:p>
            <w:pPr>
              <w:pStyle w:val="16"/>
            </w:pPr>
            <w:r>
              <w:t>1619.28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318石家庄市桥西区财政局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1619.28</w:t>
            </w:r>
          </w:p>
        </w:tc>
        <w:tc>
          <w:tcPr>
            <w:tcW w:w="2551" w:type="dxa"/>
            <w:vAlign w:val="center"/>
          </w:tcPr>
          <w:p>
            <w:pPr>
              <w:pStyle w:val="16"/>
            </w:pPr>
            <w:r>
              <w:t>981.23</w:t>
            </w:r>
          </w:p>
        </w:tc>
        <w:tc>
          <w:tcPr>
            <w:tcW w:w="2551" w:type="dxa"/>
            <w:vAlign w:val="center"/>
          </w:tcPr>
          <w:p>
            <w:pPr>
              <w:pStyle w:val="16"/>
            </w:pPr>
            <w:r>
              <w:t>638.05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1284.79</w:t>
            </w:r>
          </w:p>
        </w:tc>
        <w:tc>
          <w:tcPr>
            <w:tcW w:w="2551" w:type="dxa"/>
            <w:vAlign w:val="center"/>
          </w:tcPr>
          <w:p>
            <w:pPr>
              <w:pStyle w:val="12"/>
            </w:pPr>
            <w:r>
              <w:t>652.56</w:t>
            </w:r>
          </w:p>
        </w:tc>
        <w:tc>
          <w:tcPr>
            <w:tcW w:w="2551" w:type="dxa"/>
            <w:vAlign w:val="center"/>
          </w:tcPr>
          <w:p>
            <w:pPr>
              <w:pStyle w:val="12"/>
            </w:pPr>
            <w:r>
              <w:t>632.23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1284.79</w:t>
            </w:r>
          </w:p>
        </w:tc>
        <w:tc>
          <w:tcPr>
            <w:tcW w:w="2551" w:type="dxa"/>
            <w:vAlign w:val="center"/>
          </w:tcPr>
          <w:p>
            <w:pPr>
              <w:pStyle w:val="12"/>
            </w:pPr>
            <w:r>
              <w:t>652.56</w:t>
            </w:r>
          </w:p>
        </w:tc>
        <w:tc>
          <w:tcPr>
            <w:tcW w:w="2551" w:type="dxa"/>
            <w:vAlign w:val="center"/>
          </w:tcPr>
          <w:p>
            <w:pPr>
              <w:pStyle w:val="12"/>
            </w:pPr>
            <w:r>
              <w:t>632.23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652.56</w:t>
            </w:r>
          </w:p>
        </w:tc>
        <w:tc>
          <w:tcPr>
            <w:tcW w:w="2551" w:type="dxa"/>
            <w:vAlign w:val="center"/>
          </w:tcPr>
          <w:p>
            <w:pPr>
              <w:pStyle w:val="12"/>
            </w:pPr>
            <w:r>
              <w:t>652.56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2010602</w:t>
            </w:r>
          </w:p>
        </w:tc>
        <w:tc>
          <w:tcPr>
            <w:tcW w:w="4535" w:type="dxa"/>
            <w:vAlign w:val="center"/>
          </w:tcPr>
          <w:p>
            <w:pPr>
              <w:pStyle w:val="13"/>
            </w:pPr>
            <w:r>
              <w:t>一般行政管理事务</w:t>
            </w:r>
          </w:p>
        </w:tc>
        <w:tc>
          <w:tcPr>
            <w:tcW w:w="2551" w:type="dxa"/>
            <w:vAlign w:val="center"/>
          </w:tcPr>
          <w:p>
            <w:pPr>
              <w:pStyle w:val="12"/>
            </w:pPr>
            <w:r>
              <w:t>163.27</w:t>
            </w:r>
          </w:p>
        </w:tc>
        <w:tc>
          <w:tcPr>
            <w:tcW w:w="2551" w:type="dxa"/>
            <w:vAlign w:val="center"/>
          </w:tcPr>
          <w:p>
            <w:pPr>
              <w:pStyle w:val="12"/>
            </w:pPr>
          </w:p>
        </w:tc>
        <w:tc>
          <w:tcPr>
            <w:tcW w:w="2551" w:type="dxa"/>
            <w:vAlign w:val="center"/>
          </w:tcPr>
          <w:p>
            <w:pPr>
              <w:pStyle w:val="12"/>
            </w:pPr>
            <w:r>
              <w:t>163.27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2010607</w:t>
            </w:r>
          </w:p>
        </w:tc>
        <w:tc>
          <w:tcPr>
            <w:tcW w:w="4535" w:type="dxa"/>
            <w:vAlign w:val="center"/>
          </w:tcPr>
          <w:p>
            <w:pPr>
              <w:pStyle w:val="13"/>
            </w:pPr>
            <w:r>
              <w:t>信息化建设</w:t>
            </w:r>
          </w:p>
        </w:tc>
        <w:tc>
          <w:tcPr>
            <w:tcW w:w="2551" w:type="dxa"/>
            <w:vAlign w:val="center"/>
          </w:tcPr>
          <w:p>
            <w:pPr>
              <w:pStyle w:val="12"/>
            </w:pPr>
            <w:r>
              <w:t>69.60</w:t>
            </w:r>
          </w:p>
        </w:tc>
        <w:tc>
          <w:tcPr>
            <w:tcW w:w="2551" w:type="dxa"/>
            <w:vAlign w:val="center"/>
          </w:tcPr>
          <w:p>
            <w:pPr>
              <w:pStyle w:val="12"/>
            </w:pPr>
          </w:p>
        </w:tc>
        <w:tc>
          <w:tcPr>
            <w:tcW w:w="2551" w:type="dxa"/>
            <w:vAlign w:val="center"/>
          </w:tcPr>
          <w:p>
            <w:pPr>
              <w:pStyle w:val="12"/>
            </w:pPr>
            <w:r>
              <w:t>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2010608</w:t>
            </w:r>
          </w:p>
        </w:tc>
        <w:tc>
          <w:tcPr>
            <w:tcW w:w="4535" w:type="dxa"/>
            <w:vAlign w:val="center"/>
          </w:tcPr>
          <w:p>
            <w:pPr>
              <w:pStyle w:val="13"/>
            </w:pPr>
            <w:r>
              <w:t>财政委托业务支出</w:t>
            </w:r>
          </w:p>
        </w:tc>
        <w:tc>
          <w:tcPr>
            <w:tcW w:w="2551" w:type="dxa"/>
            <w:vAlign w:val="center"/>
          </w:tcPr>
          <w:p>
            <w:pPr>
              <w:pStyle w:val="12"/>
            </w:pPr>
            <w:r>
              <w:t>399.36</w:t>
            </w:r>
          </w:p>
        </w:tc>
        <w:tc>
          <w:tcPr>
            <w:tcW w:w="2551" w:type="dxa"/>
            <w:vAlign w:val="center"/>
          </w:tcPr>
          <w:p>
            <w:pPr>
              <w:pStyle w:val="12"/>
            </w:pPr>
          </w:p>
        </w:tc>
        <w:tc>
          <w:tcPr>
            <w:tcW w:w="2551" w:type="dxa"/>
            <w:vAlign w:val="center"/>
          </w:tcPr>
          <w:p>
            <w:pPr>
              <w:pStyle w:val="12"/>
            </w:pPr>
            <w:r>
              <w:t>399.36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224.52</w:t>
            </w:r>
          </w:p>
        </w:tc>
        <w:tc>
          <w:tcPr>
            <w:tcW w:w="2551" w:type="dxa"/>
            <w:vAlign w:val="center"/>
          </w:tcPr>
          <w:p>
            <w:pPr>
              <w:pStyle w:val="12"/>
            </w:pPr>
            <w:r>
              <w:t>224.52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224.52</w:t>
            </w:r>
          </w:p>
        </w:tc>
        <w:tc>
          <w:tcPr>
            <w:tcW w:w="2551" w:type="dxa"/>
            <w:vAlign w:val="center"/>
          </w:tcPr>
          <w:p>
            <w:pPr>
              <w:pStyle w:val="12"/>
            </w:pPr>
            <w:r>
              <w:t>224.52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132.40</w:t>
            </w:r>
          </w:p>
        </w:tc>
        <w:tc>
          <w:tcPr>
            <w:tcW w:w="2551" w:type="dxa"/>
            <w:vAlign w:val="center"/>
          </w:tcPr>
          <w:p>
            <w:pPr>
              <w:pStyle w:val="12"/>
            </w:pPr>
            <w:r>
              <w:t>132.40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72.12</w:t>
            </w:r>
          </w:p>
        </w:tc>
        <w:tc>
          <w:tcPr>
            <w:tcW w:w="2551" w:type="dxa"/>
            <w:vAlign w:val="center"/>
          </w:tcPr>
          <w:p>
            <w:pPr>
              <w:pStyle w:val="12"/>
            </w:pPr>
            <w:r>
              <w:t>72.12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36.41</w:t>
            </w:r>
          </w:p>
        </w:tc>
        <w:tc>
          <w:tcPr>
            <w:tcW w:w="2551" w:type="dxa"/>
            <w:vAlign w:val="center"/>
          </w:tcPr>
          <w:p>
            <w:pPr>
              <w:pStyle w:val="12"/>
            </w:pPr>
            <w:r>
              <w:t>36.41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36.41</w:t>
            </w:r>
          </w:p>
        </w:tc>
        <w:tc>
          <w:tcPr>
            <w:tcW w:w="2551" w:type="dxa"/>
            <w:vAlign w:val="center"/>
          </w:tcPr>
          <w:p>
            <w:pPr>
              <w:pStyle w:val="12"/>
            </w:pPr>
            <w:r>
              <w:t>36.41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30.81</w:t>
            </w:r>
          </w:p>
        </w:tc>
        <w:tc>
          <w:tcPr>
            <w:tcW w:w="2551" w:type="dxa"/>
            <w:vAlign w:val="center"/>
          </w:tcPr>
          <w:p>
            <w:pPr>
              <w:pStyle w:val="12"/>
            </w:pPr>
            <w:r>
              <w:t>30.81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5.60</w:t>
            </w:r>
          </w:p>
        </w:tc>
        <w:tc>
          <w:tcPr>
            <w:tcW w:w="2551" w:type="dxa"/>
            <w:vAlign w:val="center"/>
          </w:tcPr>
          <w:p>
            <w:pPr>
              <w:pStyle w:val="12"/>
            </w:pPr>
            <w:r>
              <w:t>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2130599</w:t>
            </w:r>
          </w:p>
        </w:tc>
        <w:tc>
          <w:tcPr>
            <w:tcW w:w="4535" w:type="dxa"/>
            <w:vAlign w:val="center"/>
          </w:tcPr>
          <w:p>
            <w:pPr>
              <w:pStyle w:val="13"/>
            </w:pPr>
            <w:r>
              <w:t>其他巩固脱贫攻坚成果衔接乡村振兴支出</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67.74</w:t>
            </w:r>
          </w:p>
        </w:tc>
        <w:tc>
          <w:tcPr>
            <w:tcW w:w="2551" w:type="dxa"/>
            <w:vAlign w:val="center"/>
          </w:tcPr>
          <w:p>
            <w:pPr>
              <w:pStyle w:val="12"/>
            </w:pPr>
            <w:r>
              <w:t>67.74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67.74</w:t>
            </w:r>
          </w:p>
        </w:tc>
        <w:tc>
          <w:tcPr>
            <w:tcW w:w="2551" w:type="dxa"/>
            <w:vAlign w:val="center"/>
          </w:tcPr>
          <w:p>
            <w:pPr>
              <w:pStyle w:val="12"/>
            </w:pPr>
            <w:r>
              <w:t>67.74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67.74</w:t>
            </w:r>
          </w:p>
        </w:tc>
        <w:tc>
          <w:tcPr>
            <w:tcW w:w="2551" w:type="dxa"/>
            <w:vAlign w:val="center"/>
          </w:tcPr>
          <w:p>
            <w:pPr>
              <w:pStyle w:val="12"/>
            </w:pPr>
            <w:r>
              <w:t>67.74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318石家庄市桥西区财政局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981.23</w:t>
            </w:r>
          </w:p>
        </w:tc>
        <w:tc>
          <w:tcPr>
            <w:tcW w:w="2551" w:type="dxa"/>
            <w:vAlign w:val="center"/>
          </w:tcPr>
          <w:p>
            <w:pPr>
              <w:pStyle w:val="16"/>
            </w:pPr>
            <w:r>
              <w:t>914.17</w:t>
            </w:r>
          </w:p>
        </w:tc>
        <w:tc>
          <w:tcPr>
            <w:tcW w:w="2551" w:type="dxa"/>
            <w:vAlign w:val="center"/>
          </w:tcPr>
          <w:p>
            <w:pPr>
              <w:pStyle w:val="16"/>
            </w:pPr>
            <w:r>
              <w:t>67.06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785.23</w:t>
            </w:r>
          </w:p>
        </w:tc>
        <w:tc>
          <w:tcPr>
            <w:tcW w:w="2551" w:type="dxa"/>
            <w:vAlign w:val="center"/>
          </w:tcPr>
          <w:p>
            <w:pPr>
              <w:pStyle w:val="12"/>
            </w:pPr>
            <w:r>
              <w:t>785.23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205.96</w:t>
            </w:r>
          </w:p>
        </w:tc>
        <w:tc>
          <w:tcPr>
            <w:tcW w:w="2551" w:type="dxa"/>
            <w:vAlign w:val="center"/>
          </w:tcPr>
          <w:p>
            <w:pPr>
              <w:pStyle w:val="12"/>
            </w:pPr>
            <w:r>
              <w:t>205.96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124.63</w:t>
            </w:r>
          </w:p>
        </w:tc>
        <w:tc>
          <w:tcPr>
            <w:tcW w:w="2551" w:type="dxa"/>
            <w:vAlign w:val="center"/>
          </w:tcPr>
          <w:p>
            <w:pPr>
              <w:pStyle w:val="12"/>
            </w:pPr>
            <w:r>
              <w:t>124.63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92.68</w:t>
            </w:r>
          </w:p>
        </w:tc>
        <w:tc>
          <w:tcPr>
            <w:tcW w:w="2551" w:type="dxa"/>
            <w:vAlign w:val="center"/>
          </w:tcPr>
          <w:p>
            <w:pPr>
              <w:pStyle w:val="12"/>
            </w:pPr>
            <w:r>
              <w:t>92.68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162.28</w:t>
            </w:r>
          </w:p>
        </w:tc>
        <w:tc>
          <w:tcPr>
            <w:tcW w:w="2551" w:type="dxa"/>
            <w:vAlign w:val="center"/>
          </w:tcPr>
          <w:p>
            <w:pPr>
              <w:pStyle w:val="12"/>
            </w:pPr>
            <w:r>
              <w:t>162.28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72.12</w:t>
            </w:r>
          </w:p>
        </w:tc>
        <w:tc>
          <w:tcPr>
            <w:tcW w:w="2551" w:type="dxa"/>
            <w:vAlign w:val="center"/>
          </w:tcPr>
          <w:p>
            <w:pPr>
              <w:pStyle w:val="12"/>
            </w:pPr>
            <w:r>
              <w:t>72.12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30.81</w:t>
            </w:r>
          </w:p>
        </w:tc>
        <w:tc>
          <w:tcPr>
            <w:tcW w:w="2551" w:type="dxa"/>
            <w:vAlign w:val="center"/>
          </w:tcPr>
          <w:p>
            <w:pPr>
              <w:pStyle w:val="12"/>
            </w:pPr>
            <w:r>
              <w:t>30.81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5.60</w:t>
            </w:r>
          </w:p>
        </w:tc>
        <w:tc>
          <w:tcPr>
            <w:tcW w:w="2551" w:type="dxa"/>
            <w:vAlign w:val="center"/>
          </w:tcPr>
          <w:p>
            <w:pPr>
              <w:pStyle w:val="12"/>
            </w:pPr>
            <w:r>
              <w:t>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3.41</w:t>
            </w:r>
          </w:p>
        </w:tc>
        <w:tc>
          <w:tcPr>
            <w:tcW w:w="2551" w:type="dxa"/>
            <w:vAlign w:val="center"/>
          </w:tcPr>
          <w:p>
            <w:pPr>
              <w:pStyle w:val="12"/>
            </w:pPr>
            <w:r>
              <w:t>3.41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67.74</w:t>
            </w:r>
          </w:p>
        </w:tc>
        <w:tc>
          <w:tcPr>
            <w:tcW w:w="2551" w:type="dxa"/>
            <w:vAlign w:val="center"/>
          </w:tcPr>
          <w:p>
            <w:pPr>
              <w:pStyle w:val="12"/>
            </w:pPr>
            <w:r>
              <w:t>67.74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67.06</w:t>
            </w:r>
          </w:p>
        </w:tc>
        <w:tc>
          <w:tcPr>
            <w:tcW w:w="2551" w:type="dxa"/>
            <w:vAlign w:val="center"/>
          </w:tcPr>
          <w:p>
            <w:pPr>
              <w:pStyle w:val="12"/>
            </w:pPr>
          </w:p>
        </w:tc>
        <w:tc>
          <w:tcPr>
            <w:tcW w:w="2551" w:type="dxa"/>
            <w:vAlign w:val="center"/>
          </w:tcPr>
          <w:p>
            <w:pPr>
              <w:pStyle w:val="12"/>
            </w:pPr>
            <w:r>
              <w:t>67.06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12.37</w:t>
            </w:r>
          </w:p>
        </w:tc>
        <w:tc>
          <w:tcPr>
            <w:tcW w:w="2551" w:type="dxa"/>
            <w:vAlign w:val="center"/>
          </w:tcPr>
          <w:p>
            <w:pPr>
              <w:pStyle w:val="12"/>
            </w:pPr>
          </w:p>
        </w:tc>
        <w:tc>
          <w:tcPr>
            <w:tcW w:w="2551" w:type="dxa"/>
            <w:vAlign w:val="center"/>
          </w:tcPr>
          <w:p>
            <w:pPr>
              <w:pStyle w:val="12"/>
            </w:pPr>
            <w:r>
              <w:t>12.37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0.88</w:t>
            </w:r>
          </w:p>
        </w:tc>
        <w:tc>
          <w:tcPr>
            <w:tcW w:w="2551" w:type="dxa"/>
            <w:vAlign w:val="center"/>
          </w:tcPr>
          <w:p>
            <w:pPr>
              <w:pStyle w:val="12"/>
            </w:pPr>
          </w:p>
        </w:tc>
        <w:tc>
          <w:tcPr>
            <w:tcW w:w="2551" w:type="dxa"/>
            <w:vAlign w:val="center"/>
          </w:tcPr>
          <w:p>
            <w:pPr>
              <w:pStyle w:val="12"/>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13.34</w:t>
            </w:r>
          </w:p>
        </w:tc>
        <w:tc>
          <w:tcPr>
            <w:tcW w:w="2551" w:type="dxa"/>
            <w:vAlign w:val="center"/>
          </w:tcPr>
          <w:p>
            <w:pPr>
              <w:pStyle w:val="12"/>
            </w:pPr>
          </w:p>
        </w:tc>
        <w:tc>
          <w:tcPr>
            <w:tcW w:w="2551" w:type="dxa"/>
            <w:vAlign w:val="center"/>
          </w:tcPr>
          <w:p>
            <w:pPr>
              <w:pStyle w:val="12"/>
            </w:pPr>
            <w:r>
              <w:t>13.34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0.65</w:t>
            </w:r>
          </w:p>
        </w:tc>
        <w:tc>
          <w:tcPr>
            <w:tcW w:w="2551" w:type="dxa"/>
            <w:vAlign w:val="center"/>
          </w:tcPr>
          <w:p>
            <w:pPr>
              <w:pStyle w:val="12"/>
            </w:pPr>
          </w:p>
        </w:tc>
        <w:tc>
          <w:tcPr>
            <w:tcW w:w="2551" w:type="dxa"/>
            <w:vAlign w:val="center"/>
          </w:tcPr>
          <w:p>
            <w:pPr>
              <w:pStyle w:val="12"/>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6.85</w:t>
            </w:r>
          </w:p>
        </w:tc>
        <w:tc>
          <w:tcPr>
            <w:tcW w:w="2551" w:type="dxa"/>
            <w:vAlign w:val="center"/>
          </w:tcPr>
          <w:p>
            <w:pPr>
              <w:pStyle w:val="12"/>
            </w:pPr>
          </w:p>
        </w:tc>
        <w:tc>
          <w:tcPr>
            <w:tcW w:w="2551" w:type="dxa"/>
            <w:vAlign w:val="center"/>
          </w:tcPr>
          <w:p>
            <w:pPr>
              <w:pStyle w:val="12"/>
            </w:pPr>
            <w:r>
              <w:t>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3.30</w:t>
            </w:r>
          </w:p>
        </w:tc>
        <w:tc>
          <w:tcPr>
            <w:tcW w:w="2551" w:type="dxa"/>
            <w:vAlign w:val="center"/>
          </w:tcPr>
          <w:p>
            <w:pPr>
              <w:pStyle w:val="12"/>
            </w:pPr>
          </w:p>
        </w:tc>
        <w:tc>
          <w:tcPr>
            <w:tcW w:w="2551" w:type="dxa"/>
            <w:vAlign w:val="center"/>
          </w:tcPr>
          <w:p>
            <w:pPr>
              <w:pStyle w:val="12"/>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12.36</w:t>
            </w:r>
          </w:p>
        </w:tc>
        <w:tc>
          <w:tcPr>
            <w:tcW w:w="2551" w:type="dxa"/>
            <w:vAlign w:val="center"/>
          </w:tcPr>
          <w:p>
            <w:pPr>
              <w:pStyle w:val="12"/>
            </w:pPr>
          </w:p>
        </w:tc>
        <w:tc>
          <w:tcPr>
            <w:tcW w:w="2551" w:type="dxa"/>
            <w:vAlign w:val="center"/>
          </w:tcPr>
          <w:p>
            <w:pPr>
              <w:pStyle w:val="12"/>
            </w:pPr>
            <w:r>
              <w:t>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16.01</w:t>
            </w:r>
          </w:p>
        </w:tc>
        <w:tc>
          <w:tcPr>
            <w:tcW w:w="2551" w:type="dxa"/>
            <w:vAlign w:val="center"/>
          </w:tcPr>
          <w:p>
            <w:pPr>
              <w:pStyle w:val="12"/>
            </w:pPr>
          </w:p>
        </w:tc>
        <w:tc>
          <w:tcPr>
            <w:tcW w:w="2551" w:type="dxa"/>
            <w:vAlign w:val="center"/>
          </w:tcPr>
          <w:p>
            <w:pPr>
              <w:pStyle w:val="12"/>
            </w:pPr>
            <w:r>
              <w:t>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128.94</w:t>
            </w:r>
          </w:p>
        </w:tc>
        <w:tc>
          <w:tcPr>
            <w:tcW w:w="2551" w:type="dxa"/>
            <w:vAlign w:val="center"/>
          </w:tcPr>
          <w:p>
            <w:pPr>
              <w:pStyle w:val="12"/>
            </w:pPr>
            <w:r>
              <w:t>128.94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128.94</w:t>
            </w:r>
          </w:p>
        </w:tc>
        <w:tc>
          <w:tcPr>
            <w:tcW w:w="2551" w:type="dxa"/>
            <w:vAlign w:val="center"/>
          </w:tcPr>
          <w:p>
            <w:pPr>
              <w:pStyle w:val="12"/>
            </w:pPr>
            <w:r>
              <w:t>128.94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318石家庄市桥西区财政局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318石家庄市桥西区财政局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318石家庄市桥西区财政局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3.50</w:t>
            </w:r>
          </w:p>
        </w:tc>
        <w:tc>
          <w:tcPr>
            <w:tcW w:w="2381" w:type="dxa"/>
            <w:vAlign w:val="center"/>
          </w:tcPr>
          <w:p>
            <w:pPr>
              <w:pStyle w:val="16"/>
            </w:pPr>
            <w:r>
              <w:t>3.50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3.30</w:t>
            </w:r>
          </w:p>
        </w:tc>
        <w:tc>
          <w:tcPr>
            <w:tcW w:w="2381" w:type="dxa"/>
            <w:vAlign w:val="center"/>
          </w:tcPr>
          <w:p>
            <w:pPr>
              <w:pStyle w:val="12"/>
            </w:pPr>
            <w:r>
              <w:t>3.30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3.30</w:t>
            </w:r>
          </w:p>
        </w:tc>
        <w:tc>
          <w:tcPr>
            <w:tcW w:w="2381" w:type="dxa"/>
            <w:vAlign w:val="center"/>
          </w:tcPr>
          <w:p>
            <w:pPr>
              <w:pStyle w:val="12"/>
            </w:pPr>
            <w:r>
              <w:t>3.30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r>
              <w:t>0.20</w:t>
            </w:r>
          </w:p>
        </w:tc>
        <w:tc>
          <w:tcPr>
            <w:tcW w:w="2381" w:type="dxa"/>
            <w:vAlign w:val="center"/>
          </w:tcPr>
          <w:p>
            <w:pPr>
              <w:pStyle w:val="12"/>
            </w:pPr>
            <w:r>
              <w:t>0.20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石家庄市桥西区财政局2026年部门预算信息公开情况说明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石家庄市桥西区财政局2026年部门预算信息公开情况说明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按照《中华人民共和国预算法》、《地方预决算公开操作规程》和《关于进一步推进预算公开工作的实施意见》规定，现将石家庄市桥西区财政局2026年部门预算公开如下：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财税发展规划、政策和改革方案并组织实施。分析预测全区宏观经济形势，贯彻各项宏观经济政策，提出运用财税政策实施宏观调控和综合平衡社会财力的建议；贯彻区政府与企业的分配政策，完善鼓励公益事业发展的财税政策。</w:t>
      </w:r>
    </w:p>
    <w:p>
      <w:pPr>
        <w:pStyle w:val="18"/>
      </w:pPr>
      <w:r>
        <w:t>（二）贯彻执行财政、财务、会计管理的法律、法规和规章。</w:t>
      </w:r>
    </w:p>
    <w:p>
      <w:pPr>
        <w:pStyle w:val="18"/>
      </w:pPr>
      <w:r>
        <w:t>（三）负责管理区级各项财政收支。编制年度区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财政预决算公开。</w:t>
      </w:r>
    </w:p>
    <w:p>
      <w:pPr>
        <w:pStyle w:val="18"/>
      </w:pPr>
      <w:r>
        <w:t xml:space="preserve">（四）贯彻执行税收地方性法规和规章、实施细则和税收政策调整方案。提出上级授权税目税率调整、减免和地方税收政策等重大事项的建议。组织推进税收制度改革。    </w:t>
      </w:r>
    </w:p>
    <w:p>
      <w:pPr>
        <w:pStyle w:val="18"/>
      </w:pPr>
      <w:r>
        <w:t xml:space="preserve">（五）按分工负责政府非税收入管理。负责政府性基金管理，按规定管理行政事业性收费。管理财政票据。  </w:t>
      </w:r>
    </w:p>
    <w:p>
      <w:pPr>
        <w:pStyle w:val="18"/>
      </w:pPr>
      <w:r>
        <w:t>（六）研究制定国库管理制度、国库集中收付制度，指导和监督区级国库业务，按规定开展国库资金现金管理工作。制定政府财务报告编制办法并组织实施。制定政府采购制度并监督管理。</w:t>
      </w:r>
    </w:p>
    <w:p>
      <w:pPr>
        <w:pStyle w:val="18"/>
      </w:pPr>
      <w:r>
        <w:t xml:space="preserve">（七）拟订政府债务管理制度和办法并组织实施。负责政府债务限额管理，按规定组织政府债券申报、转贷和还本付息等工作。开展对外财经交流。 </w:t>
      </w:r>
    </w:p>
    <w:p>
      <w:pPr>
        <w:pStyle w:val="18"/>
      </w:pPr>
      <w:r>
        <w:t xml:space="preserve">（八）牵头编制国有资产管理情况报告。根据区政府授权，逐步履行区级国有金融资本出资人职责。执行国有金融资本管理规章制度。拟订行政事业单位国有资产管理制度并组织实施，制定需要全区统一规定的开支标准和支出政策。 </w:t>
      </w:r>
    </w:p>
    <w:p>
      <w:pPr>
        <w:pStyle w:val="18"/>
      </w:pPr>
      <w:r>
        <w:t xml:space="preserve">（九）负责审核并汇总编制全区国有资本经营预决算草案，组织实施国有资本经营预算制度，收取区属企业国有资本收益。组织实施企业财务制度。负责财政预算内行政事业单位和社会团体的非贸易外汇管理。 </w:t>
      </w:r>
    </w:p>
    <w:p>
      <w:pPr>
        <w:pStyle w:val="18"/>
      </w:pPr>
      <w:r>
        <w:t xml:space="preserve">（十）负责审核并汇总编制全区社会保险基金预决算草案，会同有关部门拟订有关资金（基金）财务管理制度并组织实施。承担社会保险基金财政监管工作。 </w:t>
      </w:r>
    </w:p>
    <w:p>
      <w:pPr>
        <w:pStyle w:val="18"/>
      </w:pPr>
      <w:r>
        <w:t>（十一）负责办理和监督区级财政的经济发展支出、区级政府性投资项目的财政拨款，参与拟订区级建设投资的有关政策，制定基建财务管理制度。负责财政评审管理。</w:t>
      </w:r>
    </w:p>
    <w:p>
      <w:pPr>
        <w:pStyle w:val="18"/>
      </w:pPr>
      <w:r>
        <w:t>（十二）负责管理全区会计工作,监督和规范会计行为,组织实施会计制度。</w:t>
      </w:r>
    </w:p>
    <w:p>
      <w:pPr>
        <w:pStyle w:val="18"/>
      </w:pPr>
      <w:r>
        <w:t>（十三）完成区委、区政府交办的其他任务。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石家庄市桥西区财政局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按照预算管理有关规定，目前部门预算的编制实行综合预算管理，即全部收入和支出都反映在预算中。石家庄市桥西区财政局机关及所属事业单位的收支包含在部门预算中。</w:t>
      </w:r>
    </w:p>
    <w:p>
      <w:pPr>
        <w:pStyle w:val="19"/>
      </w:pPr>
      <w:r>
        <w:t>1、收入说明</w:t>
      </w:r>
    </w:p>
    <w:p>
      <w:pPr>
        <w:pStyle w:val="19"/>
      </w:pPr>
      <w:r>
        <w:t>反映本部门当年全部收入。2026年预算收入1619.28万元，其中：一般公共预算收入1619.28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桥西区财政局年度部门预算中支出预算的总体情况。2026年支出预算1619.28万元，其中基本支出981.23万元，包括人员经费914.17万元和日常公用经费67.06万元；项目支出638.05万元，主要为委托业务费、劳务派遣人员经费、财政一体化系统运维服务经费、财政专网网络服务经费、驻村工作队经费；预计下年使用的单位资金结余0.00万元。委托业务费共计安排468.96万元，主要用于因技术原因确需对外委托的辅助性工作和确有必要对外委托开展咨询、评审、规划等工作。</w:t>
      </w:r>
    </w:p>
    <w:p>
      <w:pPr>
        <w:pStyle w:val="19"/>
      </w:pPr>
      <w:r>
        <w:t>3、比上年增减情况</w:t>
      </w:r>
    </w:p>
    <w:p>
      <w:pPr>
        <w:pStyle w:val="19"/>
      </w:pPr>
      <w:r>
        <w:t>2026年预算收支安排1619.28万元，较2025年预算增加62.07万元，其中：基本支出减少27.86万元，主要为在职人员减少，退休人员增加。项目支出增加89.93万元，主要为根据实际工作需求增加委托业务经费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6"/>
        <w:rPr>
          <w:rFonts w:ascii="Times New Roman" w:hAnsi="Times New Roman" w:eastAsia="方正仿宋_GBK" w:cs="Times New Roman"/>
          <w:sz w:val="28"/>
          <w:szCs w:val="22"/>
        </w:rPr>
      </w:pPr>
      <w:bookmarkStart w:id="12" w:name="_Toc_3_3_0000000013"/>
      <w:r>
        <w:rPr>
          <w:rFonts w:ascii="Times New Roman" w:hAnsi="Times New Roman" w:eastAsia="方正仿宋_GBK" w:cs="Times New Roman"/>
          <w:sz w:val="28"/>
          <w:szCs w:val="22"/>
        </w:rPr>
        <w:t>2026年，我</w:t>
      </w:r>
      <w:r>
        <w:rPr>
          <w:rFonts w:hint="eastAsia" w:cs="Times New Roman"/>
          <w:sz w:val="28"/>
          <w:szCs w:val="22"/>
          <w:lang w:eastAsia="zh-CN"/>
        </w:rPr>
        <w:t>部门</w:t>
      </w:r>
      <w:r>
        <w:rPr>
          <w:rFonts w:ascii="Times New Roman" w:hAnsi="Times New Roman" w:eastAsia="方正仿宋_GBK" w:cs="Times New Roman"/>
          <w:sz w:val="28"/>
          <w:szCs w:val="22"/>
        </w:rPr>
        <w:t>机关运行经费共计安排67.06万元，主要用于日常维修、办公用房水电费、办公用房取暖费、 办公用房物业管理费等日常运行支出。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1"/>
      </w:pPr>
      <w:r>
        <w:t>2026年，我部门财政拨款“三公”经费预算安排3.50万元，其中因公出国（境）费0.00万元；公务用车购置及运维费3.30万元（其中：公务用车购置费为0.00万元，公务用车运维费3.30万元)；公务接待费0.20万元。与2025年相比增加0.00万元，增减变化的主要原因是我部门持续强化厉行节约管理，从严从紧控制非必要、非刚性支出，始终保持三公经费支出规模稳定。</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深化财税体制改革，努力完成预期目标。按照依法理财、统筹兼顾、整合财力、科学精细、绩效导向、厉行节约的原则，推进我区全面预算绩效管理工作落地，在我区基本建成全方位、全过程、全覆盖的预算绩效管理体系。充分发挥财政职能，努力增加有效供给，优化支出结构，强化财政监督管理，使财政资金使用更加高效，为促进经济持续健康发展和社会和谐稳定，为发展桥西、建设桥西提供财力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财政支撑保障能力进一步增强</w:t>
      </w:r>
    </w:p>
    <w:p>
      <w:pPr>
        <w:pStyle w:val="23"/>
      </w:pPr>
      <w:r>
        <w:t>绩效目标：深化财税体制改革，全面深化综合治税，依法征收、应收尽收，确保完成预期目标；积极争取市有关部门的支持化解全面推开营改增税收体制改革后对我区收入的不利影响。</w:t>
      </w:r>
    </w:p>
    <w:p>
      <w:pPr>
        <w:pStyle w:val="23"/>
      </w:pPr>
      <w:r>
        <w:t>绩效指标：协调税务局做好税收征管工作，全面深化综合治税，重点开展房地产税收专项整治、土地增值税专项清查等税收专项行动全区可用财力稳步增长；加强非税收入管理，清理规范行政事业性收费项目，规范票据使用管理，坚持以票控费、以票控收、以票治费、票款同行，堵塞征收工作中的漏洞。</w:t>
      </w:r>
    </w:p>
    <w:p>
      <w:pPr>
        <w:pStyle w:val="23"/>
      </w:pPr>
      <w:r>
        <w:rPr>
          <w:rFonts w:hint="eastAsia"/>
          <w:lang w:val="en-US" w:eastAsia="zh-CN"/>
        </w:rPr>
        <w:t>2、</w:t>
      </w:r>
      <w:r>
        <w:t>财政制度进一步健全</w:t>
      </w:r>
    </w:p>
    <w:p>
      <w:pPr>
        <w:pStyle w:val="23"/>
      </w:pPr>
      <w:r>
        <w:t>绩效目标：全面推进预算绩效管理工作，在我区基本建成全方位、全过程、全覆盖的预算绩效管理体系。</w:t>
      </w:r>
    </w:p>
    <w:p>
      <w:pPr>
        <w:pStyle w:val="23"/>
      </w:pPr>
      <w:r>
        <w:t>绩效指标：根据上级出台的预算绩效制度，结合我区实际，及时出台我区相关制度，健全预算绩效管理制度体系；指导各部门设立科学的部门整体绩效目标和年度项目绩效目标指标，切实做到绩效目标可监控，绩效指标科学可考量；实施绩效运行“双监控”，对执行过程中未达到预期绩效的项目及时纠偏或收回资金，统筹用于急需支出。</w:t>
      </w:r>
    </w:p>
    <w:p>
      <w:pPr>
        <w:pStyle w:val="23"/>
      </w:pPr>
      <w:r>
        <w:rPr>
          <w:rFonts w:hint="eastAsia"/>
          <w:lang w:val="en-US" w:eastAsia="zh-CN"/>
        </w:rPr>
        <w:t>3、</w:t>
      </w:r>
      <w:r>
        <w:t>财政财务工作进一步规范</w:t>
      </w:r>
    </w:p>
    <w:p>
      <w:pPr>
        <w:pStyle w:val="23"/>
      </w:pPr>
      <w:r>
        <w:t>绩效目标：预算编制更加细化实化，财政预决算公开内容完备、时间及时、科学规范；资金分配使用更加高效透明，财政资金资金机制得到健全，资金支出更加及时高效；财政监督更加有力，绩效评价工作进一步提高。</w:t>
      </w:r>
    </w:p>
    <w:p>
      <w:pPr>
        <w:pStyle w:val="23"/>
      </w:pPr>
      <w:r>
        <w:t>绩效指标：除涉密单位外，区级单位预决算在法定期限内公开；组织开展绩效评价工作单位全覆盖。</w:t>
      </w:r>
    </w:p>
    <w:p>
      <w:pPr>
        <w:pStyle w:val="23"/>
      </w:pPr>
      <w:r>
        <w:rPr>
          <w:rFonts w:hint="eastAsia"/>
          <w:lang w:val="en-US" w:eastAsia="zh-CN"/>
        </w:rPr>
        <w:t>4、</w:t>
      </w:r>
      <w:r>
        <w:t>财政运行进一步健康平稳</w:t>
      </w:r>
    </w:p>
    <w:p>
      <w:pPr>
        <w:pStyle w:val="23"/>
      </w:pPr>
      <w:r>
        <w:t>绩效目标：严格控制“三公”和一般性支出，降低行政运行成本；新的民生政策制定执行坚持尽力而为、量力而行，做到可持续，财政运行平稳；强化国库电子支付系统建设，保证财政资金支付安全高效。</w:t>
      </w:r>
    </w:p>
    <w:p>
      <w:pPr>
        <w:pStyle w:val="23"/>
      </w:pPr>
      <w:r>
        <w:t>绩效指标：按照“保工资、保运转、保民生”的原则，坚持厉行节约，优化预算支出结构，严格控制“三公”和一般性支出，降低行政运行成本，严格控制部门管理的专项资金个数调整优化政府支出功能分类；严格执行资金支付审核程序，继续执行国库电子支付系统。</w:t>
      </w:r>
    </w:p>
    <w:p>
      <w:pPr>
        <w:pStyle w:val="23"/>
      </w:pPr>
      <w:r>
        <w:rPr>
          <w:rFonts w:hint="eastAsia"/>
          <w:lang w:val="en-US" w:eastAsia="zh-CN"/>
        </w:rPr>
        <w:t>5、</w:t>
      </w:r>
      <w:r>
        <w:t>保障改善民生力度进一步加大</w:t>
      </w:r>
    </w:p>
    <w:p>
      <w:pPr>
        <w:pStyle w:val="23"/>
      </w:pPr>
      <w:r>
        <w:t>绩效目标：坚持“以人为本”的原则，继续加大对教育、社保、医疗卫生等方面的投入。</w:t>
      </w:r>
    </w:p>
    <w:p>
      <w:pPr>
        <w:pStyle w:val="23"/>
      </w:pPr>
      <w:r>
        <w:t>绩效指标：足额落实最低生活保障、优抚资金支出，加大对特困居民的医疗救助力度，保障下岗、失业和再就业等各项支出，保障教育方面财政资金投入只增不减。</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rPr>
          <w:rFonts w:hint="eastAsia"/>
          <w:lang w:val="en-US" w:eastAsia="zh-CN"/>
        </w:rPr>
        <w:t>1、</w:t>
      </w:r>
      <w:r>
        <w:t>加强组织领导。建立健全桥西区部门预算绩效管理制度体系，不断完善工作机制和工作流程，将事前评估、目标管理、运行监控、绩效评价、结果应用等各项改革措施，有效融入预算管理的全过程、各环节。围绕年度总体绩效目标和分类绩效目标，细化工作方案，明确责任主体和施进度要求，确保如期完成。</w:t>
      </w:r>
    </w:p>
    <w:p>
      <w:pPr>
        <w:pStyle w:val="24"/>
      </w:pPr>
      <w:r>
        <w:rPr>
          <w:rFonts w:hint="eastAsia"/>
          <w:lang w:val="en-US" w:eastAsia="zh-CN"/>
        </w:rPr>
        <w:t>2、</w:t>
      </w:r>
      <w:r>
        <w:t>强化预算执行。强化财政预算执行的刚性约束，严格按年初预算拨付各项经费,优化部门预算支出结构，简化资金拨付环节，规范支出程序，督促有关单位加快执行进度，按照时间节点完成支出任务。</w:t>
      </w:r>
    </w:p>
    <w:p>
      <w:pPr>
        <w:pStyle w:val="24"/>
      </w:pPr>
      <w:r>
        <w:rPr>
          <w:rFonts w:hint="eastAsia"/>
          <w:lang w:val="en-US" w:eastAsia="zh-CN"/>
        </w:rPr>
        <w:t>3、</w:t>
      </w:r>
      <w:r>
        <w:t>加强监督力度。规范政府采购程序，加强财政投资评审监督力度，强化财政投资评审工作职能，提高财政资金使用效益。</w:t>
      </w:r>
    </w:p>
    <w:p>
      <w:pPr>
        <w:pStyle w:val="24"/>
      </w:pPr>
      <w:r>
        <w:rPr>
          <w:rFonts w:hint="eastAsia"/>
          <w:lang w:val="en-US" w:eastAsia="zh-CN"/>
        </w:rPr>
        <w:t>4、</w:t>
      </w:r>
      <w:r>
        <w:t>深化电子支付改革。继续深化国库集中支付改革，强化预算部门和单位的预算执行主体地位，明确财政部门的监管职责，对纳入区级部门及单位预算的财政资金，原则上全部实行授权支付，由预算单位自行开具支付令通过柜面业务和自助柜面业务办理支付。</w:t>
      </w:r>
    </w:p>
    <w:p>
      <w:pPr>
        <w:pStyle w:val="24"/>
        <w:sectPr>
          <w:pgSz w:w="16840" w:h="11900" w:orient="landscape"/>
          <w:pgMar w:top="1361" w:right="1020" w:bottom="1361" w:left="1020" w:header="720" w:footer="720" w:gutter="0"/>
          <w:cols w:space="720" w:num="1"/>
        </w:sectPr>
      </w:pPr>
      <w:r>
        <w:rPr>
          <w:rFonts w:hint="eastAsia"/>
          <w:lang w:val="en-US" w:eastAsia="zh-CN"/>
        </w:rPr>
        <w:t>5、</w:t>
      </w:r>
      <w:r>
        <w:t>加强干部队伍建设。坚持以人为本、科学管理，提高干部职工政策理论水平和业务工作能力，不断增强全体财政干部的大局意识和服务意识。</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1、财政一体化系统运维服务经费绩效目标表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13010426P00987510019R</w:t>
            </w:r>
          </w:p>
        </w:tc>
        <w:tc>
          <w:tcPr>
            <w:tcW w:w="2835" w:type="dxa"/>
            <w:vAlign w:val="center"/>
          </w:tcPr>
          <w:p>
            <w:pPr>
              <w:pStyle w:val="11"/>
            </w:pPr>
            <w:r>
              <w:t>项目名称</w:t>
            </w:r>
          </w:p>
        </w:tc>
        <w:tc>
          <w:tcPr>
            <w:tcW w:w="6095" w:type="dxa"/>
            <w:gridSpan w:val="3"/>
            <w:vAlign w:val="center"/>
          </w:tcPr>
          <w:p>
            <w:pPr>
              <w:pStyle w:val="13"/>
            </w:pPr>
            <w:r>
              <w:t>财政一体化系统运维服务经费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43.10</w:t>
            </w:r>
          </w:p>
        </w:tc>
        <w:tc>
          <w:tcPr>
            <w:tcW w:w="2835" w:type="dxa"/>
            <w:vAlign w:val="center"/>
          </w:tcPr>
          <w:p>
            <w:pPr>
              <w:pStyle w:val="11"/>
            </w:pPr>
            <w:r>
              <w:t>其中：财政    资金</w:t>
            </w:r>
          </w:p>
        </w:tc>
        <w:tc>
          <w:tcPr>
            <w:tcW w:w="2551" w:type="dxa"/>
            <w:vAlign w:val="center"/>
          </w:tcPr>
          <w:p>
            <w:pPr>
              <w:pStyle w:val="13"/>
            </w:pPr>
            <w:r>
              <w:t>43.10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主要用于河北省预算管理一体化系统、会计核算、决算模块年度运维服务费，及等保测评服务、防火墙购置等支出。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1.实现河北省预算管理一体化业务系统中部门决算、会计核算等模块的使用、维护，保障全区各单位问题及时解决。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系统运维数量</w:t>
            </w:r>
          </w:p>
        </w:tc>
        <w:tc>
          <w:tcPr>
            <w:tcW w:w="5386" w:type="dxa"/>
            <w:vAlign w:val="center"/>
          </w:tcPr>
          <w:p>
            <w:pPr>
              <w:pStyle w:val="13"/>
            </w:pPr>
            <w:r>
              <w:t>全区一体化系统运维模块数量</w:t>
            </w:r>
          </w:p>
        </w:tc>
        <w:tc>
          <w:tcPr>
            <w:tcW w:w="2268" w:type="dxa"/>
            <w:vAlign w:val="center"/>
          </w:tcPr>
          <w:p>
            <w:pPr>
              <w:pStyle w:val="13"/>
            </w:pPr>
            <w:r>
              <w:t>3个</w:t>
            </w:r>
          </w:p>
        </w:tc>
        <w:tc>
          <w:tcPr>
            <w:tcW w:w="1276" w:type="dxa"/>
            <w:vAlign w:val="center"/>
          </w:tcPr>
          <w:p>
            <w:pPr>
              <w:pStyle w:val="13"/>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一体化运行质量</w:t>
            </w:r>
          </w:p>
        </w:tc>
        <w:tc>
          <w:tcPr>
            <w:tcW w:w="5386" w:type="dxa"/>
            <w:vAlign w:val="center"/>
          </w:tcPr>
          <w:p>
            <w:pPr>
              <w:pStyle w:val="13"/>
            </w:pPr>
            <w:r>
              <w:t>一体化正常运行率</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一体化运维及时性</w:t>
            </w:r>
          </w:p>
        </w:tc>
        <w:tc>
          <w:tcPr>
            <w:tcW w:w="5386" w:type="dxa"/>
            <w:vAlign w:val="center"/>
          </w:tcPr>
          <w:p>
            <w:pPr>
              <w:pStyle w:val="13"/>
            </w:pPr>
            <w:r>
              <w:t>运行中出现问题解决及时，工作正常进行</w:t>
            </w:r>
          </w:p>
        </w:tc>
        <w:tc>
          <w:tcPr>
            <w:tcW w:w="2268" w:type="dxa"/>
            <w:vAlign w:val="center"/>
          </w:tcPr>
          <w:p>
            <w:pPr>
              <w:pStyle w:val="13"/>
            </w:pPr>
            <w:r>
              <w:t>≤5天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运行总成本</w:t>
            </w:r>
          </w:p>
        </w:tc>
        <w:tc>
          <w:tcPr>
            <w:tcW w:w="5386" w:type="dxa"/>
            <w:vAlign w:val="center"/>
          </w:tcPr>
          <w:p>
            <w:pPr>
              <w:pStyle w:val="13"/>
            </w:pPr>
            <w:r>
              <w:t>一体化维护成本</w:t>
            </w:r>
          </w:p>
        </w:tc>
        <w:tc>
          <w:tcPr>
            <w:tcW w:w="2268" w:type="dxa"/>
            <w:vAlign w:val="center"/>
          </w:tcPr>
          <w:p>
            <w:pPr>
              <w:pStyle w:val="13"/>
            </w:pPr>
            <w:r>
              <w:t>≤43.1万元</w:t>
            </w:r>
          </w:p>
        </w:tc>
        <w:tc>
          <w:tcPr>
            <w:tcW w:w="1276" w:type="dxa"/>
            <w:vAlign w:val="center"/>
          </w:tcPr>
          <w:p>
            <w:pPr>
              <w:pStyle w:val="13"/>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提升各单位使用一体化能力</w:t>
            </w:r>
          </w:p>
        </w:tc>
        <w:tc>
          <w:tcPr>
            <w:tcW w:w="5386" w:type="dxa"/>
            <w:vAlign w:val="center"/>
          </w:tcPr>
          <w:p>
            <w:pPr>
              <w:pStyle w:val="13"/>
            </w:pPr>
            <w:r>
              <w:t>提升各预算单位使用一体化能力，保障河北省财政一体化系统正常运转</w:t>
            </w:r>
          </w:p>
        </w:tc>
        <w:tc>
          <w:tcPr>
            <w:tcW w:w="2268" w:type="dxa"/>
            <w:vAlign w:val="center"/>
          </w:tcPr>
          <w:p>
            <w:pPr>
              <w:pStyle w:val="13"/>
            </w:pPr>
            <w:r>
              <w:t>≥95百分比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各预算单位满意度</w:t>
            </w:r>
          </w:p>
        </w:tc>
        <w:tc>
          <w:tcPr>
            <w:tcW w:w="5386" w:type="dxa"/>
            <w:vAlign w:val="center"/>
          </w:tcPr>
          <w:p>
            <w:pPr>
              <w:pStyle w:val="13"/>
            </w:pPr>
            <w:r>
              <w:t>使用财政一体化预算单位满意度</w:t>
            </w:r>
          </w:p>
        </w:tc>
        <w:tc>
          <w:tcPr>
            <w:tcW w:w="2268" w:type="dxa"/>
            <w:vAlign w:val="center"/>
          </w:tcPr>
          <w:p>
            <w:pPr>
              <w:pStyle w:val="13"/>
            </w:pPr>
            <w:r>
              <w:t>≥95百分比</w:t>
            </w:r>
          </w:p>
        </w:tc>
        <w:tc>
          <w:tcPr>
            <w:tcW w:w="1276" w:type="dxa"/>
            <w:vAlign w:val="center"/>
          </w:tcPr>
          <w:p>
            <w:pPr>
              <w:pStyle w:val="13"/>
            </w:pPr>
            <w:r>
              <w:t>行业标准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2、财政专网网络服务经费绩效目标表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13010426P00987210011U</w:t>
            </w:r>
          </w:p>
        </w:tc>
        <w:tc>
          <w:tcPr>
            <w:tcW w:w="2835" w:type="dxa"/>
            <w:vAlign w:val="center"/>
          </w:tcPr>
          <w:p>
            <w:pPr>
              <w:pStyle w:val="11"/>
            </w:pPr>
            <w:r>
              <w:t>项目名称</w:t>
            </w:r>
          </w:p>
        </w:tc>
        <w:tc>
          <w:tcPr>
            <w:tcW w:w="6095" w:type="dxa"/>
            <w:gridSpan w:val="3"/>
            <w:vAlign w:val="center"/>
          </w:tcPr>
          <w:p>
            <w:pPr>
              <w:pStyle w:val="13"/>
            </w:pPr>
            <w:r>
              <w:t>财政专网网络服务经费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26.50</w:t>
            </w:r>
          </w:p>
        </w:tc>
        <w:tc>
          <w:tcPr>
            <w:tcW w:w="2835" w:type="dxa"/>
            <w:vAlign w:val="center"/>
          </w:tcPr>
          <w:p>
            <w:pPr>
              <w:pStyle w:val="11"/>
            </w:pPr>
            <w:r>
              <w:t>其中：财政    资金</w:t>
            </w:r>
          </w:p>
        </w:tc>
        <w:tc>
          <w:tcPr>
            <w:tcW w:w="2551" w:type="dxa"/>
            <w:vAlign w:val="center"/>
          </w:tcPr>
          <w:p>
            <w:pPr>
              <w:pStyle w:val="13"/>
            </w:pPr>
            <w:r>
              <w:t>26.50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用于支付财政专网网络服务费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1.实现省市区三级财政专网互联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一体化使用率</w:t>
            </w:r>
          </w:p>
        </w:tc>
        <w:tc>
          <w:tcPr>
            <w:tcW w:w="5386" w:type="dxa"/>
            <w:vAlign w:val="center"/>
          </w:tcPr>
          <w:p>
            <w:pPr>
              <w:pStyle w:val="13"/>
            </w:pPr>
            <w:r>
              <w:t>全区各预算单位一体化运维互联网络使用情况</w:t>
            </w:r>
          </w:p>
        </w:tc>
        <w:tc>
          <w:tcPr>
            <w:tcW w:w="2268" w:type="dxa"/>
            <w:vAlign w:val="center"/>
          </w:tcPr>
          <w:p>
            <w:pPr>
              <w:pStyle w:val="13"/>
            </w:pPr>
            <w:r>
              <w:t>≥95百分比</w:t>
            </w:r>
          </w:p>
        </w:tc>
        <w:tc>
          <w:tcPr>
            <w:tcW w:w="1276" w:type="dxa"/>
            <w:vAlign w:val="center"/>
          </w:tcPr>
          <w:p>
            <w:pPr>
              <w:pStyle w:val="13"/>
            </w:pPr>
            <w:r>
              <w:t>业务开通情况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一体化运行质量</w:t>
            </w:r>
          </w:p>
        </w:tc>
        <w:tc>
          <w:tcPr>
            <w:tcW w:w="5386" w:type="dxa"/>
            <w:vAlign w:val="center"/>
          </w:tcPr>
          <w:p>
            <w:pPr>
              <w:pStyle w:val="13"/>
            </w:pPr>
            <w:r>
              <w:t>一体化正常运行率</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一体化运维及时性</w:t>
            </w:r>
          </w:p>
        </w:tc>
        <w:tc>
          <w:tcPr>
            <w:tcW w:w="5386" w:type="dxa"/>
            <w:vAlign w:val="center"/>
          </w:tcPr>
          <w:p>
            <w:pPr>
              <w:pStyle w:val="13"/>
            </w:pPr>
            <w:r>
              <w:t>运行中出现问题解决及时，工作正常进行</w:t>
            </w:r>
          </w:p>
        </w:tc>
        <w:tc>
          <w:tcPr>
            <w:tcW w:w="2268" w:type="dxa"/>
            <w:vAlign w:val="center"/>
          </w:tcPr>
          <w:p>
            <w:pPr>
              <w:pStyle w:val="13"/>
            </w:pPr>
            <w:r>
              <w:t>≤5天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网络运行成本</w:t>
            </w:r>
          </w:p>
        </w:tc>
        <w:tc>
          <w:tcPr>
            <w:tcW w:w="5386" w:type="dxa"/>
            <w:vAlign w:val="center"/>
          </w:tcPr>
          <w:p>
            <w:pPr>
              <w:pStyle w:val="13"/>
            </w:pPr>
            <w:r>
              <w:t>全区预算单位一体化维护成本</w:t>
            </w:r>
          </w:p>
        </w:tc>
        <w:tc>
          <w:tcPr>
            <w:tcW w:w="2268" w:type="dxa"/>
            <w:vAlign w:val="center"/>
          </w:tcPr>
          <w:p>
            <w:pPr>
              <w:pStyle w:val="13"/>
            </w:pPr>
            <w:r>
              <w:t>≤26.5万元</w:t>
            </w:r>
          </w:p>
        </w:tc>
        <w:tc>
          <w:tcPr>
            <w:tcW w:w="1276" w:type="dxa"/>
            <w:vAlign w:val="center"/>
          </w:tcPr>
          <w:p>
            <w:pPr>
              <w:pStyle w:val="13"/>
            </w:pPr>
            <w:r>
              <w:t>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提升各预算单位财政信息化能力</w:t>
            </w:r>
          </w:p>
        </w:tc>
        <w:tc>
          <w:tcPr>
            <w:tcW w:w="5386" w:type="dxa"/>
            <w:vAlign w:val="center"/>
          </w:tcPr>
          <w:p>
            <w:pPr>
              <w:pStyle w:val="13"/>
            </w:pPr>
            <w:r>
              <w:t>提升各预算单位使用一体化能力，保障河北省财政一体化系统正常运转</w:t>
            </w:r>
          </w:p>
        </w:tc>
        <w:tc>
          <w:tcPr>
            <w:tcW w:w="2268" w:type="dxa"/>
            <w:vAlign w:val="center"/>
          </w:tcPr>
          <w:p>
            <w:pPr>
              <w:pStyle w:val="13"/>
            </w:pPr>
            <w:r>
              <w:t>≥95百分比</w:t>
            </w:r>
          </w:p>
        </w:tc>
        <w:tc>
          <w:tcPr>
            <w:tcW w:w="1276" w:type="dxa"/>
            <w:vAlign w:val="center"/>
          </w:tcPr>
          <w:p>
            <w:pPr>
              <w:pStyle w:val="13"/>
            </w:pPr>
            <w:r>
              <w:t>机关运行效能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各预算单位网络满意率</w:t>
            </w:r>
          </w:p>
        </w:tc>
        <w:tc>
          <w:tcPr>
            <w:tcW w:w="5386" w:type="dxa"/>
            <w:vAlign w:val="center"/>
          </w:tcPr>
          <w:p>
            <w:pPr>
              <w:pStyle w:val="13"/>
            </w:pPr>
            <w:r>
              <w:t>使用财政一体化预算单位满意度</w:t>
            </w:r>
          </w:p>
        </w:tc>
        <w:tc>
          <w:tcPr>
            <w:tcW w:w="2268" w:type="dxa"/>
            <w:vAlign w:val="center"/>
          </w:tcPr>
          <w:p>
            <w:pPr>
              <w:pStyle w:val="13"/>
            </w:pPr>
            <w:r>
              <w:t>≥99百分比</w:t>
            </w:r>
          </w:p>
        </w:tc>
        <w:tc>
          <w:tcPr>
            <w:tcW w:w="1276" w:type="dxa"/>
            <w:vAlign w:val="center"/>
          </w:tcPr>
          <w:p>
            <w:pPr>
              <w:pStyle w:val="13"/>
            </w:pPr>
            <w:r>
              <w:t>使用单位满意度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13010426P009870101886</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162.63</w:t>
            </w:r>
          </w:p>
        </w:tc>
        <w:tc>
          <w:tcPr>
            <w:tcW w:w="2835" w:type="dxa"/>
            <w:vAlign w:val="center"/>
          </w:tcPr>
          <w:p>
            <w:pPr>
              <w:pStyle w:val="11"/>
            </w:pPr>
            <w:r>
              <w:t>其中：财政    资金</w:t>
            </w:r>
          </w:p>
        </w:tc>
        <w:tc>
          <w:tcPr>
            <w:tcW w:w="2551" w:type="dxa"/>
            <w:vAlign w:val="center"/>
          </w:tcPr>
          <w:p>
            <w:pPr>
              <w:pStyle w:val="13"/>
            </w:pPr>
            <w:r>
              <w:t>162.63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主要用于支付劳动派遣人员费用。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1.按时足额支付劳动派遣人员费用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派遣人员数量保障率</w:t>
            </w:r>
          </w:p>
        </w:tc>
        <w:tc>
          <w:tcPr>
            <w:tcW w:w="5386" w:type="dxa"/>
            <w:vAlign w:val="center"/>
          </w:tcPr>
          <w:p>
            <w:pPr>
              <w:pStyle w:val="13"/>
            </w:pPr>
            <w:r>
              <w:t>实际到岗数</w:t>
            </w:r>
          </w:p>
        </w:tc>
        <w:tc>
          <w:tcPr>
            <w:tcW w:w="2268" w:type="dxa"/>
            <w:vAlign w:val="center"/>
          </w:tcPr>
          <w:p>
            <w:pPr>
              <w:pStyle w:val="13"/>
            </w:pPr>
            <w:r>
              <w:t>≥95百分比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薪资发放准确率</w:t>
            </w:r>
          </w:p>
        </w:tc>
        <w:tc>
          <w:tcPr>
            <w:tcW w:w="5386" w:type="dxa"/>
            <w:vAlign w:val="center"/>
          </w:tcPr>
          <w:p>
            <w:pPr>
              <w:pStyle w:val="13"/>
            </w:pPr>
            <w:r>
              <w:t>薪资发放准确率</w:t>
            </w:r>
          </w:p>
        </w:tc>
        <w:tc>
          <w:tcPr>
            <w:tcW w:w="2268" w:type="dxa"/>
            <w:vAlign w:val="center"/>
          </w:tcPr>
          <w:p>
            <w:pPr>
              <w:pStyle w:val="13"/>
            </w:pPr>
            <w:r>
              <w:t>≥90百分比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支付到位率</w:t>
            </w:r>
          </w:p>
        </w:tc>
        <w:tc>
          <w:tcPr>
            <w:tcW w:w="5386" w:type="dxa"/>
            <w:vAlign w:val="center"/>
          </w:tcPr>
          <w:p>
            <w:pPr>
              <w:pStyle w:val="13"/>
            </w:pPr>
            <w:r>
              <w:t>支付到位率</w:t>
            </w:r>
          </w:p>
        </w:tc>
        <w:tc>
          <w:tcPr>
            <w:tcW w:w="2268" w:type="dxa"/>
            <w:vAlign w:val="center"/>
          </w:tcPr>
          <w:p>
            <w:pPr>
              <w:pStyle w:val="13"/>
            </w:pPr>
            <w:r>
              <w:t>≥90百分比</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不超预算支出数</w:t>
            </w:r>
          </w:p>
        </w:tc>
        <w:tc>
          <w:tcPr>
            <w:tcW w:w="5386" w:type="dxa"/>
            <w:vAlign w:val="center"/>
          </w:tcPr>
          <w:p>
            <w:pPr>
              <w:pStyle w:val="13"/>
            </w:pPr>
            <w:r>
              <w:t>不超预算成本支出数</w:t>
            </w:r>
          </w:p>
        </w:tc>
        <w:tc>
          <w:tcPr>
            <w:tcW w:w="2268" w:type="dxa"/>
            <w:vAlign w:val="center"/>
          </w:tcPr>
          <w:p>
            <w:pPr>
              <w:pStyle w:val="13"/>
            </w:pPr>
            <w:r>
              <w:t>≤170.41万元</w:t>
            </w:r>
          </w:p>
        </w:tc>
        <w:tc>
          <w:tcPr>
            <w:tcW w:w="1276" w:type="dxa"/>
            <w:vAlign w:val="center"/>
          </w:tcPr>
          <w:p>
            <w:pPr>
              <w:pStyle w:val="13"/>
            </w:pPr>
            <w:r>
              <w:t>《中华人民共和国预算法》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带动人员就业</w:t>
            </w:r>
          </w:p>
        </w:tc>
        <w:tc>
          <w:tcPr>
            <w:tcW w:w="5386" w:type="dxa"/>
            <w:vAlign w:val="center"/>
          </w:tcPr>
          <w:p>
            <w:pPr>
              <w:pStyle w:val="13"/>
            </w:pPr>
            <w:r>
              <w:t>带动人员就业</w:t>
            </w:r>
          </w:p>
        </w:tc>
        <w:tc>
          <w:tcPr>
            <w:tcW w:w="2268" w:type="dxa"/>
            <w:vAlign w:val="center"/>
          </w:tcPr>
          <w:p>
            <w:pPr>
              <w:pStyle w:val="13"/>
            </w:pPr>
            <w:r>
              <w:t>≥37人</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派遣人员满意率</w:t>
            </w:r>
          </w:p>
        </w:tc>
        <w:tc>
          <w:tcPr>
            <w:tcW w:w="5386" w:type="dxa"/>
            <w:vAlign w:val="center"/>
          </w:tcPr>
          <w:p>
            <w:pPr>
              <w:pStyle w:val="13"/>
            </w:pPr>
            <w:r>
              <w:t>派遣人员满意率</w:t>
            </w:r>
          </w:p>
        </w:tc>
        <w:tc>
          <w:tcPr>
            <w:tcW w:w="2268" w:type="dxa"/>
            <w:vAlign w:val="center"/>
          </w:tcPr>
          <w:p>
            <w:pPr>
              <w:pStyle w:val="13"/>
            </w:pPr>
            <w:r>
              <w:t>≥90百分比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4、委托业务费绩效目标表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13010426P00986310003M</w:t>
            </w:r>
          </w:p>
        </w:tc>
        <w:tc>
          <w:tcPr>
            <w:tcW w:w="2835" w:type="dxa"/>
            <w:vAlign w:val="center"/>
          </w:tcPr>
          <w:p>
            <w:pPr>
              <w:pStyle w:val="11"/>
            </w:pPr>
            <w:r>
              <w:t>项目名称</w:t>
            </w:r>
          </w:p>
        </w:tc>
        <w:tc>
          <w:tcPr>
            <w:tcW w:w="6095" w:type="dxa"/>
            <w:gridSpan w:val="3"/>
            <w:vAlign w:val="center"/>
          </w:tcPr>
          <w:p>
            <w:pPr>
              <w:pStyle w:val="13"/>
            </w:pPr>
            <w:r>
              <w:t>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主要用支付评审费、评估费、税收分析服务费、专项检测费、绩效评价服务费、案件代理费等费用支出。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77%</w:t>
            </w:r>
          </w:p>
        </w:tc>
        <w:tc>
          <w:tcPr>
            <w:tcW w:w="2835" w:type="dxa"/>
            <w:vAlign w:val="center"/>
          </w:tcPr>
          <w:p>
            <w:pPr>
              <w:pStyle w:val="14"/>
            </w:pPr>
            <w:r>
              <w:t>87%</w:t>
            </w:r>
          </w:p>
        </w:tc>
        <w:tc>
          <w:tcPr>
            <w:tcW w:w="2551" w:type="dxa"/>
            <w:vAlign w:val="center"/>
          </w:tcPr>
          <w:p>
            <w:pPr>
              <w:pStyle w:val="14"/>
            </w:pPr>
            <w:r>
              <w:t>88%</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1.通过委托第三方机构对区属行政事业单位投资工程项目进行预算、结算评审，提升项目资金使用的规范和有效性，提高财政资金使用效率。</w:t>
            </w:r>
          </w:p>
          <w:p>
            <w:pPr>
              <w:pStyle w:val="13"/>
            </w:pPr>
            <w:r>
              <w:t>2.通过支付法律顾问费用，依法依规处理政府采购类案件，促进政府采购领域公平竞争；委托第三方提供监督检查等服务，辅助开展财政采购专项业务事项，增强单位业务能力水平</w:t>
            </w:r>
          </w:p>
          <w:p>
            <w:pPr>
              <w:pStyle w:val="13"/>
            </w:pPr>
            <w:r>
              <w:t>3.委托评估公司对资产处置、房屋出租等进行评估，保证资产处置的严谨、规范，防止国有资产流失，保证资产出租客观公正，确保固有资产保值增值。</w:t>
            </w:r>
          </w:p>
          <w:p>
            <w:pPr>
              <w:pStyle w:val="13"/>
            </w:pPr>
            <w:r>
              <w:t>4.委托第三方机构对区属预算单位进行会计信息质量检查、重点绩效评价工作，提高财政资金使用效益和财政管理科学化、精细化水平。</w:t>
            </w:r>
          </w:p>
          <w:p>
            <w:pPr>
              <w:pStyle w:val="13"/>
            </w:pPr>
            <w:r>
              <w:t>5.委托第三方机构对税收疑点进行查漏补缺，做到应收尽收。</w:t>
            </w:r>
          </w:p>
          <w:p>
            <w:pPr>
              <w:pStyle w:val="13"/>
            </w:pPr>
            <w:r>
              <w:t>6.通过聘请常年法律顾问，提供法律服务，参与财政事务，起到规范性作用。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委托送审项目报告出具情况</w:t>
            </w:r>
          </w:p>
        </w:tc>
        <w:tc>
          <w:tcPr>
            <w:tcW w:w="5386" w:type="dxa"/>
            <w:vAlign w:val="center"/>
          </w:tcPr>
          <w:p>
            <w:pPr>
              <w:pStyle w:val="13"/>
            </w:pPr>
            <w:r>
              <w:t>委托送审项目报告出具情况</w:t>
            </w:r>
          </w:p>
        </w:tc>
        <w:tc>
          <w:tcPr>
            <w:tcW w:w="2268" w:type="dxa"/>
            <w:vAlign w:val="center"/>
          </w:tcPr>
          <w:p>
            <w:pPr>
              <w:pStyle w:val="13"/>
            </w:pPr>
            <w:r>
              <w:t>100百分比</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评审报告合格率</w:t>
            </w:r>
          </w:p>
        </w:tc>
        <w:tc>
          <w:tcPr>
            <w:tcW w:w="5386" w:type="dxa"/>
            <w:vAlign w:val="center"/>
          </w:tcPr>
          <w:p>
            <w:pPr>
              <w:pStyle w:val="13"/>
            </w:pPr>
            <w:r>
              <w:t>评审报告合格率</w:t>
            </w:r>
          </w:p>
        </w:tc>
        <w:tc>
          <w:tcPr>
            <w:tcW w:w="2268" w:type="dxa"/>
            <w:vAlign w:val="center"/>
          </w:tcPr>
          <w:p>
            <w:pPr>
              <w:pStyle w:val="13"/>
            </w:pPr>
            <w:r>
              <w:t>100百分比</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委托业务</w:t>
            </w:r>
          </w:p>
          <w:p>
            <w:pPr>
              <w:pStyle w:val="13"/>
            </w:pPr>
            <w:r>
              <w:t>完成时效</w:t>
            </w:r>
          </w:p>
        </w:tc>
        <w:tc>
          <w:tcPr>
            <w:tcW w:w="5386" w:type="dxa"/>
            <w:vAlign w:val="center"/>
          </w:tcPr>
          <w:p>
            <w:pPr>
              <w:pStyle w:val="13"/>
            </w:pPr>
            <w:r>
              <w:t>委托业务</w:t>
            </w:r>
          </w:p>
          <w:p>
            <w:pPr>
              <w:pStyle w:val="13"/>
            </w:pPr>
            <w:r>
              <w:t>完成时效</w:t>
            </w:r>
          </w:p>
        </w:tc>
        <w:tc>
          <w:tcPr>
            <w:tcW w:w="2268" w:type="dxa"/>
            <w:vAlign w:val="center"/>
          </w:tcPr>
          <w:p>
            <w:pPr>
              <w:pStyle w:val="13"/>
            </w:pPr>
            <w:r>
              <w:t>≥98百分比</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不超预算支出数</w:t>
            </w:r>
          </w:p>
        </w:tc>
        <w:tc>
          <w:tcPr>
            <w:tcW w:w="5386" w:type="dxa"/>
            <w:vAlign w:val="center"/>
          </w:tcPr>
          <w:p>
            <w:pPr>
              <w:pStyle w:val="13"/>
            </w:pPr>
            <w:r>
              <w:t>不超预算成本支出数</w:t>
            </w:r>
          </w:p>
        </w:tc>
        <w:tc>
          <w:tcPr>
            <w:tcW w:w="2268" w:type="dxa"/>
            <w:vAlign w:val="center"/>
          </w:tcPr>
          <w:p>
            <w:pPr>
              <w:pStyle w:val="13"/>
            </w:pPr>
            <w:r>
              <w:t>≤400万元</w:t>
            </w:r>
          </w:p>
        </w:tc>
        <w:tc>
          <w:tcPr>
            <w:tcW w:w="1276" w:type="dxa"/>
            <w:vAlign w:val="center"/>
          </w:tcPr>
          <w:p>
            <w:pPr>
              <w:pStyle w:val="13"/>
            </w:pPr>
            <w:r>
              <w:t>《中华人民共和国预算法》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委托送审项目审减率</w:t>
            </w:r>
          </w:p>
        </w:tc>
        <w:tc>
          <w:tcPr>
            <w:tcW w:w="5386" w:type="dxa"/>
            <w:vAlign w:val="center"/>
          </w:tcPr>
          <w:p>
            <w:pPr>
              <w:pStyle w:val="13"/>
            </w:pPr>
            <w:r>
              <w:t>委托送审项目审减率</w:t>
            </w:r>
          </w:p>
        </w:tc>
        <w:tc>
          <w:tcPr>
            <w:tcW w:w="2268" w:type="dxa"/>
            <w:vAlign w:val="center"/>
          </w:tcPr>
          <w:p>
            <w:pPr>
              <w:pStyle w:val="13"/>
            </w:pPr>
            <w:r>
              <w:t>≥5百分比</w:t>
            </w:r>
          </w:p>
        </w:tc>
        <w:tc>
          <w:tcPr>
            <w:tcW w:w="1276" w:type="dxa"/>
            <w:vAlign w:val="center"/>
          </w:tcPr>
          <w:p>
            <w:pPr>
              <w:pStyle w:val="13"/>
            </w:pPr>
            <w:r>
              <w:t>依据报审项目完成情况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优化送审签批程序</w:t>
            </w:r>
          </w:p>
        </w:tc>
        <w:tc>
          <w:tcPr>
            <w:tcW w:w="5386" w:type="dxa"/>
            <w:vAlign w:val="center"/>
          </w:tcPr>
          <w:p>
            <w:pPr>
              <w:pStyle w:val="13"/>
            </w:pPr>
            <w:r>
              <w:t>优化送审签批程序</w:t>
            </w:r>
          </w:p>
        </w:tc>
        <w:tc>
          <w:tcPr>
            <w:tcW w:w="2268" w:type="dxa"/>
            <w:vAlign w:val="center"/>
          </w:tcPr>
          <w:p>
            <w:pPr>
              <w:pStyle w:val="13"/>
            </w:pPr>
            <w:r>
              <w:t>≤1天</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完善政策和改进管理</w:t>
            </w:r>
          </w:p>
        </w:tc>
        <w:tc>
          <w:tcPr>
            <w:tcW w:w="5386" w:type="dxa"/>
            <w:vAlign w:val="center"/>
          </w:tcPr>
          <w:p>
            <w:pPr>
              <w:pStyle w:val="13"/>
            </w:pPr>
            <w:r>
              <w:t>完善政策和改进管理</w:t>
            </w:r>
          </w:p>
        </w:tc>
        <w:tc>
          <w:tcPr>
            <w:tcW w:w="2268" w:type="dxa"/>
            <w:vAlign w:val="center"/>
          </w:tcPr>
          <w:p>
            <w:pPr>
              <w:pStyle w:val="13"/>
            </w:pPr>
            <w:r>
              <w:t>≥1条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100百分比</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5、驻村干部工作经费绩效目标表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13010426P004497100280</w:t>
            </w:r>
          </w:p>
        </w:tc>
        <w:tc>
          <w:tcPr>
            <w:tcW w:w="2835" w:type="dxa"/>
            <w:vAlign w:val="center"/>
          </w:tcPr>
          <w:p>
            <w:pPr>
              <w:pStyle w:val="11"/>
            </w:pPr>
            <w:r>
              <w:t>项目名称</w:t>
            </w:r>
          </w:p>
        </w:tc>
        <w:tc>
          <w:tcPr>
            <w:tcW w:w="6095" w:type="dxa"/>
            <w:gridSpan w:val="3"/>
            <w:vAlign w:val="center"/>
          </w:tcPr>
          <w:p>
            <w:pPr>
              <w:pStyle w:val="13"/>
            </w:pPr>
            <w:r>
              <w:t>驻村干部工作经费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5.82</w:t>
            </w:r>
          </w:p>
        </w:tc>
        <w:tc>
          <w:tcPr>
            <w:tcW w:w="2835" w:type="dxa"/>
            <w:vAlign w:val="center"/>
          </w:tcPr>
          <w:p>
            <w:pPr>
              <w:pStyle w:val="11"/>
            </w:pPr>
            <w:r>
              <w:t>其中：财政    资金</w:t>
            </w:r>
          </w:p>
        </w:tc>
        <w:tc>
          <w:tcPr>
            <w:tcW w:w="2551" w:type="dxa"/>
            <w:vAlign w:val="center"/>
          </w:tcPr>
          <w:p>
            <w:pPr>
              <w:pStyle w:val="13"/>
            </w:pPr>
            <w:r>
              <w:t>5.82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用于支付驻村工作队开展日常工作及工作人员补助经费。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w:t>
            </w:r>
          </w:p>
        </w:tc>
        <w:tc>
          <w:tcPr>
            <w:tcW w:w="2835" w:type="dxa"/>
            <w:vAlign w:val="center"/>
          </w:tcPr>
          <w:p>
            <w:pPr>
              <w:pStyle w:val="14"/>
            </w:pPr>
            <w:r>
              <w:t>32%</w:t>
            </w:r>
          </w:p>
        </w:tc>
        <w:tc>
          <w:tcPr>
            <w:tcW w:w="2551" w:type="dxa"/>
            <w:vAlign w:val="center"/>
          </w:tcPr>
          <w:p>
            <w:pPr>
              <w:pStyle w:val="14"/>
            </w:pPr>
            <w:r>
              <w:t>66%</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1.用于走亲慰问，增进感情提高满意度，用于产业发展，促进百姓经济增收，提高生活幸福指数。</w:t>
            </w:r>
          </w:p>
          <w:p>
            <w:pPr>
              <w:pStyle w:val="13"/>
            </w:pPr>
            <w:r>
              <w:t>2.用于保障驻村途中正常运行开展工作。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慰问次数</w:t>
            </w:r>
          </w:p>
        </w:tc>
        <w:tc>
          <w:tcPr>
            <w:tcW w:w="5386" w:type="dxa"/>
            <w:vAlign w:val="center"/>
          </w:tcPr>
          <w:p>
            <w:pPr>
              <w:pStyle w:val="13"/>
            </w:pPr>
            <w:r>
              <w:t>组织慰问次数</w:t>
            </w:r>
          </w:p>
        </w:tc>
        <w:tc>
          <w:tcPr>
            <w:tcW w:w="2268" w:type="dxa"/>
            <w:vAlign w:val="center"/>
          </w:tcPr>
          <w:p>
            <w:pPr>
              <w:pStyle w:val="13"/>
            </w:pPr>
            <w:r>
              <w:t>2次</w:t>
            </w:r>
          </w:p>
        </w:tc>
        <w:tc>
          <w:tcPr>
            <w:tcW w:w="1276" w:type="dxa"/>
            <w:vAlign w:val="center"/>
          </w:tcPr>
          <w:p>
            <w:pPr>
              <w:pStyle w:val="13"/>
            </w:pPr>
            <w:r>
              <w:t>《关于加强贫困驻村工作对选派管理工作的实施意见》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足月发放生活补贴</w:t>
            </w:r>
          </w:p>
        </w:tc>
        <w:tc>
          <w:tcPr>
            <w:tcW w:w="5386" w:type="dxa"/>
            <w:vAlign w:val="center"/>
          </w:tcPr>
          <w:p>
            <w:pPr>
              <w:pStyle w:val="13"/>
            </w:pPr>
            <w:r>
              <w:t>足月发放驻村干部生活补贴</w:t>
            </w:r>
          </w:p>
        </w:tc>
        <w:tc>
          <w:tcPr>
            <w:tcW w:w="2268" w:type="dxa"/>
            <w:vAlign w:val="center"/>
          </w:tcPr>
          <w:p>
            <w:pPr>
              <w:pStyle w:val="13"/>
            </w:pPr>
            <w:r>
              <w:t>12月</w:t>
            </w:r>
          </w:p>
        </w:tc>
        <w:tc>
          <w:tcPr>
            <w:tcW w:w="1276" w:type="dxa"/>
            <w:vAlign w:val="center"/>
          </w:tcPr>
          <w:p>
            <w:pPr>
              <w:pStyle w:val="13"/>
            </w:pPr>
            <w:r>
              <w:t>《关于为精准脱贫驻村干部发放驻村补贴的请示》及领导批示。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生活补贴发放频次</w:t>
            </w:r>
          </w:p>
        </w:tc>
        <w:tc>
          <w:tcPr>
            <w:tcW w:w="5386" w:type="dxa"/>
            <w:vAlign w:val="center"/>
          </w:tcPr>
          <w:p>
            <w:pPr>
              <w:pStyle w:val="13"/>
            </w:pPr>
            <w:r>
              <w:t>按季度发放驻村干部生活补贴</w:t>
            </w:r>
          </w:p>
        </w:tc>
        <w:tc>
          <w:tcPr>
            <w:tcW w:w="2268" w:type="dxa"/>
            <w:vAlign w:val="center"/>
          </w:tcPr>
          <w:p>
            <w:pPr>
              <w:pStyle w:val="13"/>
            </w:pPr>
            <w:r>
              <w:t>4次</w:t>
            </w:r>
          </w:p>
        </w:tc>
        <w:tc>
          <w:tcPr>
            <w:tcW w:w="1276" w:type="dxa"/>
            <w:vAlign w:val="center"/>
          </w:tcPr>
          <w:p>
            <w:pPr>
              <w:pStyle w:val="13"/>
            </w:pPr>
            <w:r>
              <w:t>《关于为精准脱贫驻村干部发放驻村补贴的请示》及领导批示。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驻村工作经费及慰问</w:t>
            </w:r>
          </w:p>
        </w:tc>
        <w:tc>
          <w:tcPr>
            <w:tcW w:w="5386" w:type="dxa"/>
            <w:vAlign w:val="center"/>
          </w:tcPr>
          <w:p>
            <w:pPr>
              <w:pStyle w:val="13"/>
            </w:pPr>
            <w:r>
              <w:t>驻村工作经费及慰问</w:t>
            </w:r>
          </w:p>
        </w:tc>
        <w:tc>
          <w:tcPr>
            <w:tcW w:w="2268" w:type="dxa"/>
            <w:vAlign w:val="center"/>
          </w:tcPr>
          <w:p>
            <w:pPr>
              <w:pStyle w:val="13"/>
            </w:pPr>
            <w:r>
              <w:t>≤5.82万元</w:t>
            </w:r>
          </w:p>
        </w:tc>
        <w:tc>
          <w:tcPr>
            <w:tcW w:w="1276" w:type="dxa"/>
            <w:vAlign w:val="center"/>
          </w:tcPr>
          <w:p>
            <w:pPr>
              <w:pStyle w:val="13"/>
            </w:pPr>
            <w:r>
              <w:t>《关于为精准脱贫驻村干部发放驻村补贴的请示》及领导批示。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保障圆满完成驻村工作</w:t>
            </w:r>
          </w:p>
        </w:tc>
        <w:tc>
          <w:tcPr>
            <w:tcW w:w="5386" w:type="dxa"/>
            <w:vAlign w:val="center"/>
          </w:tcPr>
          <w:p>
            <w:pPr>
              <w:pStyle w:val="13"/>
            </w:pPr>
            <w:r>
              <w:t>圆满完成年度工作，获得上级和村民对驻村工作满意和认可</w:t>
            </w:r>
          </w:p>
        </w:tc>
        <w:tc>
          <w:tcPr>
            <w:tcW w:w="2268" w:type="dxa"/>
            <w:vAlign w:val="center"/>
          </w:tcPr>
          <w:p>
            <w:pPr>
              <w:pStyle w:val="13"/>
            </w:pPr>
            <w:r>
              <w:t>≥95百分比</w:t>
            </w:r>
          </w:p>
        </w:tc>
        <w:tc>
          <w:tcPr>
            <w:tcW w:w="1276" w:type="dxa"/>
            <w:vAlign w:val="center"/>
          </w:tcPr>
          <w:p>
            <w:pPr>
              <w:pStyle w:val="13"/>
            </w:pPr>
            <w:r>
              <w:t>《关于加强贫困驻村工作对选派管理工作的实施意见》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保障驻村干部满意</w:t>
            </w:r>
          </w:p>
        </w:tc>
        <w:tc>
          <w:tcPr>
            <w:tcW w:w="5386" w:type="dxa"/>
            <w:vAlign w:val="center"/>
          </w:tcPr>
          <w:p>
            <w:pPr>
              <w:pStyle w:val="13"/>
            </w:pPr>
            <w:r>
              <w:t>驻村干部满意度</w:t>
            </w:r>
          </w:p>
        </w:tc>
        <w:tc>
          <w:tcPr>
            <w:tcW w:w="2268" w:type="dxa"/>
            <w:vAlign w:val="center"/>
          </w:tcPr>
          <w:p>
            <w:pPr>
              <w:pStyle w:val="13"/>
            </w:pPr>
            <w:r>
              <w:t>≥95百分比</w:t>
            </w:r>
          </w:p>
        </w:tc>
        <w:tc>
          <w:tcPr>
            <w:tcW w:w="1276" w:type="dxa"/>
            <w:vAlign w:val="center"/>
          </w:tcPr>
          <w:p>
            <w:pPr>
              <w:pStyle w:val="13"/>
            </w:pPr>
            <w:r>
              <w:t>《关于加强贫困驻村工作对选派管理工作的实施意见》</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318石家庄市桥西区财政局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412.31</w:t>
            </w:r>
          </w:p>
        </w:tc>
        <w:tc>
          <w:tcPr>
            <w:tcW w:w="964" w:type="dxa"/>
            <w:vAlign w:val="center"/>
          </w:tcPr>
          <w:p>
            <w:pPr>
              <w:pStyle w:val="16"/>
            </w:pPr>
            <w:r>
              <w:t>412.31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172.18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石家庄市桥西区财政局小计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412.31</w:t>
            </w:r>
          </w:p>
        </w:tc>
        <w:tc>
          <w:tcPr>
            <w:tcW w:w="964" w:type="dxa"/>
            <w:vAlign w:val="center"/>
          </w:tcPr>
          <w:p>
            <w:pPr>
              <w:pStyle w:val="16"/>
            </w:pPr>
            <w:r>
              <w:t>412.31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172.18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21.72</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1.60</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21.72</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21.72</w:t>
            </w:r>
          </w:p>
        </w:tc>
        <w:tc>
          <w:tcPr>
            <w:tcW w:w="1134" w:type="dxa"/>
            <w:vAlign w:val="center"/>
          </w:tcPr>
          <w:p>
            <w:pPr>
              <w:pStyle w:val="13"/>
            </w:pPr>
            <w:r>
              <w:t>会议椅</w:t>
            </w:r>
          </w:p>
        </w:tc>
        <w:tc>
          <w:tcPr>
            <w:tcW w:w="1134" w:type="dxa"/>
            <w:vAlign w:val="center"/>
          </w:tcPr>
          <w:p>
            <w:pPr>
              <w:pStyle w:val="13"/>
            </w:pPr>
            <w:r>
              <w:t>A05010303</w:t>
            </w:r>
          </w:p>
        </w:tc>
        <w:tc>
          <w:tcPr>
            <w:tcW w:w="709" w:type="dxa"/>
            <w:vAlign w:val="center"/>
          </w:tcPr>
          <w:p>
            <w:pPr>
              <w:pStyle w:val="14"/>
            </w:pPr>
            <w:r>
              <w:t>件</w:t>
            </w:r>
          </w:p>
        </w:tc>
        <w:tc>
          <w:tcPr>
            <w:tcW w:w="850" w:type="dxa"/>
            <w:vAlign w:val="center"/>
          </w:tcPr>
          <w:p>
            <w:pPr>
              <w:pStyle w:val="12"/>
            </w:pPr>
            <w:r>
              <w:t>10</w:t>
            </w:r>
          </w:p>
        </w:tc>
        <w:tc>
          <w:tcPr>
            <w:tcW w:w="850" w:type="dxa"/>
            <w:vAlign w:val="center"/>
          </w:tcPr>
          <w:p>
            <w:pPr>
              <w:pStyle w:val="12"/>
            </w:pPr>
            <w:r>
              <w:t>0.08</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21.72</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件</w:t>
            </w:r>
          </w:p>
        </w:tc>
        <w:tc>
          <w:tcPr>
            <w:tcW w:w="850" w:type="dxa"/>
            <w:vAlign w:val="center"/>
          </w:tcPr>
          <w:p>
            <w:pPr>
              <w:pStyle w:val="12"/>
            </w:pPr>
            <w:r>
              <w:t>2</w:t>
            </w:r>
          </w:p>
        </w:tc>
        <w:tc>
          <w:tcPr>
            <w:tcW w:w="850" w:type="dxa"/>
            <w:vAlign w:val="center"/>
          </w:tcPr>
          <w:p>
            <w:pPr>
              <w:pStyle w:val="12"/>
            </w:pPr>
            <w:r>
              <w:t>0.16</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21.72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0.24</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21.72</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21.72</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0.88</w:t>
            </w:r>
          </w:p>
        </w:tc>
        <w:tc>
          <w:tcPr>
            <w:tcW w:w="964" w:type="dxa"/>
            <w:vAlign w:val="center"/>
          </w:tcPr>
          <w:p>
            <w:pPr>
              <w:pStyle w:val="12"/>
            </w:pPr>
            <w:r>
              <w:t>0.88</w:t>
            </w:r>
          </w:p>
        </w:tc>
        <w:tc>
          <w:tcPr>
            <w:tcW w:w="964" w:type="dxa"/>
            <w:vAlign w:val="center"/>
          </w:tcPr>
          <w:p>
            <w:pPr>
              <w:pStyle w:val="12"/>
            </w:pPr>
            <w:r>
              <w:t>0.88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21.72</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21.72</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财政一体化系统运维服务经费</w:t>
            </w:r>
          </w:p>
        </w:tc>
        <w:tc>
          <w:tcPr>
            <w:tcW w:w="964" w:type="dxa"/>
            <w:vAlign w:val="center"/>
          </w:tcPr>
          <w:p>
            <w:pPr>
              <w:pStyle w:val="12"/>
            </w:pPr>
            <w:r>
              <w:t>43.10</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21.10</w:t>
            </w:r>
          </w:p>
        </w:tc>
        <w:tc>
          <w:tcPr>
            <w:tcW w:w="964" w:type="dxa"/>
            <w:vAlign w:val="center"/>
          </w:tcPr>
          <w:p>
            <w:pPr>
              <w:pStyle w:val="12"/>
            </w:pPr>
            <w:r>
              <w:t>21.10</w:t>
            </w:r>
          </w:p>
        </w:tc>
        <w:tc>
          <w:tcPr>
            <w:tcW w:w="964" w:type="dxa"/>
            <w:vAlign w:val="center"/>
          </w:tcPr>
          <w:p>
            <w:pPr>
              <w:pStyle w:val="12"/>
            </w:pPr>
            <w:r>
              <w:t>21.10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财政一体化系统运维服务经费</w:t>
            </w:r>
          </w:p>
        </w:tc>
        <w:tc>
          <w:tcPr>
            <w:tcW w:w="964" w:type="dxa"/>
            <w:vAlign w:val="center"/>
          </w:tcPr>
          <w:p>
            <w:pPr>
              <w:pStyle w:val="12"/>
            </w:pPr>
            <w:r>
              <w:t>43.10</w:t>
            </w:r>
          </w:p>
        </w:tc>
        <w:tc>
          <w:tcPr>
            <w:tcW w:w="1134" w:type="dxa"/>
            <w:vAlign w:val="center"/>
          </w:tcPr>
          <w:p>
            <w:pPr>
              <w:pStyle w:val="13"/>
            </w:pPr>
            <w:r>
              <w:t>安全运维服务</w:t>
            </w:r>
          </w:p>
        </w:tc>
        <w:tc>
          <w:tcPr>
            <w:tcW w:w="1134" w:type="dxa"/>
            <w:vAlign w:val="center"/>
          </w:tcPr>
          <w:p>
            <w:pPr>
              <w:pStyle w:val="13"/>
            </w:pPr>
            <w:r>
              <w:t>C16070400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财政专网网络服务经费</w:t>
            </w:r>
          </w:p>
        </w:tc>
        <w:tc>
          <w:tcPr>
            <w:tcW w:w="964" w:type="dxa"/>
            <w:vAlign w:val="center"/>
          </w:tcPr>
          <w:p>
            <w:pPr>
              <w:pStyle w:val="12"/>
            </w:pPr>
            <w:r>
              <w:t>26.50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26.50</w:t>
            </w:r>
          </w:p>
        </w:tc>
        <w:tc>
          <w:tcPr>
            <w:tcW w:w="964" w:type="dxa"/>
            <w:vAlign w:val="center"/>
          </w:tcPr>
          <w:p>
            <w:pPr>
              <w:pStyle w:val="12"/>
            </w:pPr>
            <w:r>
              <w:t>26.50</w:t>
            </w:r>
          </w:p>
        </w:tc>
        <w:tc>
          <w:tcPr>
            <w:tcW w:w="964" w:type="dxa"/>
            <w:vAlign w:val="center"/>
          </w:tcPr>
          <w:p>
            <w:pPr>
              <w:pStyle w:val="12"/>
            </w:pPr>
            <w:r>
              <w:t>26.50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委托业务费</w:t>
            </w:r>
          </w:p>
        </w:tc>
        <w:tc>
          <w:tcPr>
            <w:tcW w:w="964" w:type="dxa"/>
            <w:vAlign w:val="center"/>
          </w:tcPr>
          <w:p>
            <w:pPr>
              <w:pStyle w:val="12"/>
            </w:pPr>
            <w:r>
              <w:t>400.00</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委托业务费</w:t>
            </w:r>
          </w:p>
        </w:tc>
        <w:tc>
          <w:tcPr>
            <w:tcW w:w="964" w:type="dxa"/>
            <w:vAlign w:val="center"/>
          </w:tcPr>
          <w:p>
            <w:pPr>
              <w:pStyle w:val="12"/>
            </w:pPr>
            <w:r>
              <w:t>400.00</w:t>
            </w:r>
          </w:p>
        </w:tc>
        <w:tc>
          <w:tcPr>
            <w:tcW w:w="1134" w:type="dxa"/>
            <w:vAlign w:val="center"/>
          </w:tcPr>
          <w:p>
            <w:pPr>
              <w:pStyle w:val="13"/>
            </w:pPr>
            <w:r>
              <w:t>评审咨询服务</w:t>
            </w:r>
          </w:p>
        </w:tc>
        <w:tc>
          <w:tcPr>
            <w:tcW w:w="1134" w:type="dxa"/>
            <w:vAlign w:val="center"/>
          </w:tcPr>
          <w:p>
            <w:pPr>
              <w:pStyle w:val="13"/>
            </w:pPr>
            <w:r>
              <w:t>C20030900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292.33</w:t>
            </w:r>
          </w:p>
        </w:tc>
        <w:tc>
          <w:tcPr>
            <w:tcW w:w="964" w:type="dxa"/>
            <w:vAlign w:val="center"/>
          </w:tcPr>
          <w:p>
            <w:pPr>
              <w:pStyle w:val="12"/>
            </w:pPr>
            <w:r>
              <w:t>292.33</w:t>
            </w:r>
          </w:p>
        </w:tc>
        <w:tc>
          <w:tcPr>
            <w:tcW w:w="964" w:type="dxa"/>
            <w:vAlign w:val="center"/>
          </w:tcPr>
          <w:p>
            <w:pPr>
              <w:pStyle w:val="12"/>
            </w:pPr>
            <w:r>
              <w:t>292.33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委托业务费</w:t>
            </w:r>
          </w:p>
        </w:tc>
        <w:tc>
          <w:tcPr>
            <w:tcW w:w="964" w:type="dxa"/>
            <w:vAlign w:val="center"/>
          </w:tcPr>
          <w:p>
            <w:pPr>
              <w:pStyle w:val="12"/>
            </w:pPr>
            <w:r>
              <w:t>400.00</w:t>
            </w:r>
          </w:p>
        </w:tc>
        <w:tc>
          <w:tcPr>
            <w:tcW w:w="1134" w:type="dxa"/>
            <w:vAlign w:val="center"/>
          </w:tcPr>
          <w:p>
            <w:pPr>
              <w:pStyle w:val="13"/>
            </w:pPr>
            <w:r>
              <w:t>其他税务服务</w:t>
            </w:r>
          </w:p>
        </w:tc>
        <w:tc>
          <w:tcPr>
            <w:tcW w:w="1134" w:type="dxa"/>
            <w:vAlign w:val="center"/>
          </w:tcPr>
          <w:p>
            <w:pPr>
              <w:pStyle w:val="13"/>
            </w:pPr>
            <w:r>
              <w:t>C23049900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53.48</w:t>
            </w:r>
          </w:p>
        </w:tc>
        <w:tc>
          <w:tcPr>
            <w:tcW w:w="964" w:type="dxa"/>
            <w:vAlign w:val="center"/>
          </w:tcPr>
          <w:p>
            <w:pPr>
              <w:pStyle w:val="12"/>
            </w:pPr>
            <w:r>
              <w:t>53.48</w:t>
            </w:r>
          </w:p>
        </w:tc>
        <w:tc>
          <w:tcPr>
            <w:tcW w:w="964" w:type="dxa"/>
            <w:vAlign w:val="center"/>
          </w:tcPr>
          <w:p>
            <w:pPr>
              <w:pStyle w:val="12"/>
            </w:pPr>
            <w:r>
              <w:t>53.48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53.48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石家庄市桥西区财政局（含所属单位）上年末固定资产金额为576.63万元（详见下表）。本年度拟购置固定资产总额为9.22万元，已按要求列入政府采购预算，详见政府采购预算表。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318石家庄市桥西区财政局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576.63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1680</w:t>
            </w:r>
          </w:p>
        </w:tc>
        <w:tc>
          <w:tcPr>
            <w:tcW w:w="2835" w:type="dxa"/>
            <w:vAlign w:val="center"/>
          </w:tcPr>
          <w:p>
            <w:pPr>
              <w:pStyle w:val="12"/>
            </w:pPr>
            <w:r>
              <w:t>565.79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w:t>
      </w:r>
      <w:bookmarkStart w:id="20" w:name="_GoBack"/>
      <w:bookmarkEnd w:id="20"/>
      <w:r>
        <w:rPr>
          <w:rFonts w:ascii="Times New Roman" w:hAnsi="Times New Roman" w:eastAsia="方正仿宋_GBK" w:cs="Times New Roman"/>
          <w:b w:val="0"/>
          <w:color w:val="000000"/>
          <w:sz w:val="28"/>
        </w:rPr>
        <w:t>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5ZmYyNDBlNmUxYWY5N2QwODNlZjVmZDgwNThmMTkifQ=="/>
  </w:docVars>
  <w:rsids>
    <w:rsidRoot w:val="00000000"/>
    <w:rsid w:val="0013491E"/>
    <w:rsid w:val="16943E1C"/>
    <w:rsid w:val="185A16FC"/>
    <w:rsid w:val="5F64678F"/>
    <w:rsid w:val="7A456C8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autoRedefine/>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TotalTime>15</TotalTime>
  <ScaleCrop>false</ScaleCrop>
  <LinksUpToDate>false</LinksUpToDate>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2026-02-13T12:11:00Z</dcterms:created>
  <dc:creator>Administrator</dc:creator>
  <cp:lastModifiedBy>Administrator</cp:lastModifiedBy>
  <dcterms:modified xsi:type="dcterms:W3CDTF">2026-02-13T08:17:47Z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A89B1B2A17944D19AE5026415E889F39_13</vt:lpwstr>
  </property>
</Properties>
</file>