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2165.21</w:t>
            </w:r>
          </w:p>
        </w:tc>
        <w:tc>
          <w:tcPr>
            <w:tcW w:w="4535" w:type="dxa"/>
            <w:vAlign w:val="center"/>
          </w:tcPr>
          <w:p>
            <w:pPr>
              <w:pStyle w:val="13"/>
            </w:pPr>
            <w:r>
              <w:t>一、一般公共服务支出</w:t>
            </w:r>
          </w:p>
        </w:tc>
        <w:tc>
          <w:tcPr>
            <w:tcW w:w="2126" w:type="dxa"/>
            <w:vAlign w:val="center"/>
          </w:tcPr>
          <w:p>
            <w:pPr>
              <w:pStyle w:val="12"/>
            </w:pPr>
            <w:r>
              <w:t>1638.45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2165.21</w:t>
            </w:r>
          </w:p>
        </w:tc>
        <w:tc>
          <w:tcPr>
            <w:tcW w:w="4535" w:type="dxa"/>
            <w:vAlign w:val="center"/>
          </w:tcPr>
          <w:p>
            <w:pPr>
              <w:pStyle w:val="15"/>
            </w:pPr>
            <w:r>
              <w:t>本年支出合计</w:t>
            </w:r>
          </w:p>
        </w:tc>
        <w:tc>
          <w:tcPr>
            <w:tcW w:w="2126" w:type="dxa"/>
            <w:vAlign w:val="center"/>
          </w:tcPr>
          <w:p>
            <w:pPr>
              <w:pStyle w:val="16"/>
            </w:pPr>
            <w:r>
              <w:t>2225.21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2225.21</w:t>
            </w:r>
          </w:p>
        </w:tc>
        <w:tc>
          <w:tcPr>
            <w:tcW w:w="4535" w:type="dxa"/>
            <w:vAlign w:val="center"/>
          </w:tcPr>
          <w:p>
            <w:pPr>
              <w:pStyle w:val="15"/>
            </w:pPr>
            <w:r>
              <w:t>支出总计</w:t>
            </w:r>
          </w:p>
        </w:tc>
        <w:tc>
          <w:tcPr>
            <w:tcW w:w="2126" w:type="dxa"/>
            <w:vAlign w:val="center"/>
          </w:tcPr>
          <w:p>
            <w:pPr>
              <w:pStyle w:val="16"/>
            </w:pPr>
            <w:r>
              <w:t>2225.21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2225.21</w:t>
            </w:r>
          </w:p>
        </w:tc>
        <w:tc>
          <w:tcPr>
            <w:tcW w:w="1134" w:type="dxa"/>
            <w:vAlign w:val="center"/>
          </w:tcPr>
          <w:p>
            <w:pPr>
              <w:pStyle w:val="16"/>
            </w:pPr>
            <w:r>
              <w:t>2165.21</w:t>
            </w:r>
          </w:p>
        </w:tc>
        <w:tc>
          <w:tcPr>
            <w:tcW w:w="1134" w:type="dxa"/>
            <w:vAlign w:val="center"/>
          </w:tcPr>
          <w:p>
            <w:pPr>
              <w:pStyle w:val="16"/>
            </w:pPr>
            <w:r>
              <w:t>2165.21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1638.45</w:t>
            </w:r>
          </w:p>
        </w:tc>
        <w:tc>
          <w:tcPr>
            <w:tcW w:w="1134" w:type="dxa"/>
            <w:vAlign w:val="center"/>
          </w:tcPr>
          <w:p>
            <w:pPr>
              <w:pStyle w:val="12"/>
            </w:pPr>
            <w:r>
              <w:t>1638.45</w:t>
            </w:r>
          </w:p>
        </w:tc>
        <w:tc>
          <w:tcPr>
            <w:tcW w:w="1134" w:type="dxa"/>
            <w:vAlign w:val="center"/>
          </w:tcPr>
          <w:p>
            <w:pPr>
              <w:pStyle w:val="12"/>
            </w:pPr>
            <w:r>
              <w:t>1638.45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1637.54</w:t>
            </w:r>
          </w:p>
        </w:tc>
        <w:tc>
          <w:tcPr>
            <w:tcW w:w="1134" w:type="dxa"/>
            <w:vAlign w:val="center"/>
          </w:tcPr>
          <w:p>
            <w:pPr>
              <w:pStyle w:val="12"/>
            </w:pPr>
            <w:r>
              <w:t>1637.54</w:t>
            </w:r>
          </w:p>
        </w:tc>
        <w:tc>
          <w:tcPr>
            <w:tcW w:w="1134" w:type="dxa"/>
            <w:vAlign w:val="center"/>
          </w:tcPr>
          <w:p>
            <w:pPr>
              <w:pStyle w:val="12"/>
            </w:pPr>
            <w:r>
              <w:t>1637.54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885.97</w:t>
            </w:r>
          </w:p>
        </w:tc>
        <w:tc>
          <w:tcPr>
            <w:tcW w:w="1134" w:type="dxa"/>
            <w:vAlign w:val="center"/>
          </w:tcPr>
          <w:p>
            <w:pPr>
              <w:pStyle w:val="12"/>
            </w:pPr>
            <w:r>
              <w:t>885.97</w:t>
            </w:r>
          </w:p>
        </w:tc>
        <w:tc>
          <w:tcPr>
            <w:tcW w:w="1134" w:type="dxa"/>
            <w:vAlign w:val="center"/>
          </w:tcPr>
          <w:p>
            <w:pPr>
              <w:pStyle w:val="12"/>
            </w:pPr>
            <w:r>
              <w:t>885.97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751.57</w:t>
            </w:r>
          </w:p>
        </w:tc>
        <w:tc>
          <w:tcPr>
            <w:tcW w:w="1134" w:type="dxa"/>
            <w:vAlign w:val="center"/>
          </w:tcPr>
          <w:p>
            <w:pPr>
              <w:pStyle w:val="12"/>
            </w:pPr>
            <w:r>
              <w:t>751.57</w:t>
            </w:r>
          </w:p>
        </w:tc>
        <w:tc>
          <w:tcPr>
            <w:tcW w:w="1134" w:type="dxa"/>
            <w:vAlign w:val="center"/>
          </w:tcPr>
          <w:p>
            <w:pPr>
              <w:pStyle w:val="12"/>
            </w:pPr>
            <w:r>
              <w:t>751.57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0.91</w:t>
            </w:r>
          </w:p>
        </w:tc>
        <w:tc>
          <w:tcPr>
            <w:tcW w:w="1134" w:type="dxa"/>
            <w:vAlign w:val="center"/>
          </w:tcPr>
          <w:p>
            <w:pPr>
              <w:pStyle w:val="12"/>
            </w:pPr>
            <w:r>
              <w:t>0.91</w:t>
            </w:r>
          </w:p>
        </w:tc>
        <w:tc>
          <w:tcPr>
            <w:tcW w:w="1134" w:type="dxa"/>
            <w:vAlign w:val="center"/>
          </w:tcPr>
          <w:p>
            <w:pPr>
              <w:pStyle w:val="12"/>
            </w:pPr>
            <w:r>
              <w:t>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0.91</w:t>
            </w:r>
          </w:p>
        </w:tc>
        <w:tc>
          <w:tcPr>
            <w:tcW w:w="1134" w:type="dxa"/>
            <w:vAlign w:val="center"/>
          </w:tcPr>
          <w:p>
            <w:pPr>
              <w:pStyle w:val="12"/>
            </w:pPr>
            <w:r>
              <w:t>0.91</w:t>
            </w:r>
          </w:p>
        </w:tc>
        <w:tc>
          <w:tcPr>
            <w:tcW w:w="1134" w:type="dxa"/>
            <w:vAlign w:val="center"/>
          </w:tcPr>
          <w:p>
            <w:pPr>
              <w:pStyle w:val="12"/>
            </w:pPr>
            <w:r>
              <w:t>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273.65</w:t>
            </w:r>
          </w:p>
        </w:tc>
        <w:tc>
          <w:tcPr>
            <w:tcW w:w="1134" w:type="dxa"/>
            <w:vAlign w:val="center"/>
          </w:tcPr>
          <w:p>
            <w:pPr>
              <w:pStyle w:val="12"/>
            </w:pPr>
            <w:r>
              <w:t>273.65</w:t>
            </w:r>
          </w:p>
        </w:tc>
        <w:tc>
          <w:tcPr>
            <w:tcW w:w="1134" w:type="dxa"/>
            <w:vAlign w:val="center"/>
          </w:tcPr>
          <w:p>
            <w:pPr>
              <w:pStyle w:val="12"/>
            </w:pPr>
            <w:r>
              <w:t>273.65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272.85</w:t>
            </w:r>
          </w:p>
        </w:tc>
        <w:tc>
          <w:tcPr>
            <w:tcW w:w="1134" w:type="dxa"/>
            <w:vAlign w:val="center"/>
          </w:tcPr>
          <w:p>
            <w:pPr>
              <w:pStyle w:val="12"/>
            </w:pPr>
            <w:r>
              <w:t>272.85</w:t>
            </w:r>
          </w:p>
        </w:tc>
        <w:tc>
          <w:tcPr>
            <w:tcW w:w="1134" w:type="dxa"/>
            <w:vAlign w:val="center"/>
          </w:tcPr>
          <w:p>
            <w:pPr>
              <w:pStyle w:val="12"/>
            </w:pPr>
            <w:r>
              <w:t>272.85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154.55</w:t>
            </w:r>
          </w:p>
        </w:tc>
        <w:tc>
          <w:tcPr>
            <w:tcW w:w="1134" w:type="dxa"/>
            <w:vAlign w:val="center"/>
          </w:tcPr>
          <w:p>
            <w:pPr>
              <w:pStyle w:val="12"/>
            </w:pPr>
            <w:r>
              <w:t>154.55</w:t>
            </w:r>
          </w:p>
        </w:tc>
        <w:tc>
          <w:tcPr>
            <w:tcW w:w="1134" w:type="dxa"/>
            <w:vAlign w:val="center"/>
          </w:tcPr>
          <w:p>
            <w:pPr>
              <w:pStyle w:val="12"/>
            </w:pPr>
            <w:r>
              <w:t>154.55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94.30</w:t>
            </w:r>
          </w:p>
        </w:tc>
        <w:tc>
          <w:tcPr>
            <w:tcW w:w="1134" w:type="dxa"/>
            <w:vAlign w:val="center"/>
          </w:tcPr>
          <w:p>
            <w:pPr>
              <w:pStyle w:val="12"/>
            </w:pPr>
            <w:r>
              <w:t>94.30</w:t>
            </w:r>
          </w:p>
        </w:tc>
        <w:tc>
          <w:tcPr>
            <w:tcW w:w="1134" w:type="dxa"/>
            <w:vAlign w:val="center"/>
          </w:tcPr>
          <w:p>
            <w:pPr>
              <w:pStyle w:val="12"/>
            </w:pPr>
            <w:r>
              <w:t>94.30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47.45</w:t>
            </w:r>
          </w:p>
        </w:tc>
        <w:tc>
          <w:tcPr>
            <w:tcW w:w="1134" w:type="dxa"/>
            <w:vAlign w:val="center"/>
          </w:tcPr>
          <w:p>
            <w:pPr>
              <w:pStyle w:val="12"/>
            </w:pPr>
            <w:r>
              <w:t>47.45</w:t>
            </w:r>
          </w:p>
        </w:tc>
        <w:tc>
          <w:tcPr>
            <w:tcW w:w="1134" w:type="dxa"/>
            <w:vAlign w:val="center"/>
          </w:tcPr>
          <w:p>
            <w:pPr>
              <w:pStyle w:val="12"/>
            </w:pPr>
            <w:r>
              <w:t>47.45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47.45</w:t>
            </w:r>
          </w:p>
        </w:tc>
        <w:tc>
          <w:tcPr>
            <w:tcW w:w="1134" w:type="dxa"/>
            <w:vAlign w:val="center"/>
          </w:tcPr>
          <w:p>
            <w:pPr>
              <w:pStyle w:val="12"/>
            </w:pPr>
            <w:r>
              <w:t>47.45</w:t>
            </w:r>
          </w:p>
        </w:tc>
        <w:tc>
          <w:tcPr>
            <w:tcW w:w="1134" w:type="dxa"/>
            <w:vAlign w:val="center"/>
          </w:tcPr>
          <w:p>
            <w:pPr>
              <w:pStyle w:val="12"/>
            </w:pPr>
            <w:r>
              <w:t>47.45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40.29</w:t>
            </w:r>
          </w:p>
        </w:tc>
        <w:tc>
          <w:tcPr>
            <w:tcW w:w="1134" w:type="dxa"/>
            <w:vAlign w:val="center"/>
          </w:tcPr>
          <w:p>
            <w:pPr>
              <w:pStyle w:val="12"/>
            </w:pPr>
            <w:r>
              <w:t>40.29</w:t>
            </w:r>
          </w:p>
        </w:tc>
        <w:tc>
          <w:tcPr>
            <w:tcW w:w="1134" w:type="dxa"/>
            <w:vAlign w:val="center"/>
          </w:tcPr>
          <w:p>
            <w:pPr>
              <w:pStyle w:val="12"/>
            </w:pPr>
            <w:r>
              <w:t>40.29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7.16</w:t>
            </w:r>
          </w:p>
        </w:tc>
        <w:tc>
          <w:tcPr>
            <w:tcW w:w="1134" w:type="dxa"/>
            <w:vAlign w:val="center"/>
          </w:tcPr>
          <w:p>
            <w:pPr>
              <w:pStyle w:val="12"/>
            </w:pPr>
            <w:r>
              <w:t>7.16</w:t>
            </w:r>
          </w:p>
        </w:tc>
        <w:tc>
          <w:tcPr>
            <w:tcW w:w="1134" w:type="dxa"/>
            <w:vAlign w:val="center"/>
          </w:tcPr>
          <w:p>
            <w:pPr>
              <w:pStyle w:val="12"/>
            </w:pPr>
            <w:r>
              <w:t>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r>
              <w:t>88.66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2225.21</w:t>
            </w:r>
          </w:p>
        </w:tc>
        <w:tc>
          <w:tcPr>
            <w:tcW w:w="1361" w:type="dxa"/>
            <w:vAlign w:val="center"/>
          </w:tcPr>
          <w:p>
            <w:pPr>
              <w:pStyle w:val="16"/>
            </w:pPr>
            <w:r>
              <w:t>1294.93</w:t>
            </w:r>
          </w:p>
        </w:tc>
        <w:tc>
          <w:tcPr>
            <w:tcW w:w="1361" w:type="dxa"/>
            <w:vAlign w:val="center"/>
          </w:tcPr>
          <w:p>
            <w:pPr>
              <w:pStyle w:val="16"/>
            </w:pPr>
            <w:r>
              <w:t>930.28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1638.45</w:t>
            </w:r>
          </w:p>
        </w:tc>
        <w:tc>
          <w:tcPr>
            <w:tcW w:w="1361" w:type="dxa"/>
            <w:vAlign w:val="center"/>
          </w:tcPr>
          <w:p>
            <w:pPr>
              <w:pStyle w:val="12"/>
            </w:pPr>
            <w:r>
              <w:t>885.97</w:t>
            </w:r>
          </w:p>
        </w:tc>
        <w:tc>
          <w:tcPr>
            <w:tcW w:w="1361" w:type="dxa"/>
            <w:vAlign w:val="center"/>
          </w:tcPr>
          <w:p>
            <w:pPr>
              <w:pStyle w:val="12"/>
            </w:pPr>
            <w:r>
              <w:t>752.48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1637.54</w:t>
            </w:r>
          </w:p>
        </w:tc>
        <w:tc>
          <w:tcPr>
            <w:tcW w:w="1361" w:type="dxa"/>
            <w:vAlign w:val="center"/>
          </w:tcPr>
          <w:p>
            <w:pPr>
              <w:pStyle w:val="12"/>
            </w:pPr>
            <w:r>
              <w:t>885.97</w:t>
            </w:r>
          </w:p>
        </w:tc>
        <w:tc>
          <w:tcPr>
            <w:tcW w:w="1361" w:type="dxa"/>
            <w:vAlign w:val="center"/>
          </w:tcPr>
          <w:p>
            <w:pPr>
              <w:pStyle w:val="12"/>
            </w:pPr>
            <w:r>
              <w:t>751.57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885.97</w:t>
            </w:r>
          </w:p>
        </w:tc>
        <w:tc>
          <w:tcPr>
            <w:tcW w:w="1361" w:type="dxa"/>
            <w:vAlign w:val="center"/>
          </w:tcPr>
          <w:p>
            <w:pPr>
              <w:pStyle w:val="12"/>
            </w:pPr>
            <w:r>
              <w:t>885.97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751.57</w:t>
            </w:r>
          </w:p>
        </w:tc>
        <w:tc>
          <w:tcPr>
            <w:tcW w:w="1361" w:type="dxa"/>
            <w:vAlign w:val="center"/>
          </w:tcPr>
          <w:p>
            <w:pPr>
              <w:pStyle w:val="12"/>
            </w:pPr>
          </w:p>
        </w:tc>
        <w:tc>
          <w:tcPr>
            <w:tcW w:w="1361" w:type="dxa"/>
            <w:vAlign w:val="center"/>
          </w:tcPr>
          <w:p>
            <w:pPr>
              <w:pStyle w:val="12"/>
            </w:pPr>
            <w:r>
              <w:t>751.57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0.91</w:t>
            </w:r>
          </w:p>
        </w:tc>
        <w:tc>
          <w:tcPr>
            <w:tcW w:w="1361" w:type="dxa"/>
            <w:vAlign w:val="center"/>
          </w:tcPr>
          <w:p>
            <w:pPr>
              <w:pStyle w:val="12"/>
            </w:pPr>
          </w:p>
        </w:tc>
        <w:tc>
          <w:tcPr>
            <w:tcW w:w="1361" w:type="dxa"/>
            <w:vAlign w:val="center"/>
          </w:tcPr>
          <w:p>
            <w:pPr>
              <w:pStyle w:val="12"/>
            </w:pPr>
            <w:r>
              <w:t>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0.91</w:t>
            </w:r>
          </w:p>
        </w:tc>
        <w:tc>
          <w:tcPr>
            <w:tcW w:w="1361" w:type="dxa"/>
            <w:vAlign w:val="center"/>
          </w:tcPr>
          <w:p>
            <w:pPr>
              <w:pStyle w:val="12"/>
            </w:pPr>
          </w:p>
        </w:tc>
        <w:tc>
          <w:tcPr>
            <w:tcW w:w="1361" w:type="dxa"/>
            <w:vAlign w:val="center"/>
          </w:tcPr>
          <w:p>
            <w:pPr>
              <w:pStyle w:val="12"/>
            </w:pPr>
            <w:r>
              <w:t>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273.65</w:t>
            </w:r>
          </w:p>
        </w:tc>
        <w:tc>
          <w:tcPr>
            <w:tcW w:w="1361" w:type="dxa"/>
            <w:vAlign w:val="center"/>
          </w:tcPr>
          <w:p>
            <w:pPr>
              <w:pStyle w:val="12"/>
            </w:pPr>
            <w:r>
              <w:t>272.85</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272.85</w:t>
            </w:r>
          </w:p>
        </w:tc>
        <w:tc>
          <w:tcPr>
            <w:tcW w:w="1361" w:type="dxa"/>
            <w:vAlign w:val="center"/>
          </w:tcPr>
          <w:p>
            <w:pPr>
              <w:pStyle w:val="12"/>
            </w:pPr>
            <w:r>
              <w:t>272.85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154.55</w:t>
            </w:r>
          </w:p>
        </w:tc>
        <w:tc>
          <w:tcPr>
            <w:tcW w:w="1361" w:type="dxa"/>
            <w:vAlign w:val="center"/>
          </w:tcPr>
          <w:p>
            <w:pPr>
              <w:pStyle w:val="12"/>
            </w:pPr>
            <w:r>
              <w:t>154.55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94.30</w:t>
            </w:r>
          </w:p>
        </w:tc>
        <w:tc>
          <w:tcPr>
            <w:tcW w:w="1361" w:type="dxa"/>
            <w:vAlign w:val="center"/>
          </w:tcPr>
          <w:p>
            <w:pPr>
              <w:pStyle w:val="12"/>
            </w:pPr>
            <w:r>
              <w:t>94.30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47.45</w:t>
            </w:r>
          </w:p>
        </w:tc>
        <w:tc>
          <w:tcPr>
            <w:tcW w:w="1361" w:type="dxa"/>
            <w:vAlign w:val="center"/>
          </w:tcPr>
          <w:p>
            <w:pPr>
              <w:pStyle w:val="12"/>
            </w:pPr>
            <w:r>
              <w:t>47.45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47.45</w:t>
            </w:r>
          </w:p>
        </w:tc>
        <w:tc>
          <w:tcPr>
            <w:tcW w:w="1361" w:type="dxa"/>
            <w:vAlign w:val="center"/>
          </w:tcPr>
          <w:p>
            <w:pPr>
              <w:pStyle w:val="12"/>
            </w:pPr>
            <w:r>
              <w:t>47.45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40.29</w:t>
            </w:r>
          </w:p>
        </w:tc>
        <w:tc>
          <w:tcPr>
            <w:tcW w:w="1361" w:type="dxa"/>
            <w:vAlign w:val="center"/>
          </w:tcPr>
          <w:p>
            <w:pPr>
              <w:pStyle w:val="12"/>
            </w:pPr>
            <w:r>
              <w:t>40.29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7.16</w:t>
            </w:r>
          </w:p>
        </w:tc>
        <w:tc>
          <w:tcPr>
            <w:tcW w:w="1361" w:type="dxa"/>
            <w:vAlign w:val="center"/>
          </w:tcPr>
          <w:p>
            <w:pPr>
              <w:pStyle w:val="12"/>
            </w:pPr>
            <w:r>
              <w:t>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88.66</w:t>
            </w:r>
          </w:p>
        </w:tc>
        <w:tc>
          <w:tcPr>
            <w:tcW w:w="1361" w:type="dxa"/>
            <w:vAlign w:val="center"/>
          </w:tcPr>
          <w:p>
            <w:pPr>
              <w:pStyle w:val="12"/>
            </w:pPr>
            <w:r>
              <w:t>88.66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2165.21</w:t>
            </w:r>
          </w:p>
        </w:tc>
        <w:tc>
          <w:tcPr>
            <w:tcW w:w="3402" w:type="dxa"/>
            <w:vAlign w:val="center"/>
          </w:tcPr>
          <w:p>
            <w:pPr>
              <w:pStyle w:val="13"/>
            </w:pPr>
            <w:r>
              <w:t>一、一般公共服务支出</w:t>
            </w:r>
          </w:p>
        </w:tc>
        <w:tc>
          <w:tcPr>
            <w:tcW w:w="1474" w:type="dxa"/>
            <w:vAlign w:val="center"/>
          </w:tcPr>
          <w:p>
            <w:pPr>
              <w:pStyle w:val="12"/>
            </w:pPr>
            <w:r>
              <w:t>1638.45</w:t>
            </w:r>
          </w:p>
        </w:tc>
        <w:tc>
          <w:tcPr>
            <w:tcW w:w="1474" w:type="dxa"/>
            <w:vAlign w:val="center"/>
          </w:tcPr>
          <w:p>
            <w:pPr>
              <w:pStyle w:val="12"/>
            </w:pPr>
            <w:r>
              <w:t>1638.45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273.65</w:t>
            </w:r>
          </w:p>
        </w:tc>
        <w:tc>
          <w:tcPr>
            <w:tcW w:w="1474" w:type="dxa"/>
            <w:vAlign w:val="center"/>
          </w:tcPr>
          <w:p>
            <w:pPr>
              <w:pStyle w:val="12"/>
            </w:pPr>
            <w:r>
              <w:t>273.65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47.45</w:t>
            </w:r>
          </w:p>
        </w:tc>
        <w:tc>
          <w:tcPr>
            <w:tcW w:w="1474" w:type="dxa"/>
            <w:vAlign w:val="center"/>
          </w:tcPr>
          <w:p>
            <w:pPr>
              <w:pStyle w:val="12"/>
            </w:pPr>
            <w:r>
              <w:t>47.45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115.00</w:t>
            </w:r>
          </w:p>
        </w:tc>
        <w:tc>
          <w:tcPr>
            <w:tcW w:w="1474" w:type="dxa"/>
            <w:vAlign w:val="center"/>
          </w:tcPr>
          <w:p>
            <w:pPr>
              <w:pStyle w:val="12"/>
            </w:pPr>
            <w:r>
              <w:t>115.00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60.00</w:t>
            </w:r>
          </w:p>
        </w:tc>
        <w:tc>
          <w:tcPr>
            <w:tcW w:w="1474" w:type="dxa"/>
            <w:vAlign w:val="center"/>
          </w:tcPr>
          <w:p>
            <w:pPr>
              <w:pStyle w:val="12"/>
            </w:pPr>
            <w:r>
              <w:t>60.00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88.66</w:t>
            </w:r>
          </w:p>
        </w:tc>
        <w:tc>
          <w:tcPr>
            <w:tcW w:w="1474" w:type="dxa"/>
            <w:vAlign w:val="center"/>
          </w:tcPr>
          <w:p>
            <w:pPr>
              <w:pStyle w:val="12"/>
            </w:pPr>
            <w:r>
              <w:t>88.66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2165.21</w:t>
            </w:r>
          </w:p>
        </w:tc>
        <w:tc>
          <w:tcPr>
            <w:tcW w:w="3402" w:type="dxa"/>
            <w:vAlign w:val="center"/>
          </w:tcPr>
          <w:p>
            <w:pPr>
              <w:pStyle w:val="15"/>
            </w:pPr>
            <w:r>
              <w:t>本年支出合计</w:t>
            </w:r>
          </w:p>
        </w:tc>
        <w:tc>
          <w:tcPr>
            <w:tcW w:w="1474" w:type="dxa"/>
            <w:vAlign w:val="center"/>
          </w:tcPr>
          <w:p>
            <w:pPr>
              <w:pStyle w:val="16"/>
            </w:pPr>
            <w:r>
              <w:t>2225.21</w:t>
            </w:r>
          </w:p>
        </w:tc>
        <w:tc>
          <w:tcPr>
            <w:tcW w:w="1474" w:type="dxa"/>
            <w:vAlign w:val="center"/>
          </w:tcPr>
          <w:p>
            <w:pPr>
              <w:pStyle w:val="16"/>
            </w:pPr>
            <w:r>
              <w:t>2225.21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2225.21</w:t>
            </w:r>
          </w:p>
        </w:tc>
        <w:tc>
          <w:tcPr>
            <w:tcW w:w="3402" w:type="dxa"/>
            <w:vAlign w:val="center"/>
          </w:tcPr>
          <w:p>
            <w:pPr>
              <w:pStyle w:val="15"/>
            </w:pPr>
            <w:r>
              <w:t>支出总计</w:t>
            </w:r>
          </w:p>
        </w:tc>
        <w:tc>
          <w:tcPr>
            <w:tcW w:w="1474" w:type="dxa"/>
            <w:vAlign w:val="center"/>
          </w:tcPr>
          <w:p>
            <w:pPr>
              <w:pStyle w:val="16"/>
            </w:pPr>
            <w:r>
              <w:t>2225.21</w:t>
            </w:r>
          </w:p>
        </w:tc>
        <w:tc>
          <w:tcPr>
            <w:tcW w:w="1474" w:type="dxa"/>
            <w:vAlign w:val="center"/>
          </w:tcPr>
          <w:p>
            <w:pPr>
              <w:pStyle w:val="16"/>
            </w:pPr>
            <w:r>
              <w:t>2225.21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2225.21</w:t>
            </w:r>
          </w:p>
        </w:tc>
        <w:tc>
          <w:tcPr>
            <w:tcW w:w="2551" w:type="dxa"/>
            <w:vAlign w:val="center"/>
          </w:tcPr>
          <w:p>
            <w:pPr>
              <w:pStyle w:val="16"/>
            </w:pPr>
            <w:r>
              <w:t>1294.93</w:t>
            </w:r>
          </w:p>
        </w:tc>
        <w:tc>
          <w:tcPr>
            <w:tcW w:w="2551" w:type="dxa"/>
            <w:vAlign w:val="center"/>
          </w:tcPr>
          <w:p>
            <w:pPr>
              <w:pStyle w:val="16"/>
            </w:pPr>
            <w:r>
              <w:t>930.28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1638.45</w:t>
            </w:r>
          </w:p>
        </w:tc>
        <w:tc>
          <w:tcPr>
            <w:tcW w:w="2551" w:type="dxa"/>
            <w:vAlign w:val="center"/>
          </w:tcPr>
          <w:p>
            <w:pPr>
              <w:pStyle w:val="12"/>
            </w:pPr>
            <w:r>
              <w:t>885.97</w:t>
            </w:r>
          </w:p>
        </w:tc>
        <w:tc>
          <w:tcPr>
            <w:tcW w:w="2551" w:type="dxa"/>
            <w:vAlign w:val="center"/>
          </w:tcPr>
          <w:p>
            <w:pPr>
              <w:pStyle w:val="12"/>
            </w:pPr>
            <w:r>
              <w:t>752.48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1637.54</w:t>
            </w:r>
          </w:p>
        </w:tc>
        <w:tc>
          <w:tcPr>
            <w:tcW w:w="2551" w:type="dxa"/>
            <w:vAlign w:val="center"/>
          </w:tcPr>
          <w:p>
            <w:pPr>
              <w:pStyle w:val="12"/>
            </w:pPr>
            <w:r>
              <w:t>885.97</w:t>
            </w:r>
          </w:p>
        </w:tc>
        <w:tc>
          <w:tcPr>
            <w:tcW w:w="2551" w:type="dxa"/>
            <w:vAlign w:val="center"/>
          </w:tcPr>
          <w:p>
            <w:pPr>
              <w:pStyle w:val="12"/>
            </w:pPr>
            <w:r>
              <w:t>751.57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885.97</w:t>
            </w:r>
          </w:p>
        </w:tc>
        <w:tc>
          <w:tcPr>
            <w:tcW w:w="2551" w:type="dxa"/>
            <w:vAlign w:val="center"/>
          </w:tcPr>
          <w:p>
            <w:pPr>
              <w:pStyle w:val="12"/>
            </w:pPr>
            <w:r>
              <w:t>885.97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751.57</w:t>
            </w:r>
          </w:p>
        </w:tc>
        <w:tc>
          <w:tcPr>
            <w:tcW w:w="2551" w:type="dxa"/>
            <w:vAlign w:val="center"/>
          </w:tcPr>
          <w:p>
            <w:pPr>
              <w:pStyle w:val="12"/>
            </w:pPr>
          </w:p>
        </w:tc>
        <w:tc>
          <w:tcPr>
            <w:tcW w:w="2551" w:type="dxa"/>
            <w:vAlign w:val="center"/>
          </w:tcPr>
          <w:p>
            <w:pPr>
              <w:pStyle w:val="12"/>
            </w:pPr>
            <w:r>
              <w:t>751.57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0.91</w:t>
            </w:r>
          </w:p>
        </w:tc>
        <w:tc>
          <w:tcPr>
            <w:tcW w:w="2551" w:type="dxa"/>
            <w:vAlign w:val="center"/>
          </w:tcPr>
          <w:p>
            <w:pPr>
              <w:pStyle w:val="12"/>
            </w:pPr>
          </w:p>
        </w:tc>
        <w:tc>
          <w:tcPr>
            <w:tcW w:w="2551" w:type="dxa"/>
            <w:vAlign w:val="center"/>
          </w:tcPr>
          <w:p>
            <w:pPr>
              <w:pStyle w:val="12"/>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0.91</w:t>
            </w:r>
          </w:p>
        </w:tc>
        <w:tc>
          <w:tcPr>
            <w:tcW w:w="2551" w:type="dxa"/>
            <w:vAlign w:val="center"/>
          </w:tcPr>
          <w:p>
            <w:pPr>
              <w:pStyle w:val="12"/>
            </w:pPr>
          </w:p>
        </w:tc>
        <w:tc>
          <w:tcPr>
            <w:tcW w:w="2551" w:type="dxa"/>
            <w:vAlign w:val="center"/>
          </w:tcPr>
          <w:p>
            <w:pPr>
              <w:pStyle w:val="12"/>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273.65</w:t>
            </w:r>
          </w:p>
        </w:tc>
        <w:tc>
          <w:tcPr>
            <w:tcW w:w="2551" w:type="dxa"/>
            <w:vAlign w:val="center"/>
          </w:tcPr>
          <w:p>
            <w:pPr>
              <w:pStyle w:val="12"/>
            </w:pPr>
            <w:r>
              <w:t>272.85</w:t>
            </w: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272.85</w:t>
            </w:r>
          </w:p>
        </w:tc>
        <w:tc>
          <w:tcPr>
            <w:tcW w:w="2551" w:type="dxa"/>
            <w:vAlign w:val="center"/>
          </w:tcPr>
          <w:p>
            <w:pPr>
              <w:pStyle w:val="12"/>
            </w:pPr>
            <w:r>
              <w:t>272.85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154.55</w:t>
            </w:r>
          </w:p>
        </w:tc>
        <w:tc>
          <w:tcPr>
            <w:tcW w:w="2551" w:type="dxa"/>
            <w:vAlign w:val="center"/>
          </w:tcPr>
          <w:p>
            <w:pPr>
              <w:pStyle w:val="12"/>
            </w:pPr>
            <w:r>
              <w:t>154.55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94.30</w:t>
            </w:r>
          </w:p>
        </w:tc>
        <w:tc>
          <w:tcPr>
            <w:tcW w:w="2551" w:type="dxa"/>
            <w:vAlign w:val="center"/>
          </w:tcPr>
          <w:p>
            <w:pPr>
              <w:pStyle w:val="12"/>
            </w:pPr>
            <w:r>
              <w:t>94.30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47.45</w:t>
            </w:r>
          </w:p>
        </w:tc>
        <w:tc>
          <w:tcPr>
            <w:tcW w:w="2551" w:type="dxa"/>
            <w:vAlign w:val="center"/>
          </w:tcPr>
          <w:p>
            <w:pPr>
              <w:pStyle w:val="12"/>
            </w:pPr>
            <w:r>
              <w:t>47.45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47.45</w:t>
            </w:r>
          </w:p>
        </w:tc>
        <w:tc>
          <w:tcPr>
            <w:tcW w:w="2551" w:type="dxa"/>
            <w:vAlign w:val="center"/>
          </w:tcPr>
          <w:p>
            <w:pPr>
              <w:pStyle w:val="12"/>
            </w:pPr>
            <w:r>
              <w:t>47.45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40.29</w:t>
            </w:r>
          </w:p>
        </w:tc>
        <w:tc>
          <w:tcPr>
            <w:tcW w:w="2551" w:type="dxa"/>
            <w:vAlign w:val="center"/>
          </w:tcPr>
          <w:p>
            <w:pPr>
              <w:pStyle w:val="12"/>
            </w:pPr>
            <w:r>
              <w:t>40.29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7.16</w:t>
            </w:r>
          </w:p>
        </w:tc>
        <w:tc>
          <w:tcPr>
            <w:tcW w:w="2551" w:type="dxa"/>
            <w:vAlign w:val="center"/>
          </w:tcPr>
          <w:p>
            <w:pPr>
              <w:pStyle w:val="12"/>
            </w:pPr>
            <w:r>
              <w:t>7.16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115.00</w:t>
            </w:r>
          </w:p>
        </w:tc>
        <w:tc>
          <w:tcPr>
            <w:tcW w:w="2551" w:type="dxa"/>
            <w:vAlign w:val="center"/>
          </w:tcPr>
          <w:p>
            <w:pPr>
              <w:pStyle w:val="12"/>
            </w:pPr>
          </w:p>
        </w:tc>
        <w:tc>
          <w:tcPr>
            <w:tcW w:w="2551"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1294.93</w:t>
            </w:r>
          </w:p>
        </w:tc>
        <w:tc>
          <w:tcPr>
            <w:tcW w:w="2551" w:type="dxa"/>
            <w:vAlign w:val="center"/>
          </w:tcPr>
          <w:p>
            <w:pPr>
              <w:pStyle w:val="16"/>
            </w:pPr>
            <w:r>
              <w:t>1183.55</w:t>
            </w:r>
          </w:p>
        </w:tc>
        <w:tc>
          <w:tcPr>
            <w:tcW w:w="2551" w:type="dxa"/>
            <w:vAlign w:val="center"/>
          </w:tcPr>
          <w:p>
            <w:pPr>
              <w:pStyle w:val="16"/>
            </w:pPr>
            <w:r>
              <w:t>111.38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1032.18</w:t>
            </w:r>
          </w:p>
        </w:tc>
        <w:tc>
          <w:tcPr>
            <w:tcW w:w="2551" w:type="dxa"/>
            <w:vAlign w:val="center"/>
          </w:tcPr>
          <w:p>
            <w:pPr>
              <w:pStyle w:val="12"/>
            </w:pPr>
            <w:r>
              <w:t>1032.18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268.07</w:t>
            </w:r>
          </w:p>
        </w:tc>
        <w:tc>
          <w:tcPr>
            <w:tcW w:w="2551" w:type="dxa"/>
            <w:vAlign w:val="center"/>
          </w:tcPr>
          <w:p>
            <w:pPr>
              <w:pStyle w:val="12"/>
            </w:pPr>
            <w:r>
              <w:t>268.07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162.42</w:t>
            </w:r>
          </w:p>
        </w:tc>
        <w:tc>
          <w:tcPr>
            <w:tcW w:w="2551" w:type="dxa"/>
            <w:vAlign w:val="center"/>
          </w:tcPr>
          <w:p>
            <w:pPr>
              <w:pStyle w:val="12"/>
            </w:pPr>
            <w:r>
              <w:t>162.42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114.70</w:t>
            </w:r>
          </w:p>
        </w:tc>
        <w:tc>
          <w:tcPr>
            <w:tcW w:w="2551" w:type="dxa"/>
            <w:vAlign w:val="center"/>
          </w:tcPr>
          <w:p>
            <w:pPr>
              <w:pStyle w:val="12"/>
            </w:pPr>
            <w:r>
              <w:t>114.70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227.27</w:t>
            </w:r>
          </w:p>
        </w:tc>
        <w:tc>
          <w:tcPr>
            <w:tcW w:w="2551" w:type="dxa"/>
            <w:vAlign w:val="center"/>
          </w:tcPr>
          <w:p>
            <w:pPr>
              <w:pStyle w:val="12"/>
            </w:pPr>
            <w:r>
              <w:t>227.27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94.30</w:t>
            </w:r>
          </w:p>
        </w:tc>
        <w:tc>
          <w:tcPr>
            <w:tcW w:w="2551" w:type="dxa"/>
            <w:vAlign w:val="center"/>
          </w:tcPr>
          <w:p>
            <w:pPr>
              <w:pStyle w:val="12"/>
            </w:pPr>
            <w:r>
              <w:t>94.30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40.29</w:t>
            </w:r>
          </w:p>
        </w:tc>
        <w:tc>
          <w:tcPr>
            <w:tcW w:w="2551" w:type="dxa"/>
            <w:vAlign w:val="center"/>
          </w:tcPr>
          <w:p>
            <w:pPr>
              <w:pStyle w:val="12"/>
            </w:pPr>
            <w:r>
              <w:t>40.29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7.16</w:t>
            </w:r>
          </w:p>
        </w:tc>
        <w:tc>
          <w:tcPr>
            <w:tcW w:w="2551" w:type="dxa"/>
            <w:vAlign w:val="center"/>
          </w:tcPr>
          <w:p>
            <w:pPr>
              <w:pStyle w:val="12"/>
            </w:pPr>
            <w:r>
              <w:t>7.16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5.31</w:t>
            </w:r>
          </w:p>
        </w:tc>
        <w:tc>
          <w:tcPr>
            <w:tcW w:w="2551" w:type="dxa"/>
            <w:vAlign w:val="center"/>
          </w:tcPr>
          <w:p>
            <w:pPr>
              <w:pStyle w:val="12"/>
            </w:pPr>
            <w:r>
              <w:t>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88.66</w:t>
            </w:r>
          </w:p>
        </w:tc>
        <w:tc>
          <w:tcPr>
            <w:tcW w:w="2551" w:type="dxa"/>
            <w:vAlign w:val="center"/>
          </w:tcPr>
          <w:p>
            <w:pPr>
              <w:pStyle w:val="12"/>
            </w:pPr>
            <w:r>
              <w:t>88.66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111.38</w:t>
            </w:r>
          </w:p>
        </w:tc>
        <w:tc>
          <w:tcPr>
            <w:tcW w:w="2551" w:type="dxa"/>
            <w:vAlign w:val="center"/>
          </w:tcPr>
          <w:p>
            <w:pPr>
              <w:pStyle w:val="12"/>
            </w:pPr>
          </w:p>
        </w:tc>
        <w:tc>
          <w:tcPr>
            <w:tcW w:w="2551" w:type="dxa"/>
            <w:vAlign w:val="center"/>
          </w:tcPr>
          <w:p>
            <w:pPr>
              <w:pStyle w:val="12"/>
            </w:pPr>
            <w:r>
              <w:t>111.38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13.84</w:t>
            </w:r>
          </w:p>
        </w:tc>
        <w:tc>
          <w:tcPr>
            <w:tcW w:w="2551" w:type="dxa"/>
            <w:vAlign w:val="center"/>
          </w:tcPr>
          <w:p>
            <w:pPr>
              <w:pStyle w:val="12"/>
            </w:pPr>
          </w:p>
        </w:tc>
        <w:tc>
          <w:tcPr>
            <w:tcW w:w="2551" w:type="dxa"/>
            <w:vAlign w:val="center"/>
          </w:tcPr>
          <w:p>
            <w:pPr>
              <w:pStyle w:val="12"/>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1.16</w:t>
            </w:r>
          </w:p>
        </w:tc>
        <w:tc>
          <w:tcPr>
            <w:tcW w:w="2551" w:type="dxa"/>
            <w:vAlign w:val="center"/>
          </w:tcPr>
          <w:p>
            <w:pPr>
              <w:pStyle w:val="12"/>
            </w:pPr>
          </w:p>
        </w:tc>
        <w:tc>
          <w:tcPr>
            <w:tcW w:w="2551" w:type="dxa"/>
            <w:vAlign w:val="center"/>
          </w:tcPr>
          <w:p>
            <w:pPr>
              <w:pStyle w:val="12"/>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6.30</w:t>
            </w:r>
          </w:p>
        </w:tc>
        <w:tc>
          <w:tcPr>
            <w:tcW w:w="2551" w:type="dxa"/>
            <w:vAlign w:val="center"/>
          </w:tcPr>
          <w:p>
            <w:pPr>
              <w:pStyle w:val="12"/>
            </w:pPr>
          </w:p>
        </w:tc>
        <w:tc>
          <w:tcPr>
            <w:tcW w:w="2551" w:type="dxa"/>
            <w:vAlign w:val="center"/>
          </w:tcPr>
          <w:p>
            <w:pPr>
              <w:pStyle w:val="12"/>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16.92</w:t>
            </w:r>
          </w:p>
        </w:tc>
        <w:tc>
          <w:tcPr>
            <w:tcW w:w="2551" w:type="dxa"/>
            <w:vAlign w:val="center"/>
          </w:tcPr>
          <w:p>
            <w:pPr>
              <w:pStyle w:val="12"/>
            </w:pPr>
          </w:p>
        </w:tc>
        <w:tc>
          <w:tcPr>
            <w:tcW w:w="2551" w:type="dxa"/>
            <w:vAlign w:val="center"/>
          </w:tcPr>
          <w:p>
            <w:pPr>
              <w:pStyle w:val="12"/>
            </w:pPr>
            <w:r>
              <w:t>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6.51</w:t>
            </w:r>
          </w:p>
        </w:tc>
        <w:tc>
          <w:tcPr>
            <w:tcW w:w="2551" w:type="dxa"/>
            <w:vAlign w:val="center"/>
          </w:tcPr>
          <w:p>
            <w:pPr>
              <w:pStyle w:val="12"/>
            </w:pPr>
          </w:p>
        </w:tc>
        <w:tc>
          <w:tcPr>
            <w:tcW w:w="2551" w:type="dxa"/>
            <w:vAlign w:val="center"/>
          </w:tcPr>
          <w:p>
            <w:pPr>
              <w:pStyle w:val="12"/>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9.25</w:t>
            </w:r>
          </w:p>
        </w:tc>
        <w:tc>
          <w:tcPr>
            <w:tcW w:w="2551" w:type="dxa"/>
            <w:vAlign w:val="center"/>
          </w:tcPr>
          <w:p>
            <w:pPr>
              <w:pStyle w:val="12"/>
            </w:pPr>
          </w:p>
        </w:tc>
        <w:tc>
          <w:tcPr>
            <w:tcW w:w="2551" w:type="dxa"/>
            <w:vAlign w:val="center"/>
          </w:tcPr>
          <w:p>
            <w:pPr>
              <w:pStyle w:val="12"/>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16.14</w:t>
            </w:r>
          </w:p>
        </w:tc>
        <w:tc>
          <w:tcPr>
            <w:tcW w:w="2551" w:type="dxa"/>
            <w:vAlign w:val="center"/>
          </w:tcPr>
          <w:p>
            <w:pPr>
              <w:pStyle w:val="12"/>
            </w:pPr>
          </w:p>
        </w:tc>
        <w:tc>
          <w:tcPr>
            <w:tcW w:w="2551" w:type="dxa"/>
            <w:vAlign w:val="center"/>
          </w:tcPr>
          <w:p>
            <w:pPr>
              <w:pStyle w:val="12"/>
            </w:pPr>
            <w:r>
              <w:t>16.14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34.21</w:t>
            </w:r>
          </w:p>
        </w:tc>
        <w:tc>
          <w:tcPr>
            <w:tcW w:w="2551" w:type="dxa"/>
            <w:vAlign w:val="center"/>
          </w:tcPr>
          <w:p>
            <w:pPr>
              <w:pStyle w:val="12"/>
            </w:pPr>
          </w:p>
        </w:tc>
        <w:tc>
          <w:tcPr>
            <w:tcW w:w="2551" w:type="dxa"/>
            <w:vAlign w:val="center"/>
          </w:tcPr>
          <w:p>
            <w:pPr>
              <w:pStyle w:val="12"/>
            </w:pPr>
            <w:r>
              <w:t>34.21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151.37</w:t>
            </w:r>
          </w:p>
        </w:tc>
        <w:tc>
          <w:tcPr>
            <w:tcW w:w="2551" w:type="dxa"/>
            <w:vAlign w:val="center"/>
          </w:tcPr>
          <w:p>
            <w:pPr>
              <w:pStyle w:val="12"/>
            </w:pPr>
            <w:r>
              <w:t>151.37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151.37</w:t>
            </w:r>
          </w:p>
        </w:tc>
        <w:tc>
          <w:tcPr>
            <w:tcW w:w="2551" w:type="dxa"/>
            <w:vAlign w:val="center"/>
          </w:tcPr>
          <w:p>
            <w:pPr>
              <w:pStyle w:val="12"/>
            </w:pPr>
            <w:r>
              <w:t>151.37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石家庄市桥西区友谊街道办事处2026年部门预算信息公开情况说明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石家庄市桥西区友谊街道办事处2026年部门预算信息公开情况说明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按照《中华人民共和国预算法》、《地方预决算公开操作规程》和《关于进一步推进预算公开工作的实施意见》规定，现将石家庄市桥西区友谊街道办事处2026年部门预算公开如下：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友谊街道党工委、办事处将认真贯彻落实党的二十大精神，牢牢把握上级政府交办的各项重点工作任务，突出加强经济发展、创新发展、疫情防控、民生保障等方面工作，为桥西新发展助力。紧紧抓好经济发展工作，做好“企业精准帮扶”工作，帮助企业解决问题，从各个方面推动辖区经济。扎实开展“三会一课”等组织生活，不断加强党组织建设，通过打造红色物业、红色联盟等，将红色基因注入到基层治理、社会服务、楼宇经济等工作中，实现党对各项工作的核心领导；大力发展“红色物业”工程，进一步加强社区硬件建设，提升社区形象，为辖区居民提供更加优质、便捷的服务；继续加强非法倾倒、私搭乱建、占道经营等市容环境的综合整治，巩固文明城市成果、推进卫生城市创建；不断强化矛盾纠纷排查化解工作，做到矛盾纠纷早发现、早控制、早解决；充分认识做好疫情防控工作的重要性，全面从严从紧落实责任，坚决推进工作落实到位；进一步做好各类救助工作，完善社会救助体系、劳动就业服务体系、社区养老服务体系和计生服务体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石家庄市桥西区友谊街道办事处本级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按照预算管理有关规定，目前部门预算的编制实行综合预算管理，即全部收入和支出都反映在预算中。石家庄市桥西区友谊街道办事处机关及所属事业单位的收支包含在部门预算中。</w:t>
      </w:r>
    </w:p>
    <w:p>
      <w:pPr>
        <w:pStyle w:val="19"/>
      </w:pPr>
      <w:r>
        <w:t>1、收入说明</w:t>
      </w:r>
    </w:p>
    <w:p>
      <w:pPr>
        <w:pStyle w:val="19"/>
      </w:pPr>
      <w:r>
        <w:t>反映本部门当年全部收入。2026年预算收入2225.21万元，其中：一般公共预算收入2165.21万元，基金预算收入0.00万元，国有资本经营预算收入0.00万元，财政专户核拨收入0.00万元，单位资金收入0.00万元，上年结转结余60.00万元。</w:t>
      </w:r>
    </w:p>
    <w:p>
      <w:pPr>
        <w:pStyle w:val="19"/>
      </w:pPr>
      <w:r>
        <w:t>2、支出说明</w:t>
      </w:r>
    </w:p>
    <w:p>
      <w:pPr>
        <w:pStyle w:val="19"/>
      </w:pPr>
      <w:r>
        <w:t>收支预算总表支出栏、基本支出表、项目支出表按经济分类和支出功能分类科目编制，反映石家庄市桥西区友谊街道办事处年度部门预算中支出预算的总体情况。2026年支出预算2225.21万元，其中基本支出1294.93万元，包括人员经费1183.55万元和日常公用经费111.38万元；项目支出930.28万元，主要为社区工作经费，综合事务经费，党建惠民项目，大气污染防治经费，文化站免费开放中央和省级补助资金等项目。；预计下年使用的单位资金结余0.00万元。委托业务费共计安排2.91万元，主要用于因技术原因确需对外委托的辅助性工作和确有必要对外委托开展咨询、评审、规划等工作。</w:t>
      </w:r>
    </w:p>
    <w:p>
      <w:pPr>
        <w:pStyle w:val="19"/>
      </w:pPr>
      <w:r>
        <w:t>3、比上年增减情况</w:t>
      </w:r>
    </w:p>
    <w:p>
      <w:pPr>
        <w:pStyle w:val="19"/>
      </w:pPr>
      <w:r>
        <w:t>2026年预算收支安排2225.21万元，较2025年预算增加76.75万元，其中：基本支出减少668.37万元，主要为人员经费中部分经费列支到项目支出中项目支出增加745.13万元，主要为人员经费中部分经费列支到项目支出中、大气污染防治费用增加等。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2026年，友谊街道办事处将坚持以习近平新时代中国特色社会主义思想和</w:t>
      </w:r>
      <w:r>
        <w:rPr>
          <w:rFonts w:hint="eastAsia"/>
          <w:lang w:eastAsia="zh-CN"/>
        </w:rPr>
        <w:t>党的</w:t>
      </w:r>
      <w:r>
        <w:t>二十大精神为指导，在区委、区政府正确领导下，以开展活动为抓手，牢牢把握“经济发展、环境改善、民生和谐、建强堡垒”四条主线，坚持党建引领抓全局、强基固本抓提升、招大引优促改革，真抓实干促创新，以人为本保民生、促实效，履职尽责抓安全，促稳定，全面提升辖区居民群众幸福感和获得感。着力招企业、促投资，推动经济又好又快健康发展。整合资源、搭桥梁，村居联建，打造精品活动。以社会稳定和安全生产为基石，网格化管理为抓手，推进平安街道的建设，以孵化组织力量，整合多维资源，化解民生矛盾为切入点，通过村居联动管理模式，红色物业建设，统筹村居资源，搭建村居齐抓共管的平台。各类矛盾纠纷安全隐患排查化解率要达到100%，对辖区内市容环境卫生进行整治，所有大气重点污染源监管实现全覆盖，打造空气清新、蓝天永驻的美丽城区。</w:t>
      </w:r>
      <w:bookmarkStart w:id="20" w:name="_GoBack"/>
      <w:bookmarkEnd w:id="20"/>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（一）不断提升经济发展水平</w:t>
      </w:r>
    </w:p>
    <w:p>
      <w:pPr>
        <w:pStyle w:val="23"/>
      </w:pPr>
      <w:r>
        <w:t>绩效目标：持续推进项目建设，充分挖掘辖区潜力，秉持以跑带促，用跑促进的理念，帮助项目跑规划、跑开工、跑手续，不断解决存在的问题；针对每个招商引资项目，深入企业内部与项目单位一起跑办，解决实际问题，成立专门的企业入统工作组，深入辖区各楼宇和项目，面对面与企业进行思想沟通打消其思想顾虑，将应统未统的纳入到统计范围。</w:t>
      </w:r>
    </w:p>
    <w:p>
      <w:pPr>
        <w:pStyle w:val="23"/>
      </w:pPr>
      <w:r>
        <w:t>绩效指标：全年城镇固定资产投资任务完成100%，社会销售品零售总额较上年同期增长8%-10%。</w:t>
      </w:r>
    </w:p>
    <w:p>
      <w:pPr>
        <w:pStyle w:val="23"/>
      </w:pPr>
    </w:p>
    <w:p>
      <w:pPr>
        <w:pStyle w:val="23"/>
      </w:pPr>
      <w:r>
        <w:t>（二）全面做好基层党建工作</w:t>
      </w:r>
    </w:p>
    <w:p>
      <w:pPr>
        <w:pStyle w:val="23"/>
      </w:pPr>
      <w:r>
        <w:t>绩效目标：全面推进，扩大共驻共建工作覆盖面，扎实开展省、市、区直单位党组织和在职党员到社区“双报到双报告双考核”工作，提升街道区域共建水平；抓阵地建设，提升基层党建基础，创新楼宇党建治理方法，打造非公企业和社会组织党建新阵地。</w:t>
      </w:r>
    </w:p>
    <w:p>
      <w:pPr>
        <w:pStyle w:val="23"/>
      </w:pPr>
      <w:r>
        <w:t>绩效指标：与辖区省直单位和市、区直单位党组织签订共建协议书以及《需求清单》、《资源清单》 ，精准对接、完善机制、搭建平台，经常性开展共驻共建活动，提升城市基层党建的整体效应；针对企业党员的工作实际，牵头组织策划专题座谈会、开展学习沙龙、志愿服务等活动不少于20次，并通过向党员推荐关注微信公众号、将党员纳入“云社区”网格群，建立微信工作群、QQ交流群等形式，构建“线上党建阵地”。</w:t>
      </w:r>
    </w:p>
    <w:p>
      <w:pPr>
        <w:pStyle w:val="23"/>
      </w:pPr>
      <w:r>
        <w:t>（三）积极推进城市管理工作</w:t>
      </w:r>
    </w:p>
    <w:p>
      <w:pPr>
        <w:pStyle w:val="23"/>
      </w:pPr>
      <w:r>
        <w:t>绩效目标：依托网格，加强环境整治；继续做好大气污染防治工作；全力做好文明城市创建常态化及国家卫生城市创建工作；积极发挥综合行政检查执法大队作用。</w:t>
      </w:r>
    </w:p>
    <w:p>
      <w:pPr>
        <w:pStyle w:val="23"/>
      </w:pPr>
      <w:r>
        <w:t>绩效指标：以整治市容环境卫生工作为主线，严格按照“网格化管理”制度，对占道经营、沿街晾晒、违章乱挂等情况及时处理，继续深入开展“门前三包”星级评比活动，做好“门前三包”工作；进一步明确大气污染防治工作小组领导和成员职责，健全“一岗双责”的工作责任制，按照“网格化”管理的要求逐级签发责任状，明确职能分工以及问责制度，确保完成空气质量保障工作；进一步加大投入，逐步巩固创建成果，促进创建期间形成的环境治理、便民服务、居民文明素质提升等方面的举措和经验逐步常态化、制度化，同时按照区创卫办统一部署，积极做好国家卫生城市创建工作；继续大力推进街道综合行政检查执法大队有效运行，积极开展综合集中执法行动，充分整合执法力量，发挥好综合执法优势，维护好辖区优良秩序和优美环境。</w:t>
      </w:r>
    </w:p>
    <w:p>
      <w:pPr>
        <w:pStyle w:val="23"/>
      </w:pPr>
      <w:r>
        <w:t>（四）民生服务更加优化</w:t>
      </w:r>
    </w:p>
    <w:p>
      <w:pPr>
        <w:pStyle w:val="23"/>
      </w:pPr>
      <w:r>
        <w:t>绩效目标：全力做好老旧小区改造工作，重点解决已严重影响居民基本生活和存在安全隐患的基础设施老化和功能缺失问题；积极解决供暖问题，加大对供暖前期问题的排查，时刻掌握供暖运行情况；积极做好退役军人管理服务工作，为辖区退役军人打造积极向上的服务阵地和平台；积极做好社保工作；为辖区居民提供优质、高效的卫生服务。</w:t>
      </w:r>
    </w:p>
    <w:p>
      <w:pPr>
        <w:pStyle w:val="23"/>
      </w:pPr>
      <w:r>
        <w:t>绩效指标：老旧小区改造的主要内容是诸如屋面漏水、墙体渗水、雨污水管道堵塞等,其次是考虑小区道路、路灯、监控、绿化、停车位、健身设施的完善提升,最后兼顾环境整治,治理脏乱差，通过改造,以期恢复小区居住基本功能,美化宜居环境；及时制定供暖方案，划分供暖责任，采取日报告制度、入户测温制度，辖区交换站专人盯守率达到100%，24小时监控率达到100%；全面细致摸排辖区退役军人情况，规范信息台账，有效做好退役军人登记和挂牌工作，接待来访率达到100%，登记率达到100%，挂牌率达到100%；企业离退休人员资格认证率达到100%，居民养老享受待遇人员认证率达到100%，居民合法生育率达到100%，人口出生统计求实率达到99%以上，流动人口和特殊人群上站普查率达到100%。</w:t>
      </w:r>
    </w:p>
    <w:p>
      <w:pPr>
        <w:pStyle w:val="23"/>
      </w:pPr>
      <w:r>
        <w:t>（五）确保辖区和谐稳定</w:t>
      </w:r>
    </w:p>
    <w:p>
      <w:pPr>
        <w:pStyle w:val="23"/>
      </w:pPr>
      <w:r>
        <w:t>绩效目标：全力开展安监工作，大力宣传安全生产工作的重要性，对辖区内重点部位和企业进行有效的宣传和教育，使企业牢固树立风险意识、忧患意识、危机意识，时刻牢记安全第一的思想；加强群防群治队伍建设，积极开展巡逻防范工作，探索建立信访、调解、治理的基层工作新模式，有效整合信访、综治、司法、民政等力量，全面建立基层大信访工作格局，筑牢维护社会和谐稳定的第一道防线。</w:t>
      </w:r>
    </w:p>
    <w:p>
      <w:pPr>
        <w:pStyle w:val="23"/>
      </w:pPr>
      <w:r>
        <w:t>绩效指标：充分利用街道综合执法平台，强化安全生产大排查、大整治活动，对辖区工地、加油站进行不定时检查，全年主要领导召开安全生产工作会议达到12次，主要领导参加安全生产工作检查达到12次；食品安全工作层层分解，明确分工职责，落实责任，严格落实“一岗双责”，形成“纵向到底、横向到边、责任到人、不留死角”的网格化管理，对食品单位每月必查一遍，检查率达到100%；组织辖区各企业开展消防教育、演练每年不少于2次，以提高火灾预防能力、初起火灾扑救能力和火场逃生能力，对消防单位每月必查一遍，检查率达到100%；健全社区信息员制度，每个楼院按辖区人数配备 1-2 名信息员，加强信息报送，建立信息交流共享机制；社区矫正对象定位率达到100%，安置帮教对象帮教率达到100%，人民调解案件结案率达到100%；信访案件按期受理率达到100%，按期答复率达到100%，群众满意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1、完善组织制度建设,坚持“全党抓经济、全面抓提升、全力促改革”的指导思想，强化组织领导充分发挥基层党组织作用，抓好惠民工程惠民服务，将环境提升、民生改善落实好，更好的服务辖区居民。</w:t>
      </w:r>
    </w:p>
    <w:p>
      <w:pPr>
        <w:pStyle w:val="24"/>
      </w:pPr>
      <w:r>
        <w:t>2、加强大气污染防治力度，在辖区深入开展环境整治市容市貌整治和环境的提升等专项整治行动，主动作为清理小广告、加大私搭乱建和占道经营清理力度，实现辖区的环境整洁靓丽。</w:t>
      </w:r>
    </w:p>
    <w:p>
      <w:pPr>
        <w:pStyle w:val="24"/>
      </w:pPr>
      <w:r>
        <w:t>3、加强对老旧小区改造和管理，改善辖区居住环境。引进红色物业，强化党建引领，提供管理和服务水平，为辖区居民提供更加优质便捷服务，引导群众辖区单位和社会组织积极参与基层社会治理，努力营造文明和谐的生活环境。</w:t>
      </w:r>
    </w:p>
    <w:p>
      <w:pPr>
        <w:pStyle w:val="24"/>
      </w:pPr>
      <w:r>
        <w:t>4、抓住机遇，充分发挥京津冀一体化区位优势，加强招商引资力度，拓展招商领域，提高引资质量。</w:t>
      </w:r>
    </w:p>
    <w:p>
      <w:pPr>
        <w:pStyle w:val="24"/>
      </w:pPr>
      <w:r>
        <w:t>5、做好绩效自评。按要求开展部门预算绩效自评和重点评价工作，对评价中发现的问题及时整改，调整优化支出结构，提高财政资金使用效益。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r>
        <w:t>6、加强监督。制定并完善各项财务管理制度，加强监督使各项制度得到落实，对绩效运行情况进行督导，并加强对财务人员培训，提高业务素质，促进预算绩效管理水平进一步提升。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13010426P009775100211</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保障临时救助金足额发放到位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1.保障临时救助金足额发放到位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≥98%</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13010426P009925100781</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1.保障2026年三馆一站免费开放区级补助资金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13010426P009925101060</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1.保障三馆一站免费开放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资金合格率</w:t>
            </w:r>
          </w:p>
        </w:tc>
        <w:tc>
          <w:tcPr>
            <w:tcW w:w="5386" w:type="dxa"/>
            <w:vAlign w:val="center"/>
          </w:tcPr>
          <w:p>
            <w:pPr>
              <w:pStyle w:val="13"/>
            </w:pPr>
            <w:r>
              <w:t>资金合格率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13010426P004128101137</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0.91</w:t>
            </w:r>
          </w:p>
        </w:tc>
        <w:tc>
          <w:tcPr>
            <w:tcW w:w="2835" w:type="dxa"/>
            <w:vAlign w:val="center"/>
          </w:tcPr>
          <w:p>
            <w:pPr>
              <w:pStyle w:val="11"/>
            </w:pPr>
            <w:r>
              <w:t>其中：财政    资金</w:t>
            </w:r>
          </w:p>
        </w:tc>
        <w:tc>
          <w:tcPr>
            <w:tcW w:w="2551" w:type="dxa"/>
            <w:vAlign w:val="center"/>
          </w:tcPr>
          <w:p>
            <w:pPr>
              <w:pStyle w:val="13"/>
            </w:pPr>
            <w:r>
              <w:t>0.91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对社区“两委”班子任期和离任经济责任进行审计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1.对社区“两委”班子任期和离任经济责任进行审计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 年</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≥98%</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≥98%</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13010426P00976110024X</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w:t>
            </w:r>
          </w:p>
        </w:tc>
        <w:tc>
          <w:tcPr>
            <w:tcW w:w="2835" w:type="dxa"/>
            <w:vAlign w:val="center"/>
          </w:tcPr>
          <w:p>
            <w:pPr>
              <w:pStyle w:val="11"/>
            </w:pPr>
            <w:r>
              <w:t>其中：财政    资金</w:t>
            </w:r>
          </w:p>
        </w:tc>
        <w:tc>
          <w:tcPr>
            <w:tcW w:w="2551" w:type="dxa"/>
            <w:vAlign w:val="center"/>
          </w:tcPr>
          <w:p>
            <w:pPr>
              <w:pStyle w:val="13"/>
            </w:pPr>
            <w:r>
              <w:t>16.80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保障城管绩效经费支出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1.保障城管绩效经费支出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13010426P00976110023A</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34.02</w:t>
            </w:r>
          </w:p>
        </w:tc>
        <w:tc>
          <w:tcPr>
            <w:tcW w:w="2835" w:type="dxa"/>
            <w:vAlign w:val="center"/>
          </w:tcPr>
          <w:p>
            <w:pPr>
              <w:pStyle w:val="11"/>
            </w:pPr>
            <w:r>
              <w:t>其中：财政    资金</w:t>
            </w:r>
          </w:p>
        </w:tc>
        <w:tc>
          <w:tcPr>
            <w:tcW w:w="2551" w:type="dxa"/>
            <w:vAlign w:val="center"/>
          </w:tcPr>
          <w:p>
            <w:pPr>
              <w:pStyle w:val="13"/>
            </w:pPr>
            <w:r>
              <w:t>34.02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保障全科政务（劳务派遣）经费支出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13010426P00976110051N</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595.55</w:t>
            </w:r>
          </w:p>
        </w:tc>
        <w:tc>
          <w:tcPr>
            <w:tcW w:w="2835" w:type="dxa"/>
            <w:vAlign w:val="center"/>
          </w:tcPr>
          <w:p>
            <w:pPr>
              <w:pStyle w:val="11"/>
            </w:pPr>
            <w:r>
              <w:t>其中：财政    资金</w:t>
            </w:r>
          </w:p>
        </w:tc>
        <w:tc>
          <w:tcPr>
            <w:tcW w:w="2551" w:type="dxa"/>
            <w:vAlign w:val="center"/>
          </w:tcPr>
          <w:p>
            <w:pPr>
              <w:pStyle w:val="13"/>
            </w:pPr>
            <w:r>
              <w:t>595.55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保障社工人员经费支出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1.保障社工人员经费支出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8、社区工作经费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13010426P004128101066</w:t>
            </w:r>
          </w:p>
        </w:tc>
        <w:tc>
          <w:tcPr>
            <w:tcW w:w="2835" w:type="dxa"/>
            <w:vAlign w:val="center"/>
          </w:tcPr>
          <w:p>
            <w:pPr>
              <w:pStyle w:val="11"/>
            </w:pPr>
            <w:r>
              <w:t>项目名称</w:t>
            </w:r>
          </w:p>
        </w:tc>
        <w:tc>
          <w:tcPr>
            <w:tcW w:w="6095" w:type="dxa"/>
            <w:gridSpan w:val="3"/>
            <w:vAlign w:val="center"/>
          </w:tcPr>
          <w:p>
            <w:pPr>
              <w:pStyle w:val="13"/>
            </w:pPr>
            <w:r>
              <w:t xml:space="preserve">社区工作经费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保障社区日常办公运转、党员教育培训、党员开展活动、社区老党员和困难党员的走访慰问等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1.保障社区日常办公运转、党员教育培训、党员开展活动、社区老党员和困难党员的走访慰问等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100%</w:t>
            </w:r>
          </w:p>
        </w:tc>
        <w:tc>
          <w:tcPr>
            <w:tcW w:w="1276" w:type="dxa"/>
            <w:vAlign w:val="center"/>
          </w:tcPr>
          <w:p>
            <w:pPr>
              <w:pStyle w:val="13"/>
            </w:pPr>
            <w:r>
              <w:t>保障社区正常运转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9、石财城[2025]50号既有住宅加装电梯专项补助资金绩效目标表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13010425P00002410073X</w:t>
            </w:r>
          </w:p>
        </w:tc>
        <w:tc>
          <w:tcPr>
            <w:tcW w:w="2835" w:type="dxa"/>
            <w:vAlign w:val="center"/>
          </w:tcPr>
          <w:p>
            <w:pPr>
              <w:pStyle w:val="11"/>
            </w:pPr>
            <w:r>
              <w:t>项目名称</w:t>
            </w:r>
          </w:p>
        </w:tc>
        <w:tc>
          <w:tcPr>
            <w:tcW w:w="6095" w:type="dxa"/>
            <w:gridSpan w:val="3"/>
            <w:vAlign w:val="center"/>
          </w:tcPr>
          <w:p>
            <w:pPr>
              <w:pStyle w:val="13"/>
            </w:pPr>
            <w:r>
              <w:t>石财城[2025]50号既有住宅加装电梯专项补助资金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石财城【2025】50号既有住宅加装电梯专项补助资金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1.石财城【2025】50号既有住宅加装电梯专项补助资金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13010426P00RT06100276</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保障武装工作经费支出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11、与河北蓝川公司和解协议第一期、第二期还款及河北嘉实律所仲裁代理费绩效目标表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13010426P009762100109</w:t>
            </w:r>
          </w:p>
        </w:tc>
        <w:tc>
          <w:tcPr>
            <w:tcW w:w="2835" w:type="dxa"/>
            <w:vAlign w:val="center"/>
          </w:tcPr>
          <w:p>
            <w:pPr>
              <w:pStyle w:val="11"/>
            </w:pPr>
            <w:r>
              <w:t>项目名称</w:t>
            </w:r>
          </w:p>
        </w:tc>
        <w:tc>
          <w:tcPr>
            <w:tcW w:w="6095" w:type="dxa"/>
            <w:gridSpan w:val="3"/>
            <w:vAlign w:val="center"/>
          </w:tcPr>
          <w:p>
            <w:pPr>
              <w:pStyle w:val="13"/>
            </w:pPr>
            <w:r>
              <w:t>与河北蓝川公司和解协议第一期、第二期还款及河北嘉实律所仲裁代理费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保障与河北蓝川公司和解协议第一期、第二期还款及河北嘉实律所仲裁代理费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1.保障与河北蓝川公司和解协议第一期、第二期还款及河北嘉实律所仲裁代理费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≤446.18万元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12、职工医院点位环境整治资金绩效目标表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13010426P00976210009X</w:t>
            </w:r>
          </w:p>
        </w:tc>
        <w:tc>
          <w:tcPr>
            <w:tcW w:w="2835" w:type="dxa"/>
            <w:vAlign w:val="center"/>
          </w:tcPr>
          <w:p>
            <w:pPr>
              <w:pStyle w:val="11"/>
            </w:pPr>
            <w:r>
              <w:t>项目名称</w:t>
            </w:r>
          </w:p>
        </w:tc>
        <w:tc>
          <w:tcPr>
            <w:tcW w:w="6095" w:type="dxa"/>
            <w:gridSpan w:val="3"/>
            <w:vAlign w:val="center"/>
          </w:tcPr>
          <w:p>
            <w:pPr>
              <w:pStyle w:val="13"/>
            </w:pPr>
            <w:r>
              <w:t>职工医院点位环境整治资金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保障职工医院国控点位周边精细化保洁及重点工地盯守等环境整治工作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1.保障职工医院国控点位周边精细化保洁及重点工地盯守等环境整治工作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13、职工医院国控点位环保经费和专班工作经费绩效目标表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13010426P009762100038</w:t>
            </w:r>
          </w:p>
        </w:tc>
        <w:tc>
          <w:tcPr>
            <w:tcW w:w="2835" w:type="dxa"/>
            <w:vAlign w:val="center"/>
          </w:tcPr>
          <w:p>
            <w:pPr>
              <w:pStyle w:val="11"/>
            </w:pPr>
            <w:r>
              <w:t>项目名称</w:t>
            </w:r>
          </w:p>
        </w:tc>
        <w:tc>
          <w:tcPr>
            <w:tcW w:w="6095" w:type="dxa"/>
            <w:gridSpan w:val="3"/>
            <w:vAlign w:val="center"/>
          </w:tcPr>
          <w:p>
            <w:pPr>
              <w:pStyle w:val="13"/>
            </w:pPr>
            <w:r>
              <w:t>职工医院国控点位环保经费和专班工作经费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保障职工医院国控点位环保经费和专班工作经费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1.保障职工医院国控点位环保经费和专班工作经费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14、宗教党建工作经费绩效目标表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13010426P009910100038</w:t>
            </w:r>
          </w:p>
        </w:tc>
        <w:tc>
          <w:tcPr>
            <w:tcW w:w="2835" w:type="dxa"/>
            <w:vAlign w:val="center"/>
          </w:tcPr>
          <w:p>
            <w:pPr>
              <w:pStyle w:val="11"/>
            </w:pPr>
            <w:r>
              <w:t>项目名称</w:t>
            </w:r>
          </w:p>
        </w:tc>
        <w:tc>
          <w:tcPr>
            <w:tcW w:w="6095" w:type="dxa"/>
            <w:gridSpan w:val="3"/>
            <w:vAlign w:val="center"/>
          </w:tcPr>
          <w:p>
            <w:pPr>
              <w:pStyle w:val="13"/>
            </w:pPr>
            <w:r>
              <w:t>宗教党建工作经费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保障宗教党建工作经费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1.保障宗教党建工作经费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13010426P009870100685</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保障综合事务经费支出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1.保障综合事务经费支出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10.26</w:t>
            </w:r>
          </w:p>
        </w:tc>
        <w:tc>
          <w:tcPr>
            <w:tcW w:w="964" w:type="dxa"/>
            <w:vAlign w:val="center"/>
          </w:tcPr>
          <w:p>
            <w:pPr>
              <w:pStyle w:val="16"/>
            </w:pPr>
            <w:r>
              <w:t>10.26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石家庄市桥西区友谊街道办事处本级小计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10.26</w:t>
            </w:r>
          </w:p>
        </w:tc>
        <w:tc>
          <w:tcPr>
            <w:tcW w:w="964" w:type="dxa"/>
            <w:vAlign w:val="center"/>
          </w:tcPr>
          <w:p>
            <w:pPr>
              <w:pStyle w:val="16"/>
            </w:pPr>
            <w:r>
              <w:t>10.26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0.44</w:t>
            </w:r>
          </w:p>
        </w:tc>
        <w:tc>
          <w:tcPr>
            <w:tcW w:w="964" w:type="dxa"/>
            <w:vAlign w:val="center"/>
          </w:tcPr>
          <w:p>
            <w:pPr>
              <w:pStyle w:val="12"/>
            </w:pPr>
            <w:r>
              <w:t>0.44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0.18</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册</w:t>
            </w:r>
          </w:p>
        </w:tc>
        <w:tc>
          <w:tcPr>
            <w:tcW w:w="850" w:type="dxa"/>
            <w:vAlign w:val="center"/>
          </w:tcPr>
          <w:p>
            <w:pPr>
              <w:pStyle w:val="12"/>
            </w:pPr>
            <w:r>
              <w:t>232</w:t>
            </w:r>
          </w:p>
        </w:tc>
        <w:tc>
          <w:tcPr>
            <w:tcW w:w="850" w:type="dxa"/>
            <w:vAlign w:val="center"/>
          </w:tcPr>
          <w:p>
            <w:pPr>
              <w:pStyle w:val="12"/>
            </w:pPr>
            <w:r>
              <w:t>0.01</w:t>
            </w:r>
          </w:p>
        </w:tc>
        <w:tc>
          <w:tcPr>
            <w:tcW w:w="964" w:type="dxa"/>
            <w:vAlign w:val="center"/>
          </w:tcPr>
          <w:p>
            <w:pPr>
              <w:pStyle w:val="12"/>
            </w:pPr>
            <w:r>
              <w:t>1.16</w:t>
            </w:r>
          </w:p>
        </w:tc>
        <w:tc>
          <w:tcPr>
            <w:tcW w:w="964" w:type="dxa"/>
            <w:vAlign w:val="center"/>
          </w:tcPr>
          <w:p>
            <w:pPr>
              <w:pStyle w:val="12"/>
            </w:pPr>
            <w:r>
              <w:t>1.16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2.62</w:t>
            </w:r>
          </w:p>
        </w:tc>
        <w:tc>
          <w:tcPr>
            <w:tcW w:w="964" w:type="dxa"/>
            <w:vAlign w:val="center"/>
          </w:tcPr>
          <w:p>
            <w:pPr>
              <w:pStyle w:val="12"/>
            </w:pPr>
            <w:r>
              <w:t>2.62</w:t>
            </w:r>
          </w:p>
        </w:tc>
        <w:tc>
          <w:tcPr>
            <w:tcW w:w="964" w:type="dxa"/>
            <w:vAlign w:val="center"/>
          </w:tcPr>
          <w:p>
            <w:pPr>
              <w:pStyle w:val="12"/>
            </w:pPr>
            <w:r>
              <w:t>2.62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40.48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 xml:space="preserve">社区工作经费 </w:t>
            </w:r>
          </w:p>
        </w:tc>
        <w:tc>
          <w:tcPr>
            <w:tcW w:w="964" w:type="dxa"/>
            <w:vAlign w:val="center"/>
          </w:tcPr>
          <w:p>
            <w:pPr>
              <w:pStyle w:val="12"/>
            </w:pPr>
            <w:r>
              <w:t>90.00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900</w:t>
            </w:r>
          </w:p>
        </w:tc>
        <w:tc>
          <w:tcPr>
            <w:tcW w:w="850" w:type="dxa"/>
            <w:vAlign w:val="center"/>
          </w:tcPr>
          <w:p>
            <w:pPr>
              <w:pStyle w:val="12"/>
            </w:pPr>
            <w:r>
              <w:t>0.00</w:t>
            </w:r>
          </w:p>
        </w:tc>
        <w:tc>
          <w:tcPr>
            <w:tcW w:w="964" w:type="dxa"/>
            <w:vAlign w:val="center"/>
          </w:tcPr>
          <w:p>
            <w:pPr>
              <w:pStyle w:val="12"/>
            </w:pPr>
            <w:r>
              <w:t>1.66</w:t>
            </w:r>
          </w:p>
        </w:tc>
        <w:tc>
          <w:tcPr>
            <w:tcW w:w="964" w:type="dxa"/>
            <w:vAlign w:val="center"/>
          </w:tcPr>
          <w:p>
            <w:pPr>
              <w:pStyle w:val="12"/>
            </w:pPr>
            <w:r>
              <w:t>1.66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 xml:space="preserve">社区工作经费 </w:t>
            </w:r>
          </w:p>
        </w:tc>
        <w:tc>
          <w:tcPr>
            <w:tcW w:w="964" w:type="dxa"/>
            <w:vAlign w:val="center"/>
          </w:tcPr>
          <w:p>
            <w:pPr>
              <w:pStyle w:val="12"/>
            </w:pPr>
            <w:r>
              <w:t>90.00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册</w:t>
            </w:r>
          </w:p>
        </w:tc>
        <w:tc>
          <w:tcPr>
            <w:tcW w:w="850" w:type="dxa"/>
            <w:vAlign w:val="center"/>
          </w:tcPr>
          <w:p>
            <w:pPr>
              <w:pStyle w:val="12"/>
            </w:pPr>
            <w:r>
              <w:t>600</w:t>
            </w:r>
          </w:p>
        </w:tc>
        <w:tc>
          <w:tcPr>
            <w:tcW w:w="850" w:type="dxa"/>
            <w:vAlign w:val="center"/>
          </w:tcPr>
          <w:p>
            <w:pPr>
              <w:pStyle w:val="12"/>
            </w:pPr>
            <w:r>
              <w:t>0.01</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石家庄市桥西区友谊街道办事处（含所属单位）上年末固定资产金额为307.51万元（详见下表）。本年度拟购置固定资产总额为1.00万元，已按要求列入政府采购预算，详见政府采购预算表。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307.51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2100</w:t>
            </w:r>
          </w:p>
        </w:tc>
        <w:tc>
          <w:tcPr>
            <w:tcW w:w="2835" w:type="dxa"/>
            <w:vAlign w:val="center"/>
          </w:tcPr>
          <w:p>
            <w:pPr>
              <w:pStyle w:val="12"/>
            </w:pPr>
            <w:r>
              <w:t>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1600</w:t>
            </w:r>
          </w:p>
        </w:tc>
        <w:tc>
          <w:tcPr>
            <w:tcW w:w="2835" w:type="dxa"/>
            <w:vAlign w:val="center"/>
          </w:tcPr>
          <w:p>
            <w:pPr>
              <w:pStyle w:val="12"/>
            </w:pPr>
            <w:r>
              <w:t>285.67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3E77A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TotalTime>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2026-02-14T10:52:00Z</dcterms:created>
  <dc:creator>Administrator</dc:creator>
  <cp:lastModifiedBy>莉</cp:lastModifiedBy>
  <dcterms:modified xsi:type="dcterms:W3CDTF">2026-02-26T02:21:18Z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EA1DF3075833407485C2CAB645411B41</vt:lpwstr>
  </property>
</Properties>
</file>