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一、石家庄市桥西区农业农村局本级收支预算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456.56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8.00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395.47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464.56</w:t>
            </w:r>
          </w:p>
        </w:tc>
        <w:tc>
          <w:tcPr>
            <w:tcW w:w="4535" w:type="dxa"/>
            <w:vAlign w:val="center"/>
          </w:tcPr>
          <w:p>
            <w:pPr>
              <w:pStyle w:val="15"/>
            </w:pPr>
            <w:r>
              <w:t>本年支出合计</w:t>
            </w:r>
          </w:p>
        </w:tc>
        <w:tc>
          <w:tcPr>
            <w:tcW w:w="2126" w:type="dxa"/>
            <w:vAlign w:val="center"/>
          </w:tcPr>
          <w:p>
            <w:pPr>
              <w:pStyle w:val="16"/>
            </w:pPr>
            <w:r>
              <w:t>548.45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83.89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548.45</w:t>
            </w:r>
          </w:p>
        </w:tc>
        <w:tc>
          <w:tcPr>
            <w:tcW w:w="4535" w:type="dxa"/>
            <w:vAlign w:val="center"/>
          </w:tcPr>
          <w:p>
            <w:pPr>
              <w:pStyle w:val="15"/>
            </w:pPr>
            <w:r>
              <w:t>支出总计</w:t>
            </w:r>
          </w:p>
        </w:tc>
        <w:tc>
          <w:tcPr>
            <w:tcW w:w="2126" w:type="dxa"/>
            <w:vAlign w:val="center"/>
          </w:tcPr>
          <w:p>
            <w:pPr>
              <w:pStyle w:val="16"/>
            </w:pPr>
            <w:r>
              <w:t>548.45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548.45</w:t>
            </w:r>
          </w:p>
        </w:tc>
        <w:tc>
          <w:tcPr>
            <w:tcW w:w="1134" w:type="dxa"/>
            <w:vAlign w:val="center"/>
          </w:tcPr>
          <w:p>
            <w:pPr>
              <w:pStyle w:val="16"/>
            </w:pPr>
            <w:r>
              <w:t>464.56</w:t>
            </w:r>
          </w:p>
        </w:tc>
        <w:tc>
          <w:tcPr>
            <w:tcW w:w="1134" w:type="dxa"/>
            <w:vAlign w:val="center"/>
          </w:tcPr>
          <w:p>
            <w:pPr>
              <w:pStyle w:val="16"/>
            </w:pPr>
            <w:r>
              <w:t>456.56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8.00</w:t>
            </w:r>
          </w:p>
        </w:tc>
        <w:tc>
          <w:tcPr>
            <w:tcW w:w="1134" w:type="dxa"/>
            <w:vAlign w:val="center"/>
          </w:tcPr>
          <w:p>
            <w:pPr>
              <w:pStyle w:val="16"/>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88.40</w:t>
            </w:r>
          </w:p>
        </w:tc>
        <w:tc>
          <w:tcPr>
            <w:tcW w:w="1134" w:type="dxa"/>
            <w:vAlign w:val="center"/>
          </w:tcPr>
          <w:p>
            <w:pPr>
              <w:pStyle w:val="12"/>
            </w:pPr>
            <w:r>
              <w:t>88.40</w:t>
            </w:r>
          </w:p>
        </w:tc>
        <w:tc>
          <w:tcPr>
            <w:tcW w:w="1134" w:type="dxa"/>
            <w:vAlign w:val="center"/>
          </w:tcPr>
          <w:p>
            <w:pPr>
              <w:pStyle w:val="12"/>
            </w:pPr>
            <w:r>
              <w:t>88.40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88.40</w:t>
            </w:r>
          </w:p>
        </w:tc>
        <w:tc>
          <w:tcPr>
            <w:tcW w:w="1134" w:type="dxa"/>
            <w:vAlign w:val="center"/>
          </w:tcPr>
          <w:p>
            <w:pPr>
              <w:pStyle w:val="12"/>
            </w:pPr>
            <w:r>
              <w:t>88.40</w:t>
            </w:r>
          </w:p>
        </w:tc>
        <w:tc>
          <w:tcPr>
            <w:tcW w:w="1134" w:type="dxa"/>
            <w:vAlign w:val="center"/>
          </w:tcPr>
          <w:p>
            <w:pPr>
              <w:pStyle w:val="12"/>
            </w:pPr>
            <w:r>
              <w:t>88.40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31.63</w:t>
            </w:r>
          </w:p>
        </w:tc>
        <w:tc>
          <w:tcPr>
            <w:tcW w:w="1134" w:type="dxa"/>
            <w:vAlign w:val="center"/>
          </w:tcPr>
          <w:p>
            <w:pPr>
              <w:pStyle w:val="12"/>
            </w:pPr>
            <w:r>
              <w:t>31.63</w:t>
            </w:r>
          </w:p>
        </w:tc>
        <w:tc>
          <w:tcPr>
            <w:tcW w:w="1134" w:type="dxa"/>
            <w:vAlign w:val="center"/>
          </w:tcPr>
          <w:p>
            <w:pPr>
              <w:pStyle w:val="12"/>
            </w:pPr>
            <w:r>
              <w:t>31.63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23.77</w:t>
            </w:r>
          </w:p>
        </w:tc>
        <w:tc>
          <w:tcPr>
            <w:tcW w:w="1134" w:type="dxa"/>
            <w:vAlign w:val="center"/>
          </w:tcPr>
          <w:p>
            <w:pPr>
              <w:pStyle w:val="12"/>
            </w:pPr>
            <w:r>
              <w:t>23.77</w:t>
            </w:r>
          </w:p>
        </w:tc>
        <w:tc>
          <w:tcPr>
            <w:tcW w:w="1134" w:type="dxa"/>
            <w:vAlign w:val="center"/>
          </w:tcPr>
          <w:p>
            <w:pPr>
              <w:pStyle w:val="12"/>
            </w:pPr>
            <w:r>
              <w:t>23.77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12.10</w:t>
            </w:r>
          </w:p>
        </w:tc>
        <w:tc>
          <w:tcPr>
            <w:tcW w:w="1134" w:type="dxa"/>
            <w:vAlign w:val="center"/>
          </w:tcPr>
          <w:p>
            <w:pPr>
              <w:pStyle w:val="12"/>
            </w:pPr>
            <w:r>
              <w:t>12.10</w:t>
            </w:r>
          </w:p>
        </w:tc>
        <w:tc>
          <w:tcPr>
            <w:tcW w:w="1134" w:type="dxa"/>
            <w:vAlign w:val="center"/>
          </w:tcPr>
          <w:p>
            <w:pPr>
              <w:pStyle w:val="12"/>
            </w:pPr>
            <w:r>
              <w:t>12.10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12.10</w:t>
            </w:r>
          </w:p>
        </w:tc>
        <w:tc>
          <w:tcPr>
            <w:tcW w:w="1134" w:type="dxa"/>
            <w:vAlign w:val="center"/>
          </w:tcPr>
          <w:p>
            <w:pPr>
              <w:pStyle w:val="12"/>
            </w:pPr>
            <w:r>
              <w:t>12.10</w:t>
            </w:r>
          </w:p>
        </w:tc>
        <w:tc>
          <w:tcPr>
            <w:tcW w:w="1134" w:type="dxa"/>
            <w:vAlign w:val="center"/>
          </w:tcPr>
          <w:p>
            <w:pPr>
              <w:pStyle w:val="12"/>
            </w:pPr>
            <w:r>
              <w:t>12.10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9.15</w:t>
            </w:r>
          </w:p>
        </w:tc>
        <w:tc>
          <w:tcPr>
            <w:tcW w:w="1134" w:type="dxa"/>
            <w:vAlign w:val="center"/>
          </w:tcPr>
          <w:p>
            <w:pPr>
              <w:pStyle w:val="12"/>
            </w:pPr>
            <w:r>
              <w:t>9.15</w:t>
            </w:r>
          </w:p>
        </w:tc>
        <w:tc>
          <w:tcPr>
            <w:tcW w:w="1134" w:type="dxa"/>
            <w:vAlign w:val="center"/>
          </w:tcPr>
          <w:p>
            <w:pPr>
              <w:pStyle w:val="12"/>
            </w:pPr>
            <w:r>
              <w:t>9.15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395.47</w:t>
            </w:r>
          </w:p>
        </w:tc>
        <w:tc>
          <w:tcPr>
            <w:tcW w:w="1134" w:type="dxa"/>
            <w:vAlign w:val="center"/>
          </w:tcPr>
          <w:p>
            <w:pPr>
              <w:pStyle w:val="12"/>
            </w:pPr>
            <w:r>
              <w:t>311.58</w:t>
            </w:r>
          </w:p>
        </w:tc>
        <w:tc>
          <w:tcPr>
            <w:tcW w:w="1134" w:type="dxa"/>
            <w:vAlign w:val="center"/>
          </w:tcPr>
          <w:p>
            <w:pPr>
              <w:pStyle w:val="12"/>
            </w:pPr>
            <w:r>
              <w:t>303.58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w:t>
            </w:r>
          </w:p>
        </w:tc>
        <w:tc>
          <w:tcPr>
            <w:tcW w:w="1134" w:type="dxa"/>
            <w:vAlign w:val="center"/>
          </w:tcPr>
          <w:p>
            <w:pPr>
              <w:pStyle w:val="12"/>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300.75</w:t>
            </w:r>
          </w:p>
        </w:tc>
        <w:tc>
          <w:tcPr>
            <w:tcW w:w="1134" w:type="dxa"/>
            <w:vAlign w:val="center"/>
          </w:tcPr>
          <w:p>
            <w:pPr>
              <w:pStyle w:val="12"/>
            </w:pPr>
            <w:r>
              <w:t>296.34</w:t>
            </w:r>
          </w:p>
        </w:tc>
        <w:tc>
          <w:tcPr>
            <w:tcW w:w="1134" w:type="dxa"/>
            <w:vAlign w:val="center"/>
          </w:tcPr>
          <w:p>
            <w:pPr>
              <w:pStyle w:val="12"/>
            </w:pPr>
            <w:r>
              <w:t>288.34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w:t>
            </w:r>
          </w:p>
        </w:tc>
        <w:tc>
          <w:tcPr>
            <w:tcW w:w="1134" w:type="dxa"/>
            <w:vAlign w:val="center"/>
          </w:tcPr>
          <w:p>
            <w:pPr>
              <w:pStyle w:val="12"/>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220.79</w:t>
            </w:r>
          </w:p>
        </w:tc>
        <w:tc>
          <w:tcPr>
            <w:tcW w:w="1134" w:type="dxa"/>
            <w:vAlign w:val="center"/>
          </w:tcPr>
          <w:p>
            <w:pPr>
              <w:pStyle w:val="12"/>
            </w:pPr>
            <w:r>
              <w:t>220.79</w:t>
            </w:r>
          </w:p>
        </w:tc>
        <w:tc>
          <w:tcPr>
            <w:tcW w:w="1134" w:type="dxa"/>
            <w:vAlign w:val="center"/>
          </w:tcPr>
          <w:p>
            <w:pPr>
              <w:pStyle w:val="12"/>
            </w:pPr>
            <w:r>
              <w:t>220.79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2130102</w:t>
            </w:r>
          </w:p>
        </w:tc>
        <w:tc>
          <w:tcPr>
            <w:tcW w:w="1559" w:type="dxa"/>
            <w:vAlign w:val="center"/>
          </w:tcPr>
          <w:p>
            <w:pPr>
              <w:pStyle w:val="13"/>
            </w:pPr>
            <w:r>
              <w:t>一般行政管理事务</w:t>
            </w:r>
          </w:p>
        </w:tc>
        <w:tc>
          <w:tcPr>
            <w:tcW w:w="1134" w:type="dxa"/>
            <w:vAlign w:val="center"/>
          </w:tcPr>
          <w:p>
            <w:pPr>
              <w:pStyle w:val="12"/>
            </w:pPr>
            <w:r>
              <w:t>12.50</w:t>
            </w:r>
          </w:p>
        </w:tc>
        <w:tc>
          <w:tcPr>
            <w:tcW w:w="1134" w:type="dxa"/>
            <w:vAlign w:val="center"/>
          </w:tcPr>
          <w:p>
            <w:pPr>
              <w:pStyle w:val="12"/>
            </w:pPr>
            <w:r>
              <w:t>12.50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0.10</w:t>
            </w:r>
          </w:p>
        </w:tc>
        <w:tc>
          <w:tcPr>
            <w:tcW w:w="1134" w:type="dxa"/>
            <w:vAlign w:val="center"/>
          </w:tcPr>
          <w:p>
            <w:pPr>
              <w:pStyle w:val="12"/>
            </w:pPr>
            <w:r>
              <w:t>0.10</w:t>
            </w:r>
          </w:p>
        </w:tc>
        <w:tc>
          <w:tcPr>
            <w:tcW w:w="1134" w:type="dxa"/>
            <w:vAlign w:val="center"/>
          </w:tcPr>
          <w:p>
            <w:pPr>
              <w:pStyle w:val="12"/>
            </w:pPr>
            <w:r>
              <w:t>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2130124</w:t>
            </w:r>
          </w:p>
        </w:tc>
        <w:tc>
          <w:tcPr>
            <w:tcW w:w="1559" w:type="dxa"/>
            <w:vAlign w:val="center"/>
          </w:tcPr>
          <w:p>
            <w:pPr>
              <w:pStyle w:val="13"/>
            </w:pPr>
            <w:r>
              <w:t>农村合作经济</w:t>
            </w:r>
          </w:p>
        </w:tc>
        <w:tc>
          <w:tcPr>
            <w:tcW w:w="1134" w:type="dxa"/>
            <w:vAlign w:val="center"/>
          </w:tcPr>
          <w:p>
            <w:pPr>
              <w:pStyle w:val="12"/>
            </w:pPr>
            <w:r>
              <w:t>54.95</w:t>
            </w:r>
          </w:p>
        </w:tc>
        <w:tc>
          <w:tcPr>
            <w:tcW w:w="1134" w:type="dxa"/>
            <w:vAlign w:val="center"/>
          </w:tcPr>
          <w:p>
            <w:pPr>
              <w:pStyle w:val="12"/>
            </w:pPr>
            <w:r>
              <w:t>54.95</w:t>
            </w:r>
          </w:p>
        </w:tc>
        <w:tc>
          <w:tcPr>
            <w:tcW w:w="1134" w:type="dxa"/>
            <w:vAlign w:val="center"/>
          </w:tcPr>
          <w:p>
            <w:pPr>
              <w:pStyle w:val="12"/>
            </w:pPr>
            <w:r>
              <w:t>54.95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2130202</w:t>
            </w:r>
          </w:p>
        </w:tc>
        <w:tc>
          <w:tcPr>
            <w:tcW w:w="1559" w:type="dxa"/>
            <w:vAlign w:val="center"/>
          </w:tcPr>
          <w:p>
            <w:pPr>
              <w:pStyle w:val="13"/>
            </w:pPr>
            <w:r>
              <w:t>一般行政管理事务</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92.73</w:t>
            </w:r>
          </w:p>
        </w:tc>
        <w:tc>
          <w:tcPr>
            <w:tcW w:w="1134" w:type="dxa"/>
            <w:vAlign w:val="center"/>
          </w:tcPr>
          <w:p>
            <w:pPr>
              <w:pStyle w:val="12"/>
            </w:pPr>
            <w:r>
              <w:t>14.24</w:t>
            </w:r>
          </w:p>
        </w:tc>
        <w:tc>
          <w:tcPr>
            <w:tcW w:w="1134" w:type="dxa"/>
            <w:vAlign w:val="center"/>
          </w:tcPr>
          <w:p>
            <w:pPr>
              <w:pStyle w:val="12"/>
            </w:pPr>
            <w:r>
              <w:t>14.24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2130304</w:t>
            </w:r>
          </w:p>
        </w:tc>
        <w:tc>
          <w:tcPr>
            <w:tcW w:w="1559" w:type="dxa"/>
            <w:vAlign w:val="center"/>
          </w:tcPr>
          <w:p>
            <w:pPr>
              <w:pStyle w:val="13"/>
            </w:pPr>
            <w:r>
              <w:t>水利行业业务管理</w:t>
            </w:r>
          </w:p>
        </w:tc>
        <w:tc>
          <w:tcPr>
            <w:tcW w:w="1134" w:type="dxa"/>
            <w:vAlign w:val="center"/>
          </w:tcPr>
          <w:p>
            <w:pPr>
              <w:pStyle w:val="12"/>
            </w:pPr>
            <w:r>
              <w:t>17.50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5.62</w:t>
            </w:r>
          </w:p>
        </w:tc>
        <w:tc>
          <w:tcPr>
            <w:tcW w:w="1134" w:type="dxa"/>
            <w:vAlign w:val="center"/>
          </w:tcPr>
          <w:p>
            <w:pPr>
              <w:pStyle w:val="12"/>
            </w:pPr>
            <w:r>
              <w:t>3.74</w:t>
            </w:r>
          </w:p>
        </w:tc>
        <w:tc>
          <w:tcPr>
            <w:tcW w:w="1134" w:type="dxa"/>
            <w:vAlign w:val="center"/>
          </w:tcPr>
          <w:p>
            <w:pPr>
              <w:pStyle w:val="12"/>
            </w:pPr>
            <w:r>
              <w:t>3.74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2130319</w:t>
            </w:r>
          </w:p>
        </w:tc>
        <w:tc>
          <w:tcPr>
            <w:tcW w:w="1559" w:type="dxa"/>
            <w:vAlign w:val="center"/>
          </w:tcPr>
          <w:p>
            <w:pPr>
              <w:pStyle w:val="13"/>
            </w:pPr>
            <w:r>
              <w:t>江河湖库水系综合整治</w:t>
            </w:r>
          </w:p>
        </w:tc>
        <w:tc>
          <w:tcPr>
            <w:tcW w:w="1134" w:type="dxa"/>
            <w:vAlign w:val="center"/>
          </w:tcPr>
          <w:p>
            <w:pPr>
              <w:pStyle w:val="12"/>
            </w:pPr>
            <w:r>
              <w:t>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67.85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2130803</w:t>
            </w:r>
          </w:p>
        </w:tc>
        <w:tc>
          <w:tcPr>
            <w:tcW w:w="1559" w:type="dxa"/>
            <w:vAlign w:val="center"/>
          </w:tcPr>
          <w:p>
            <w:pPr>
              <w:pStyle w:val="13"/>
            </w:pPr>
            <w:r>
              <w:t>农业保险保费补贴</w:t>
            </w:r>
          </w:p>
        </w:tc>
        <w:tc>
          <w:tcPr>
            <w:tcW w:w="1134" w:type="dxa"/>
            <w:vAlign w:val="center"/>
          </w:tcPr>
          <w:p>
            <w:pPr>
              <w:pStyle w:val="12"/>
            </w:pPr>
            <w:r>
              <w:t>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r>
              <w:t>22.48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548.45</w:t>
            </w:r>
          </w:p>
        </w:tc>
        <w:tc>
          <w:tcPr>
            <w:tcW w:w="1361" w:type="dxa"/>
            <w:vAlign w:val="center"/>
          </w:tcPr>
          <w:p>
            <w:pPr>
              <w:pStyle w:val="16"/>
            </w:pPr>
            <w:r>
              <w:t>343.77</w:t>
            </w:r>
          </w:p>
        </w:tc>
        <w:tc>
          <w:tcPr>
            <w:tcW w:w="1361" w:type="dxa"/>
            <w:vAlign w:val="center"/>
          </w:tcPr>
          <w:p>
            <w:pPr>
              <w:pStyle w:val="16"/>
            </w:pPr>
            <w:r>
              <w:t>204.68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88.40</w:t>
            </w:r>
          </w:p>
        </w:tc>
        <w:tc>
          <w:tcPr>
            <w:tcW w:w="1361" w:type="dxa"/>
            <w:vAlign w:val="center"/>
          </w:tcPr>
          <w:p>
            <w:pPr>
              <w:pStyle w:val="12"/>
            </w:pPr>
            <w:r>
              <w:t>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88.40</w:t>
            </w:r>
          </w:p>
        </w:tc>
        <w:tc>
          <w:tcPr>
            <w:tcW w:w="1361" w:type="dxa"/>
            <w:vAlign w:val="center"/>
          </w:tcPr>
          <w:p>
            <w:pPr>
              <w:pStyle w:val="12"/>
            </w:pPr>
            <w:r>
              <w:t>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31.63</w:t>
            </w:r>
          </w:p>
        </w:tc>
        <w:tc>
          <w:tcPr>
            <w:tcW w:w="1361" w:type="dxa"/>
            <w:vAlign w:val="center"/>
          </w:tcPr>
          <w:p>
            <w:pPr>
              <w:pStyle w:val="12"/>
            </w:pPr>
            <w:r>
              <w:t>31.63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23.77</w:t>
            </w:r>
          </w:p>
        </w:tc>
        <w:tc>
          <w:tcPr>
            <w:tcW w:w="1361" w:type="dxa"/>
            <w:vAlign w:val="center"/>
          </w:tcPr>
          <w:p>
            <w:pPr>
              <w:pStyle w:val="12"/>
            </w:pPr>
            <w:r>
              <w:t>23.77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33.00</w:t>
            </w: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12.10</w:t>
            </w:r>
          </w:p>
        </w:tc>
        <w:tc>
          <w:tcPr>
            <w:tcW w:w="1361" w:type="dxa"/>
            <w:vAlign w:val="center"/>
          </w:tcPr>
          <w:p>
            <w:pPr>
              <w:pStyle w:val="12"/>
            </w:pPr>
            <w:r>
              <w:t>12.10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12.10</w:t>
            </w:r>
          </w:p>
        </w:tc>
        <w:tc>
          <w:tcPr>
            <w:tcW w:w="1361" w:type="dxa"/>
            <w:vAlign w:val="center"/>
          </w:tcPr>
          <w:p>
            <w:pPr>
              <w:pStyle w:val="12"/>
            </w:pPr>
            <w:r>
              <w:t>12.10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9.15</w:t>
            </w:r>
          </w:p>
        </w:tc>
        <w:tc>
          <w:tcPr>
            <w:tcW w:w="1361" w:type="dxa"/>
            <w:vAlign w:val="center"/>
          </w:tcPr>
          <w:p>
            <w:pPr>
              <w:pStyle w:val="12"/>
            </w:pPr>
            <w:r>
              <w:t>9.15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395.47</w:t>
            </w:r>
          </w:p>
        </w:tc>
        <w:tc>
          <w:tcPr>
            <w:tcW w:w="1361" w:type="dxa"/>
            <w:vAlign w:val="center"/>
          </w:tcPr>
          <w:p>
            <w:pPr>
              <w:pStyle w:val="12"/>
            </w:pPr>
            <w:r>
              <w:t>220.79</w:t>
            </w:r>
          </w:p>
        </w:tc>
        <w:tc>
          <w:tcPr>
            <w:tcW w:w="1361" w:type="dxa"/>
            <w:vAlign w:val="center"/>
          </w:tcPr>
          <w:p>
            <w:pPr>
              <w:pStyle w:val="12"/>
            </w:pPr>
            <w:r>
              <w:t>174.68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300.75</w:t>
            </w:r>
          </w:p>
        </w:tc>
        <w:tc>
          <w:tcPr>
            <w:tcW w:w="1361" w:type="dxa"/>
            <w:vAlign w:val="center"/>
          </w:tcPr>
          <w:p>
            <w:pPr>
              <w:pStyle w:val="12"/>
            </w:pPr>
            <w:r>
              <w:t>220.79</w:t>
            </w:r>
          </w:p>
        </w:tc>
        <w:tc>
          <w:tcPr>
            <w:tcW w:w="1361" w:type="dxa"/>
            <w:vAlign w:val="center"/>
          </w:tcPr>
          <w:p>
            <w:pPr>
              <w:pStyle w:val="12"/>
            </w:pPr>
            <w:r>
              <w:t>79.96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220.79</w:t>
            </w:r>
          </w:p>
        </w:tc>
        <w:tc>
          <w:tcPr>
            <w:tcW w:w="1361" w:type="dxa"/>
            <w:vAlign w:val="center"/>
          </w:tcPr>
          <w:p>
            <w:pPr>
              <w:pStyle w:val="12"/>
            </w:pPr>
            <w:r>
              <w:t>220.79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2130102</w:t>
            </w:r>
          </w:p>
        </w:tc>
        <w:tc>
          <w:tcPr>
            <w:tcW w:w="4535" w:type="dxa"/>
            <w:vAlign w:val="center"/>
          </w:tcPr>
          <w:p>
            <w:pPr>
              <w:pStyle w:val="13"/>
            </w:pPr>
            <w:r>
              <w:t>一般行政管理事务</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2130108</w:t>
            </w:r>
          </w:p>
        </w:tc>
        <w:tc>
          <w:tcPr>
            <w:tcW w:w="4535" w:type="dxa"/>
            <w:vAlign w:val="center"/>
          </w:tcPr>
          <w:p>
            <w:pPr>
              <w:pStyle w:val="13"/>
            </w:pPr>
            <w:r>
              <w:t>病虫害控制</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2130109</w:t>
            </w:r>
          </w:p>
        </w:tc>
        <w:tc>
          <w:tcPr>
            <w:tcW w:w="4535" w:type="dxa"/>
            <w:vAlign w:val="center"/>
          </w:tcPr>
          <w:p>
            <w:pPr>
              <w:pStyle w:val="13"/>
            </w:pPr>
            <w:r>
              <w:t>农产品质量安全</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2130124</w:t>
            </w:r>
          </w:p>
        </w:tc>
        <w:tc>
          <w:tcPr>
            <w:tcW w:w="4535" w:type="dxa"/>
            <w:vAlign w:val="center"/>
          </w:tcPr>
          <w:p>
            <w:pPr>
              <w:pStyle w:val="13"/>
            </w:pPr>
            <w:r>
              <w:t>农村合作经济</w:t>
            </w:r>
          </w:p>
        </w:tc>
        <w:tc>
          <w:tcPr>
            <w:tcW w:w="1361" w:type="dxa"/>
            <w:vAlign w:val="center"/>
          </w:tcPr>
          <w:p>
            <w:pPr>
              <w:pStyle w:val="12"/>
            </w:pPr>
            <w:r>
              <w:t>54.95</w:t>
            </w:r>
          </w:p>
        </w:tc>
        <w:tc>
          <w:tcPr>
            <w:tcW w:w="1361" w:type="dxa"/>
            <w:vAlign w:val="center"/>
          </w:tcPr>
          <w:p>
            <w:pPr>
              <w:pStyle w:val="12"/>
            </w:pPr>
          </w:p>
        </w:tc>
        <w:tc>
          <w:tcPr>
            <w:tcW w:w="1361" w:type="dxa"/>
            <w:vAlign w:val="center"/>
          </w:tcPr>
          <w:p>
            <w:pPr>
              <w:pStyle w:val="12"/>
            </w:pPr>
            <w:r>
              <w:t>54.95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4.41</w:t>
            </w:r>
          </w:p>
        </w:tc>
        <w:tc>
          <w:tcPr>
            <w:tcW w:w="1361" w:type="dxa"/>
            <w:vAlign w:val="center"/>
          </w:tcPr>
          <w:p>
            <w:pPr>
              <w:pStyle w:val="12"/>
            </w:pPr>
          </w:p>
        </w:tc>
        <w:tc>
          <w:tcPr>
            <w:tcW w:w="1361" w:type="dxa"/>
            <w:vAlign w:val="center"/>
          </w:tcPr>
          <w:p>
            <w:pPr>
              <w:pStyle w:val="12"/>
            </w:pPr>
            <w:r>
              <w:t>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2130202</w:t>
            </w:r>
          </w:p>
        </w:tc>
        <w:tc>
          <w:tcPr>
            <w:tcW w:w="4535" w:type="dxa"/>
            <w:vAlign w:val="center"/>
          </w:tcPr>
          <w:p>
            <w:pPr>
              <w:pStyle w:val="13"/>
            </w:pPr>
            <w:r>
              <w:t>一般行政管理事务</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92.73</w:t>
            </w:r>
          </w:p>
        </w:tc>
        <w:tc>
          <w:tcPr>
            <w:tcW w:w="1361" w:type="dxa"/>
            <w:vAlign w:val="center"/>
          </w:tcPr>
          <w:p>
            <w:pPr>
              <w:pStyle w:val="12"/>
            </w:pPr>
          </w:p>
        </w:tc>
        <w:tc>
          <w:tcPr>
            <w:tcW w:w="1361" w:type="dxa"/>
            <w:vAlign w:val="center"/>
          </w:tcPr>
          <w:p>
            <w:pPr>
              <w:pStyle w:val="12"/>
            </w:pPr>
            <w:r>
              <w:t>92.73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5.62</w:t>
            </w:r>
          </w:p>
        </w:tc>
        <w:tc>
          <w:tcPr>
            <w:tcW w:w="1361" w:type="dxa"/>
            <w:vAlign w:val="center"/>
          </w:tcPr>
          <w:p>
            <w:pPr>
              <w:pStyle w:val="12"/>
            </w:pPr>
          </w:p>
        </w:tc>
        <w:tc>
          <w:tcPr>
            <w:tcW w:w="1361" w:type="dxa"/>
            <w:vAlign w:val="center"/>
          </w:tcPr>
          <w:p>
            <w:pPr>
              <w:pStyle w:val="12"/>
            </w:pPr>
            <w:r>
              <w:t>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0.76</w:t>
            </w:r>
          </w:p>
        </w:tc>
        <w:tc>
          <w:tcPr>
            <w:tcW w:w="1361" w:type="dxa"/>
            <w:vAlign w:val="center"/>
          </w:tcPr>
          <w:p>
            <w:pPr>
              <w:pStyle w:val="12"/>
            </w:pPr>
          </w:p>
        </w:tc>
        <w:tc>
          <w:tcPr>
            <w:tcW w:w="1361" w:type="dxa"/>
            <w:vAlign w:val="center"/>
          </w:tcPr>
          <w:p>
            <w:pPr>
              <w:pStyle w:val="12"/>
            </w:pPr>
            <w:r>
              <w:t>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67.85</w:t>
            </w:r>
          </w:p>
        </w:tc>
        <w:tc>
          <w:tcPr>
            <w:tcW w:w="1361" w:type="dxa"/>
            <w:vAlign w:val="center"/>
          </w:tcPr>
          <w:p>
            <w:pPr>
              <w:pStyle w:val="12"/>
            </w:pPr>
          </w:p>
        </w:tc>
        <w:tc>
          <w:tcPr>
            <w:tcW w:w="1361" w:type="dxa"/>
            <w:vAlign w:val="center"/>
          </w:tcPr>
          <w:p>
            <w:pPr>
              <w:pStyle w:val="12"/>
            </w:pPr>
            <w:r>
              <w:t>67.85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0.99</w:t>
            </w:r>
          </w:p>
        </w:tc>
        <w:tc>
          <w:tcPr>
            <w:tcW w:w="1361" w:type="dxa"/>
            <w:vAlign w:val="center"/>
          </w:tcPr>
          <w:p>
            <w:pPr>
              <w:pStyle w:val="12"/>
            </w:pPr>
          </w:p>
        </w:tc>
        <w:tc>
          <w:tcPr>
            <w:tcW w:w="1361" w:type="dxa"/>
            <w:vAlign w:val="center"/>
          </w:tcPr>
          <w:p>
            <w:pPr>
              <w:pStyle w:val="12"/>
            </w:pPr>
            <w:r>
              <w:t>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2130803</w:t>
            </w:r>
          </w:p>
        </w:tc>
        <w:tc>
          <w:tcPr>
            <w:tcW w:w="4535" w:type="dxa"/>
            <w:vAlign w:val="center"/>
          </w:tcPr>
          <w:p>
            <w:pPr>
              <w:pStyle w:val="13"/>
            </w:pPr>
            <w:r>
              <w:t>农业保险保费补贴</w:t>
            </w:r>
          </w:p>
        </w:tc>
        <w:tc>
          <w:tcPr>
            <w:tcW w:w="1361" w:type="dxa"/>
            <w:vAlign w:val="center"/>
          </w:tcPr>
          <w:p>
            <w:pPr>
              <w:pStyle w:val="12"/>
            </w:pPr>
            <w:r>
              <w:t>0.99</w:t>
            </w:r>
          </w:p>
        </w:tc>
        <w:tc>
          <w:tcPr>
            <w:tcW w:w="1361" w:type="dxa"/>
            <w:vAlign w:val="center"/>
          </w:tcPr>
          <w:p>
            <w:pPr>
              <w:pStyle w:val="12"/>
            </w:pPr>
          </w:p>
        </w:tc>
        <w:tc>
          <w:tcPr>
            <w:tcW w:w="1361" w:type="dxa"/>
            <w:vAlign w:val="center"/>
          </w:tcPr>
          <w:p>
            <w:pPr>
              <w:pStyle w:val="12"/>
            </w:pPr>
            <w:r>
              <w:t>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22.48</w:t>
            </w:r>
          </w:p>
        </w:tc>
        <w:tc>
          <w:tcPr>
            <w:tcW w:w="1361" w:type="dxa"/>
            <w:vAlign w:val="center"/>
          </w:tcPr>
          <w:p>
            <w:pPr>
              <w:pStyle w:val="12"/>
            </w:pPr>
            <w:r>
              <w:t>22.48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22.48</w:t>
            </w:r>
          </w:p>
        </w:tc>
        <w:tc>
          <w:tcPr>
            <w:tcW w:w="1361" w:type="dxa"/>
            <w:vAlign w:val="center"/>
          </w:tcPr>
          <w:p>
            <w:pPr>
              <w:pStyle w:val="12"/>
            </w:pPr>
            <w:r>
              <w:t>22.48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22.48</w:t>
            </w:r>
          </w:p>
        </w:tc>
        <w:tc>
          <w:tcPr>
            <w:tcW w:w="1361" w:type="dxa"/>
            <w:vAlign w:val="center"/>
          </w:tcPr>
          <w:p>
            <w:pPr>
              <w:pStyle w:val="12"/>
            </w:pPr>
            <w:r>
              <w:t>22.48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456.56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88.40</w:t>
            </w:r>
          </w:p>
        </w:tc>
        <w:tc>
          <w:tcPr>
            <w:tcW w:w="1474" w:type="dxa"/>
            <w:vAlign w:val="center"/>
          </w:tcPr>
          <w:p>
            <w:pPr>
              <w:pStyle w:val="12"/>
            </w:pPr>
            <w:r>
              <w:t>88.40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12.10</w:t>
            </w:r>
          </w:p>
        </w:tc>
        <w:tc>
          <w:tcPr>
            <w:tcW w:w="1474" w:type="dxa"/>
            <w:vAlign w:val="center"/>
          </w:tcPr>
          <w:p>
            <w:pPr>
              <w:pStyle w:val="12"/>
            </w:pPr>
            <w:r>
              <w:t>12.10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387.47</w:t>
            </w:r>
          </w:p>
        </w:tc>
        <w:tc>
          <w:tcPr>
            <w:tcW w:w="1474" w:type="dxa"/>
            <w:vAlign w:val="center"/>
          </w:tcPr>
          <w:p>
            <w:pPr>
              <w:pStyle w:val="12"/>
            </w:pPr>
            <w:r>
              <w:t>387.47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22.48</w:t>
            </w:r>
          </w:p>
        </w:tc>
        <w:tc>
          <w:tcPr>
            <w:tcW w:w="1474" w:type="dxa"/>
            <w:vAlign w:val="center"/>
          </w:tcPr>
          <w:p>
            <w:pPr>
              <w:pStyle w:val="12"/>
            </w:pPr>
            <w:r>
              <w:t>22.48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456.56</w:t>
            </w:r>
          </w:p>
        </w:tc>
        <w:tc>
          <w:tcPr>
            <w:tcW w:w="3402" w:type="dxa"/>
            <w:vAlign w:val="center"/>
          </w:tcPr>
          <w:p>
            <w:pPr>
              <w:pStyle w:val="15"/>
            </w:pPr>
            <w:r>
              <w:t>本年支出合计</w:t>
            </w:r>
          </w:p>
        </w:tc>
        <w:tc>
          <w:tcPr>
            <w:tcW w:w="1474" w:type="dxa"/>
            <w:vAlign w:val="center"/>
          </w:tcPr>
          <w:p>
            <w:pPr>
              <w:pStyle w:val="16"/>
            </w:pPr>
            <w:r>
              <w:t>540.45</w:t>
            </w:r>
          </w:p>
        </w:tc>
        <w:tc>
          <w:tcPr>
            <w:tcW w:w="1474" w:type="dxa"/>
            <w:vAlign w:val="center"/>
          </w:tcPr>
          <w:p>
            <w:pPr>
              <w:pStyle w:val="16"/>
            </w:pPr>
            <w:r>
              <w:t>540.45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83.89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83.89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540.45</w:t>
            </w:r>
          </w:p>
        </w:tc>
        <w:tc>
          <w:tcPr>
            <w:tcW w:w="3402" w:type="dxa"/>
            <w:vAlign w:val="center"/>
          </w:tcPr>
          <w:p>
            <w:pPr>
              <w:pStyle w:val="15"/>
            </w:pPr>
            <w:r>
              <w:t>支出总计</w:t>
            </w:r>
          </w:p>
        </w:tc>
        <w:tc>
          <w:tcPr>
            <w:tcW w:w="1474" w:type="dxa"/>
            <w:vAlign w:val="center"/>
          </w:tcPr>
          <w:p>
            <w:pPr>
              <w:pStyle w:val="16"/>
            </w:pPr>
            <w:r>
              <w:t>540.45</w:t>
            </w:r>
          </w:p>
        </w:tc>
        <w:tc>
          <w:tcPr>
            <w:tcW w:w="1474" w:type="dxa"/>
            <w:vAlign w:val="center"/>
          </w:tcPr>
          <w:p>
            <w:pPr>
              <w:pStyle w:val="16"/>
            </w:pPr>
            <w:r>
              <w:t>540.45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540.45</w:t>
            </w:r>
          </w:p>
        </w:tc>
        <w:tc>
          <w:tcPr>
            <w:tcW w:w="2551" w:type="dxa"/>
            <w:vAlign w:val="center"/>
          </w:tcPr>
          <w:p>
            <w:pPr>
              <w:pStyle w:val="16"/>
            </w:pPr>
            <w:r>
              <w:t>343.77</w:t>
            </w:r>
          </w:p>
        </w:tc>
        <w:tc>
          <w:tcPr>
            <w:tcW w:w="2551" w:type="dxa"/>
            <w:vAlign w:val="center"/>
          </w:tcPr>
          <w:p>
            <w:pPr>
              <w:pStyle w:val="16"/>
            </w:pPr>
            <w:r>
              <w:t>196.68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88.40</w:t>
            </w:r>
          </w:p>
        </w:tc>
        <w:tc>
          <w:tcPr>
            <w:tcW w:w="2551" w:type="dxa"/>
            <w:vAlign w:val="center"/>
          </w:tcPr>
          <w:p>
            <w:pPr>
              <w:pStyle w:val="12"/>
            </w:pPr>
            <w:r>
              <w:t>88.40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88.40</w:t>
            </w:r>
          </w:p>
        </w:tc>
        <w:tc>
          <w:tcPr>
            <w:tcW w:w="2551" w:type="dxa"/>
            <w:vAlign w:val="center"/>
          </w:tcPr>
          <w:p>
            <w:pPr>
              <w:pStyle w:val="12"/>
            </w:pPr>
            <w:r>
              <w:t>88.40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31.63</w:t>
            </w:r>
          </w:p>
        </w:tc>
        <w:tc>
          <w:tcPr>
            <w:tcW w:w="2551" w:type="dxa"/>
            <w:vAlign w:val="center"/>
          </w:tcPr>
          <w:p>
            <w:pPr>
              <w:pStyle w:val="12"/>
            </w:pPr>
            <w:r>
              <w:t>31.63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23.77</w:t>
            </w:r>
          </w:p>
        </w:tc>
        <w:tc>
          <w:tcPr>
            <w:tcW w:w="2551" w:type="dxa"/>
            <w:vAlign w:val="center"/>
          </w:tcPr>
          <w:p>
            <w:pPr>
              <w:pStyle w:val="12"/>
            </w:pPr>
            <w:r>
              <w:t>23.77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12.10</w:t>
            </w:r>
          </w:p>
        </w:tc>
        <w:tc>
          <w:tcPr>
            <w:tcW w:w="2551" w:type="dxa"/>
            <w:vAlign w:val="center"/>
          </w:tcPr>
          <w:p>
            <w:pPr>
              <w:pStyle w:val="12"/>
            </w:pPr>
            <w:r>
              <w:t>12.10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12.10</w:t>
            </w:r>
          </w:p>
        </w:tc>
        <w:tc>
          <w:tcPr>
            <w:tcW w:w="2551" w:type="dxa"/>
            <w:vAlign w:val="center"/>
          </w:tcPr>
          <w:p>
            <w:pPr>
              <w:pStyle w:val="12"/>
            </w:pPr>
            <w:r>
              <w:t>12.10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9.15</w:t>
            </w:r>
          </w:p>
        </w:tc>
        <w:tc>
          <w:tcPr>
            <w:tcW w:w="2551" w:type="dxa"/>
            <w:vAlign w:val="center"/>
          </w:tcPr>
          <w:p>
            <w:pPr>
              <w:pStyle w:val="12"/>
            </w:pPr>
            <w:r>
              <w:t>9.15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387.47</w:t>
            </w:r>
          </w:p>
        </w:tc>
        <w:tc>
          <w:tcPr>
            <w:tcW w:w="2551" w:type="dxa"/>
            <w:vAlign w:val="center"/>
          </w:tcPr>
          <w:p>
            <w:pPr>
              <w:pStyle w:val="12"/>
            </w:pPr>
            <w:r>
              <w:t>220.79</w:t>
            </w:r>
          </w:p>
        </w:tc>
        <w:tc>
          <w:tcPr>
            <w:tcW w:w="2551" w:type="dxa"/>
            <w:vAlign w:val="center"/>
          </w:tcPr>
          <w:p>
            <w:pPr>
              <w:pStyle w:val="12"/>
            </w:pPr>
            <w:r>
              <w:t>166.68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292.75</w:t>
            </w:r>
          </w:p>
        </w:tc>
        <w:tc>
          <w:tcPr>
            <w:tcW w:w="2551" w:type="dxa"/>
            <w:vAlign w:val="center"/>
          </w:tcPr>
          <w:p>
            <w:pPr>
              <w:pStyle w:val="12"/>
            </w:pPr>
            <w:r>
              <w:t>220.79</w:t>
            </w:r>
          </w:p>
        </w:tc>
        <w:tc>
          <w:tcPr>
            <w:tcW w:w="2551" w:type="dxa"/>
            <w:vAlign w:val="center"/>
          </w:tcPr>
          <w:p>
            <w:pPr>
              <w:pStyle w:val="12"/>
            </w:pPr>
            <w:r>
              <w:t>71.96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220.79</w:t>
            </w:r>
          </w:p>
        </w:tc>
        <w:tc>
          <w:tcPr>
            <w:tcW w:w="2551" w:type="dxa"/>
            <w:vAlign w:val="center"/>
          </w:tcPr>
          <w:p>
            <w:pPr>
              <w:pStyle w:val="12"/>
            </w:pPr>
            <w:r>
              <w:t>220.79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2130102</w:t>
            </w:r>
          </w:p>
        </w:tc>
        <w:tc>
          <w:tcPr>
            <w:tcW w:w="4535" w:type="dxa"/>
            <w:vAlign w:val="center"/>
          </w:tcPr>
          <w:p>
            <w:pPr>
              <w:pStyle w:val="13"/>
            </w:pPr>
            <w:r>
              <w:t>一般行政管理事务</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54.95</w:t>
            </w:r>
          </w:p>
        </w:tc>
        <w:tc>
          <w:tcPr>
            <w:tcW w:w="2551" w:type="dxa"/>
            <w:vAlign w:val="center"/>
          </w:tcPr>
          <w:p>
            <w:pPr>
              <w:pStyle w:val="12"/>
            </w:pPr>
          </w:p>
        </w:tc>
        <w:tc>
          <w:tcPr>
            <w:tcW w:w="2551" w:type="dxa"/>
            <w:vAlign w:val="center"/>
          </w:tcPr>
          <w:p>
            <w:pPr>
              <w:pStyle w:val="12"/>
            </w:pPr>
            <w:r>
              <w:t>54.95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4.41</w:t>
            </w:r>
          </w:p>
        </w:tc>
        <w:tc>
          <w:tcPr>
            <w:tcW w:w="2551" w:type="dxa"/>
            <w:vAlign w:val="center"/>
          </w:tcPr>
          <w:p>
            <w:pPr>
              <w:pStyle w:val="12"/>
            </w:pPr>
          </w:p>
        </w:tc>
        <w:tc>
          <w:tcPr>
            <w:tcW w:w="2551" w:type="dxa"/>
            <w:vAlign w:val="center"/>
          </w:tcPr>
          <w:p>
            <w:pPr>
              <w:pStyle w:val="12"/>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2130202</w:t>
            </w:r>
          </w:p>
        </w:tc>
        <w:tc>
          <w:tcPr>
            <w:tcW w:w="4535" w:type="dxa"/>
            <w:vAlign w:val="center"/>
          </w:tcPr>
          <w:p>
            <w:pPr>
              <w:pStyle w:val="13"/>
            </w:pPr>
            <w:r>
              <w:t>一般行政管理事务</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92.73</w:t>
            </w:r>
          </w:p>
        </w:tc>
        <w:tc>
          <w:tcPr>
            <w:tcW w:w="2551" w:type="dxa"/>
            <w:vAlign w:val="center"/>
          </w:tcPr>
          <w:p>
            <w:pPr>
              <w:pStyle w:val="12"/>
            </w:pPr>
          </w:p>
        </w:tc>
        <w:tc>
          <w:tcPr>
            <w:tcW w:w="2551" w:type="dxa"/>
            <w:vAlign w:val="center"/>
          </w:tcPr>
          <w:p>
            <w:pPr>
              <w:pStyle w:val="12"/>
            </w:pPr>
            <w:r>
              <w:t>92.73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17.50</w:t>
            </w:r>
          </w:p>
        </w:tc>
        <w:tc>
          <w:tcPr>
            <w:tcW w:w="2551" w:type="dxa"/>
            <w:vAlign w:val="center"/>
          </w:tcPr>
          <w:p>
            <w:pPr>
              <w:pStyle w:val="12"/>
            </w:pPr>
          </w:p>
        </w:tc>
        <w:tc>
          <w:tcPr>
            <w:tcW w:w="2551" w:type="dxa"/>
            <w:vAlign w:val="center"/>
          </w:tcPr>
          <w:p>
            <w:pPr>
              <w:pStyle w:val="12"/>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5.62</w:t>
            </w:r>
          </w:p>
        </w:tc>
        <w:tc>
          <w:tcPr>
            <w:tcW w:w="2551" w:type="dxa"/>
            <w:vAlign w:val="center"/>
          </w:tcPr>
          <w:p>
            <w:pPr>
              <w:pStyle w:val="12"/>
            </w:pPr>
          </w:p>
        </w:tc>
        <w:tc>
          <w:tcPr>
            <w:tcW w:w="2551" w:type="dxa"/>
            <w:vAlign w:val="center"/>
          </w:tcPr>
          <w:p>
            <w:pPr>
              <w:pStyle w:val="12"/>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67.85</w:t>
            </w:r>
          </w:p>
        </w:tc>
        <w:tc>
          <w:tcPr>
            <w:tcW w:w="2551" w:type="dxa"/>
            <w:vAlign w:val="center"/>
          </w:tcPr>
          <w:p>
            <w:pPr>
              <w:pStyle w:val="12"/>
            </w:pPr>
          </w:p>
        </w:tc>
        <w:tc>
          <w:tcPr>
            <w:tcW w:w="2551" w:type="dxa"/>
            <w:vAlign w:val="center"/>
          </w:tcPr>
          <w:p>
            <w:pPr>
              <w:pStyle w:val="12"/>
            </w:pPr>
            <w:r>
              <w:t>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0.99</w:t>
            </w:r>
          </w:p>
        </w:tc>
        <w:tc>
          <w:tcPr>
            <w:tcW w:w="2551" w:type="dxa"/>
            <w:vAlign w:val="center"/>
          </w:tcPr>
          <w:p>
            <w:pPr>
              <w:pStyle w:val="12"/>
            </w:pPr>
          </w:p>
        </w:tc>
        <w:tc>
          <w:tcPr>
            <w:tcW w:w="2551" w:type="dxa"/>
            <w:vAlign w:val="center"/>
          </w:tcPr>
          <w:p>
            <w:pPr>
              <w:pStyle w:val="12"/>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2130803</w:t>
            </w:r>
          </w:p>
        </w:tc>
        <w:tc>
          <w:tcPr>
            <w:tcW w:w="4535" w:type="dxa"/>
            <w:vAlign w:val="center"/>
          </w:tcPr>
          <w:p>
            <w:pPr>
              <w:pStyle w:val="13"/>
            </w:pPr>
            <w:r>
              <w:t>农业保险保费补贴</w:t>
            </w:r>
          </w:p>
        </w:tc>
        <w:tc>
          <w:tcPr>
            <w:tcW w:w="2551" w:type="dxa"/>
            <w:vAlign w:val="center"/>
          </w:tcPr>
          <w:p>
            <w:pPr>
              <w:pStyle w:val="12"/>
            </w:pPr>
            <w:r>
              <w:t>0.99</w:t>
            </w:r>
          </w:p>
        </w:tc>
        <w:tc>
          <w:tcPr>
            <w:tcW w:w="2551" w:type="dxa"/>
            <w:vAlign w:val="center"/>
          </w:tcPr>
          <w:p>
            <w:pPr>
              <w:pStyle w:val="12"/>
            </w:pPr>
          </w:p>
        </w:tc>
        <w:tc>
          <w:tcPr>
            <w:tcW w:w="2551" w:type="dxa"/>
            <w:vAlign w:val="center"/>
          </w:tcPr>
          <w:p>
            <w:pPr>
              <w:pStyle w:val="12"/>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22.48</w:t>
            </w:r>
          </w:p>
        </w:tc>
        <w:tc>
          <w:tcPr>
            <w:tcW w:w="2551" w:type="dxa"/>
            <w:vAlign w:val="center"/>
          </w:tcPr>
          <w:p>
            <w:pPr>
              <w:pStyle w:val="12"/>
            </w:pPr>
            <w:r>
              <w:t>22.48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22.48</w:t>
            </w:r>
          </w:p>
        </w:tc>
        <w:tc>
          <w:tcPr>
            <w:tcW w:w="2551" w:type="dxa"/>
            <w:vAlign w:val="center"/>
          </w:tcPr>
          <w:p>
            <w:pPr>
              <w:pStyle w:val="12"/>
            </w:pPr>
            <w:r>
              <w:t>22.48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22.48</w:t>
            </w:r>
          </w:p>
        </w:tc>
        <w:tc>
          <w:tcPr>
            <w:tcW w:w="2551" w:type="dxa"/>
            <w:vAlign w:val="center"/>
          </w:tcPr>
          <w:p>
            <w:pPr>
              <w:pStyle w:val="12"/>
            </w:pPr>
            <w:r>
              <w:t>22.48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343.77</w:t>
            </w:r>
          </w:p>
        </w:tc>
        <w:tc>
          <w:tcPr>
            <w:tcW w:w="2551" w:type="dxa"/>
            <w:vAlign w:val="center"/>
          </w:tcPr>
          <w:p>
            <w:pPr>
              <w:pStyle w:val="16"/>
            </w:pPr>
            <w:r>
              <w:t>317.25</w:t>
            </w:r>
          </w:p>
        </w:tc>
        <w:tc>
          <w:tcPr>
            <w:tcW w:w="2551" w:type="dxa"/>
            <w:vAlign w:val="center"/>
          </w:tcPr>
          <w:p>
            <w:pPr>
              <w:pStyle w:val="16"/>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286.61</w:t>
            </w:r>
          </w:p>
        </w:tc>
        <w:tc>
          <w:tcPr>
            <w:tcW w:w="2551" w:type="dxa"/>
            <w:vAlign w:val="center"/>
          </w:tcPr>
          <w:p>
            <w:pPr>
              <w:pStyle w:val="12"/>
            </w:pPr>
            <w:r>
              <w:t>286.61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69.96</w:t>
            </w:r>
          </w:p>
        </w:tc>
        <w:tc>
          <w:tcPr>
            <w:tcW w:w="2551" w:type="dxa"/>
            <w:vAlign w:val="center"/>
          </w:tcPr>
          <w:p>
            <w:pPr>
              <w:pStyle w:val="12"/>
            </w:pPr>
            <w:r>
              <w:t>69.96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51.39</w:t>
            </w:r>
          </w:p>
        </w:tc>
        <w:tc>
          <w:tcPr>
            <w:tcW w:w="2551" w:type="dxa"/>
            <w:vAlign w:val="center"/>
          </w:tcPr>
          <w:p>
            <w:pPr>
              <w:pStyle w:val="12"/>
            </w:pPr>
            <w:r>
              <w:t>51.39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45.27</w:t>
            </w:r>
          </w:p>
        </w:tc>
        <w:tc>
          <w:tcPr>
            <w:tcW w:w="2551" w:type="dxa"/>
            <w:vAlign w:val="center"/>
          </w:tcPr>
          <w:p>
            <w:pPr>
              <w:pStyle w:val="12"/>
            </w:pPr>
            <w:r>
              <w:t>45.27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27.83</w:t>
            </w:r>
          </w:p>
        </w:tc>
        <w:tc>
          <w:tcPr>
            <w:tcW w:w="2551" w:type="dxa"/>
            <w:vAlign w:val="center"/>
          </w:tcPr>
          <w:p>
            <w:pPr>
              <w:pStyle w:val="12"/>
            </w:pPr>
            <w:r>
              <w:t>27.83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23.77</w:t>
            </w:r>
          </w:p>
        </w:tc>
        <w:tc>
          <w:tcPr>
            <w:tcW w:w="2551" w:type="dxa"/>
            <w:vAlign w:val="center"/>
          </w:tcPr>
          <w:p>
            <w:pPr>
              <w:pStyle w:val="12"/>
            </w:pPr>
            <w:r>
              <w:t>23.77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9.15</w:t>
            </w:r>
          </w:p>
        </w:tc>
        <w:tc>
          <w:tcPr>
            <w:tcW w:w="2551" w:type="dxa"/>
            <w:vAlign w:val="center"/>
          </w:tcPr>
          <w:p>
            <w:pPr>
              <w:pStyle w:val="12"/>
            </w:pPr>
            <w:r>
              <w:t>9.15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0.81</w:t>
            </w:r>
          </w:p>
        </w:tc>
        <w:tc>
          <w:tcPr>
            <w:tcW w:w="2551" w:type="dxa"/>
            <w:vAlign w:val="center"/>
          </w:tcPr>
          <w:p>
            <w:pPr>
              <w:pStyle w:val="12"/>
            </w:pPr>
            <w:r>
              <w:t>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22.48</w:t>
            </w:r>
          </w:p>
        </w:tc>
        <w:tc>
          <w:tcPr>
            <w:tcW w:w="2551" w:type="dxa"/>
            <w:vAlign w:val="center"/>
          </w:tcPr>
          <w:p>
            <w:pPr>
              <w:pStyle w:val="12"/>
            </w:pPr>
            <w:r>
              <w:t>22.48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26.52</w:t>
            </w:r>
          </w:p>
        </w:tc>
        <w:tc>
          <w:tcPr>
            <w:tcW w:w="2551" w:type="dxa"/>
            <w:vAlign w:val="center"/>
          </w:tcPr>
          <w:p>
            <w:pPr>
              <w:pStyle w:val="12"/>
            </w:pPr>
          </w:p>
        </w:tc>
        <w:tc>
          <w:tcPr>
            <w:tcW w:w="2551" w:type="dxa"/>
            <w:vAlign w:val="center"/>
          </w:tcPr>
          <w:p>
            <w:pPr>
              <w:pStyle w:val="12"/>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3.72</w:t>
            </w:r>
          </w:p>
        </w:tc>
        <w:tc>
          <w:tcPr>
            <w:tcW w:w="2551" w:type="dxa"/>
            <w:vAlign w:val="center"/>
          </w:tcPr>
          <w:p>
            <w:pPr>
              <w:pStyle w:val="12"/>
            </w:pPr>
          </w:p>
        </w:tc>
        <w:tc>
          <w:tcPr>
            <w:tcW w:w="2551" w:type="dxa"/>
            <w:vAlign w:val="center"/>
          </w:tcPr>
          <w:p>
            <w:pPr>
              <w:pStyle w:val="12"/>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0.28</w:t>
            </w:r>
          </w:p>
        </w:tc>
        <w:tc>
          <w:tcPr>
            <w:tcW w:w="2551" w:type="dxa"/>
            <w:vAlign w:val="center"/>
          </w:tcPr>
          <w:p>
            <w:pPr>
              <w:pStyle w:val="12"/>
            </w:pPr>
          </w:p>
        </w:tc>
        <w:tc>
          <w:tcPr>
            <w:tcW w:w="2551"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6.14</w:t>
            </w:r>
          </w:p>
        </w:tc>
        <w:tc>
          <w:tcPr>
            <w:tcW w:w="2551" w:type="dxa"/>
            <w:vAlign w:val="center"/>
          </w:tcPr>
          <w:p>
            <w:pPr>
              <w:pStyle w:val="12"/>
            </w:pPr>
          </w:p>
        </w:tc>
        <w:tc>
          <w:tcPr>
            <w:tcW w:w="2551" w:type="dxa"/>
            <w:vAlign w:val="center"/>
          </w:tcPr>
          <w:p>
            <w:pPr>
              <w:pStyle w:val="12"/>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2.28</w:t>
            </w:r>
          </w:p>
        </w:tc>
        <w:tc>
          <w:tcPr>
            <w:tcW w:w="2551" w:type="dxa"/>
            <w:vAlign w:val="center"/>
          </w:tcPr>
          <w:p>
            <w:pPr>
              <w:pStyle w:val="12"/>
            </w:pPr>
          </w:p>
        </w:tc>
        <w:tc>
          <w:tcPr>
            <w:tcW w:w="2551" w:type="dxa"/>
            <w:vAlign w:val="center"/>
          </w:tcPr>
          <w:p>
            <w:pPr>
              <w:pStyle w:val="12"/>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6.30</w:t>
            </w:r>
          </w:p>
        </w:tc>
        <w:tc>
          <w:tcPr>
            <w:tcW w:w="2551" w:type="dxa"/>
            <w:vAlign w:val="center"/>
          </w:tcPr>
          <w:p>
            <w:pPr>
              <w:pStyle w:val="12"/>
            </w:pPr>
          </w:p>
        </w:tc>
        <w:tc>
          <w:tcPr>
            <w:tcW w:w="2551" w:type="dxa"/>
            <w:vAlign w:val="center"/>
          </w:tcPr>
          <w:p>
            <w:pPr>
              <w:pStyle w:val="12"/>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30.64</w:t>
            </w:r>
          </w:p>
        </w:tc>
        <w:tc>
          <w:tcPr>
            <w:tcW w:w="2551" w:type="dxa"/>
            <w:vAlign w:val="center"/>
          </w:tcPr>
          <w:p>
            <w:pPr>
              <w:pStyle w:val="12"/>
            </w:pPr>
            <w:r>
              <w:t>30.64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30.64</w:t>
            </w:r>
          </w:p>
        </w:tc>
        <w:tc>
          <w:tcPr>
            <w:tcW w:w="2551" w:type="dxa"/>
            <w:vAlign w:val="center"/>
          </w:tcPr>
          <w:p>
            <w:pPr>
              <w:pStyle w:val="12"/>
            </w:pPr>
            <w:r>
              <w:t>30.64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1.80</w:t>
            </w:r>
          </w:p>
        </w:tc>
        <w:tc>
          <w:tcPr>
            <w:tcW w:w="2381" w:type="dxa"/>
            <w:vAlign w:val="center"/>
          </w:tcPr>
          <w:p>
            <w:pPr>
              <w:pStyle w:val="16"/>
            </w:pPr>
            <w:r>
              <w:t>1.80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1.80</w:t>
            </w:r>
          </w:p>
        </w:tc>
        <w:tc>
          <w:tcPr>
            <w:tcW w:w="2381" w:type="dxa"/>
            <w:vAlign w:val="center"/>
          </w:tcPr>
          <w:p>
            <w:pPr>
              <w:pStyle w:val="12"/>
            </w:pPr>
            <w:r>
              <w:t>1.80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1.80</w:t>
            </w:r>
          </w:p>
        </w:tc>
        <w:tc>
          <w:tcPr>
            <w:tcW w:w="2381" w:type="dxa"/>
            <w:vAlign w:val="center"/>
          </w:tcPr>
          <w:p>
            <w:pPr>
              <w:pStyle w:val="12"/>
            </w:pPr>
            <w:r>
              <w:t>1.80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石家庄市桥西区农业农村局本级2026年单位预算信息公开情况说明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按照《中华人民共和国预算法》、《地方预决算公开操作规程》和《关于进一步推进预算公开工作的实施意见》规定，现将石家庄市桥西区农业农村局本级2026年单位预算公开如下：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3"/>
        <w:rPr>
          <w:rFonts w:hint="eastAsia"/>
          <w:lang w:val="en-US" w:eastAsia="uk-UA"/>
        </w:rPr>
      </w:pPr>
      <w:r>
        <w:rPr>
          <w:rFonts w:hint="eastAsia"/>
          <w:lang w:val="en-US" w:eastAsia="uk-UA"/>
        </w:rPr>
        <w:t>（一）统筹研究和组织实施全区“三农”工作的发展战略，履行巩固拓展脱贫攻坚成果等职责，突出乡村振兴工作职责，确保乡村产业、人才、文化、生态、组织“五个振兴”有效推进。</w:t>
      </w:r>
    </w:p>
    <w:p>
      <w:pPr>
        <w:pStyle w:val="23"/>
        <w:rPr>
          <w:rFonts w:hint="eastAsia"/>
          <w:lang w:val="en-US" w:eastAsia="uk-UA"/>
        </w:rPr>
      </w:pPr>
      <w:r>
        <w:rPr>
          <w:rFonts w:hint="eastAsia"/>
          <w:lang w:val="en-US" w:eastAsia="uk-UA"/>
        </w:rPr>
        <w:t>（二）协调推动发展全区农村社会事业、农村公共服务、农村文化、农村基础设施和乡村治理。协调推进乡村文明和优秀农耕文化建设。指导农业行业安全生产工作。</w:t>
      </w:r>
    </w:p>
    <w:p>
      <w:pPr>
        <w:pStyle w:val="23"/>
        <w:rPr>
          <w:rFonts w:hint="eastAsia"/>
          <w:lang w:val="en-US" w:eastAsia="uk-UA"/>
        </w:rPr>
      </w:pPr>
      <w:r>
        <w:rPr>
          <w:rFonts w:hint="eastAsia"/>
          <w:lang w:val="en-US" w:eastAsia="uk-UA"/>
        </w:rPr>
        <w:t>（三）落实深化农村经济体制改革和巩固完善农村基本经营制度的政策。负责农村集体产权制度改革，指导农村身体经济组织发展和集体资产管理工作。指导农民合作经济组织、农业社会化服务体系、新型农业经营主体建设与发展。</w:t>
      </w:r>
    </w:p>
    <w:p>
      <w:pPr>
        <w:pStyle w:val="23"/>
        <w:rPr>
          <w:rFonts w:hint="eastAsia"/>
          <w:lang w:val="en-US" w:eastAsia="uk-UA"/>
        </w:rPr>
      </w:pPr>
      <w:r>
        <w:rPr>
          <w:rFonts w:hint="eastAsia"/>
          <w:lang w:val="en-US" w:eastAsia="uk-UA"/>
        </w:rPr>
        <w:t>（四）指导全区乡村产业、农产品加工业和休闲农业发展工作，培育、保护农业品牌。承担农业统计和农业农村信息化有关工作。</w:t>
      </w:r>
    </w:p>
    <w:p>
      <w:pPr>
        <w:pStyle w:val="23"/>
        <w:rPr>
          <w:rFonts w:hint="eastAsia"/>
          <w:lang w:val="en-US" w:eastAsia="uk-UA"/>
        </w:rPr>
      </w:pPr>
      <w:r>
        <w:rPr>
          <w:rFonts w:hint="eastAsia"/>
          <w:lang w:val="en-US" w:eastAsia="uk-UA"/>
        </w:rPr>
        <w:t>（五）负责全区种植业、畜牧业、渔业等农业各产业的监督管理。指导农产品生产和农业标准化生产。</w:t>
      </w:r>
    </w:p>
    <w:p>
      <w:pPr>
        <w:pStyle w:val="23"/>
        <w:rPr>
          <w:rFonts w:hint="eastAsia"/>
          <w:lang w:val="en-US" w:eastAsia="uk-UA"/>
        </w:rPr>
      </w:pPr>
      <w:r>
        <w:rPr>
          <w:rFonts w:hint="eastAsia"/>
          <w:lang w:val="en-US" w:eastAsia="uk-UA"/>
        </w:rPr>
        <w:t>（六）负责全区农产品质量安全监督管理，组织开展农产品质量安全监测、追溯、风险评估和监督抽查。</w:t>
      </w:r>
    </w:p>
    <w:p>
      <w:pPr>
        <w:pStyle w:val="23"/>
        <w:rPr>
          <w:rFonts w:hint="eastAsia"/>
          <w:lang w:val="en-US" w:eastAsia="uk-UA"/>
        </w:rPr>
      </w:pPr>
      <w:r>
        <w:rPr>
          <w:rFonts w:hint="eastAsia"/>
          <w:lang w:val="en-US" w:eastAsia="uk-UA"/>
        </w:rPr>
        <w:t>（七）负责全区农业资源保护、开发和利用。指导农用地、农业生物物种资源的保护与管理，负责耕地及永久基本农田质量保护工作。负责农田整治项目管理工作。指导农产品产地环境管理和农业清洁生产。指导设施农业、生态循环，农业、节水农业发展以及农村可再生能源综合利用。</w:t>
      </w:r>
    </w:p>
    <w:p>
      <w:pPr>
        <w:pStyle w:val="23"/>
        <w:rPr>
          <w:rFonts w:hint="eastAsia"/>
          <w:lang w:val="en-US" w:eastAsia="uk-UA"/>
        </w:rPr>
      </w:pPr>
      <w:r>
        <w:rPr>
          <w:rFonts w:hint="eastAsia"/>
          <w:lang w:val="en-US" w:eastAsia="uk-UA"/>
        </w:rPr>
        <w:t>（八）负责有关农业生产资料和农业投入品的监督管理，实施农业生产资料、兽药残留限量和残留检测市级本承担兽医医政、兽药药政和畜禽屠宰行业管理工作。</w:t>
      </w:r>
    </w:p>
    <w:p>
      <w:pPr>
        <w:pStyle w:val="23"/>
        <w:rPr>
          <w:rFonts w:hint="eastAsia"/>
          <w:lang w:val="en-US" w:eastAsia="uk-UA"/>
        </w:rPr>
      </w:pPr>
      <w:r>
        <w:rPr>
          <w:rFonts w:hint="eastAsia"/>
          <w:lang w:val="en-US" w:eastAsia="uk-UA"/>
        </w:rPr>
        <w:t>（九）负责农业防灾减灾、农作物重大病虫害防治工作。开展重大动物疫病防控工作，依法发布疫情并组织扑灭。负责农业转基因生物安全监督管理和农业植物新品种保护。</w:t>
      </w:r>
    </w:p>
    <w:p>
      <w:pPr>
        <w:pStyle w:val="23"/>
        <w:rPr>
          <w:rFonts w:hint="eastAsia"/>
          <w:lang w:val="en-US" w:eastAsia="uk-UA"/>
        </w:rPr>
      </w:pPr>
      <w:r>
        <w:rPr>
          <w:rFonts w:hint="eastAsia"/>
          <w:lang w:val="en-US" w:eastAsia="uk-UA"/>
        </w:rPr>
        <w:t>（十）负责农业投资项目、农业综合开发项目管理。提出农业投融资体制机制改革建议。按照规定权限，负责农业投资项目资金安排和监督管理。</w:t>
      </w:r>
    </w:p>
    <w:p>
      <w:pPr>
        <w:pStyle w:val="23"/>
        <w:rPr>
          <w:rFonts w:hint="eastAsia"/>
          <w:lang w:val="en-US" w:eastAsia="zh-CN"/>
        </w:rPr>
      </w:pPr>
      <w:r>
        <w:rPr>
          <w:rFonts w:hint="eastAsia"/>
          <w:lang w:val="en-US" w:eastAsia="uk-UA"/>
        </w:rPr>
        <w:t>（十一）负责农业农村人才工作。指导新型职业农民培育、农业科技人才培养和农村实用人才培训</w:t>
      </w:r>
      <w:r>
        <w:rPr>
          <w:rFonts w:hint="eastAsia"/>
          <w:lang w:val="en-US" w:eastAsia="zh-CN"/>
        </w:rPr>
        <w:t>工作。</w:t>
      </w:r>
    </w:p>
    <w:p>
      <w:pPr>
        <w:pStyle w:val="23"/>
        <w:rPr>
          <w:rFonts w:hint="eastAsia"/>
          <w:lang w:val="en-US" w:eastAsia="uk-UA"/>
        </w:rPr>
      </w:pPr>
      <w:r>
        <w:rPr>
          <w:rFonts w:hint="eastAsia"/>
          <w:lang w:val="en-US" w:eastAsia="uk-UA"/>
        </w:rPr>
        <w:t>（十二）负责保障水资源合理开发利用，贯彻落实上级水利政策。组织实施最严格水资源管理制度，实施水资源的统一监督管理。负责水资源保护工作。负责地下水开发利用和地下水资源管理保护。地下水超采区综合治理。负责节药用水工作。贯彻落实节约用水政策，组织落实节约用水规划。组织实施用水总量控制等管理制度，指导和推动节水型社会建设工作。</w:t>
      </w:r>
    </w:p>
    <w:p>
      <w:pPr>
        <w:pStyle w:val="23"/>
        <w:rPr>
          <w:rFonts w:hint="eastAsia"/>
          <w:lang w:val="en-US" w:eastAsia="uk-UA"/>
        </w:rPr>
      </w:pPr>
      <w:r>
        <w:rPr>
          <w:rFonts w:hint="eastAsia"/>
          <w:lang w:val="en-US" w:eastAsia="uk-UA"/>
        </w:rPr>
        <w:t>（十三）负责落实南水北调配套工程运行和后续工程建设的有关政策措施，指导监督工程安全运行。负责水土保持工作。负责建设项目水土保持监督管理工作，指导重点水土保持建设项目的实施。</w:t>
      </w:r>
    </w:p>
    <w:p>
      <w:pPr>
        <w:pStyle w:val="23"/>
        <w:rPr>
          <w:rFonts w:hint="eastAsia"/>
          <w:lang w:val="en-US" w:eastAsia="zh-CN"/>
        </w:rPr>
      </w:pPr>
      <w:r>
        <w:rPr>
          <w:rFonts w:hint="eastAsia"/>
          <w:lang w:val="en-US" w:eastAsia="uk-UA"/>
        </w:rPr>
        <w:t>（十四）负责落实农业方面综合防灾减灾规划相关要求工作</w:t>
      </w:r>
      <w:r>
        <w:rPr>
          <w:rFonts w:hint="eastAsia"/>
          <w:lang w:val="en-US" w:eastAsia="zh-CN"/>
        </w:rPr>
        <w:t>。</w:t>
      </w:r>
    </w:p>
    <w:p>
      <w:pPr>
        <w:pStyle w:val="23"/>
        <w:rPr>
          <w:rFonts w:hint="default"/>
          <w:lang w:val="en-US" w:eastAsia="zh-CN"/>
        </w:rPr>
      </w:pPr>
      <w:r>
        <w:rPr>
          <w:rFonts w:hint="eastAsia"/>
          <w:lang w:val="en-US" w:eastAsia="zh-CN"/>
        </w:rPr>
        <w:t>（十五）负责林长制、河长制工作。</w:t>
      </w:r>
    </w:p>
    <w:p>
      <w:pPr>
        <w:pStyle w:val="23"/>
        <w:rPr>
          <w:rFonts w:hint="eastAsia"/>
          <w:lang w:val="en-US" w:eastAsia="uk-UA"/>
        </w:rPr>
      </w:pPr>
      <w:r>
        <w:rPr>
          <w:rFonts w:hint="eastAsia"/>
          <w:lang w:val="en-US" w:eastAsia="uk-UA"/>
        </w:rPr>
        <w:t>（</w:t>
      </w:r>
      <w:r>
        <w:rPr>
          <w:rFonts w:hint="eastAsia"/>
          <w:lang w:val="en-US" w:eastAsia="zh-CN"/>
        </w:rPr>
        <w:t>十六</w:t>
      </w:r>
      <w:r>
        <w:rPr>
          <w:rFonts w:hint="eastAsia"/>
          <w:lang w:val="en-US" w:eastAsia="uk-UA"/>
        </w:rPr>
        <w:t>）完成区委、区政府和区委农村工作领导小组交办的其他任务。</w:t>
      </w:r>
    </w:p>
    <w:p>
      <w:pPr>
        <w:pStyle w:val="18"/>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548.45万元，其中：一般公共预算收入456.56万元，基金预算收入0.00万元，国有资本经营预算收入0.00万元，财政专户核拨收入0.00万元，单位资金收入8.00万元，上年结转结余83.89万元。</w:t>
      </w:r>
    </w:p>
    <w:p>
      <w:pPr>
        <w:pStyle w:val="19"/>
      </w:pPr>
      <w:r>
        <w:t>2、支出说明</w:t>
      </w:r>
    </w:p>
    <w:p>
      <w:pPr>
        <w:pStyle w:val="19"/>
      </w:pPr>
      <w:r>
        <w:t>收支预算总表支出栏、基本支出表、项目支出表按经济分类和支出功能分类科目编制，反映石家庄市桥西区农业农村局本级年度单位预算中支出预算的总体情况。2026年支出预算548.45万元，其中基本支出343.77万元，包括人员经费317.25万元和日常公用经费26.52万元；项目支出204.68万元，主要为水利发展资金、地下水超采资金、农业科技成果转化和推广资金，2024年村转居社区集体财务审计资金，农产品质量安全监管经费；农药包装废弃物回收处理经费;重大动物疫病防控经费；病死畜禽无害化处理经费；农技员、农机员、基层兽医生活补助经费；河长制工作经费；林长制工作经费和水务经费。；预计下年使用的单位资金结余0.00万元。委托业务费共计安排63.55万元，主要用于因技术原因确需对外委托的辅助性工作和确有必要对外委托开展咨询、评审、规划等工作。</w:t>
      </w:r>
    </w:p>
    <w:p>
      <w:pPr>
        <w:pStyle w:val="19"/>
      </w:pPr>
      <w:r>
        <w:t>3、比上年增减情况</w:t>
      </w:r>
    </w:p>
    <w:p>
      <w:pPr>
        <w:pStyle w:val="19"/>
      </w:pPr>
      <w:r>
        <w:t>2026年预算收支安排548.45万元，较2025年预算增加81.08万元，其中：基本支出减少24.49万元，主要为人员经费的增加项目支出减少。项目支出增加105.57万元，主要为农业科技成果转化和推广资金，2024年村转居社区集体财务审计资金，2025年农村集体经济组织审计和2026年度市级水利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2026年，我单位机关运行经费共计安排26.52万元，主要用于日常维修、办公用房水电费、办公用房取暖费、办公用房物业管理费等日常运行支出。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1.80万元，其中因公出国（境）费0.00万元；公务用车购置及运维费1.80万元（其中：公务用车购置费为0.00万元，公务用车运维费1.80万元)；公务接待费0.00万元。与2025年相比增加0.00万元，增减变化的主要原因是无新增出国（境）计划；无新增公务用车购置计划；公务用车运行维护费1.80万元，与上年持平；无新增公务接待计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1" w:name="_GoBack"/>
      <w:bookmarkEnd w:id="1"/>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1、2024年村转居社区集体财务审计专项资金绩效目标表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13010426P00989210008P</w:t>
            </w:r>
          </w:p>
        </w:tc>
        <w:tc>
          <w:tcPr>
            <w:tcW w:w="2835" w:type="dxa"/>
            <w:vAlign w:val="center"/>
          </w:tcPr>
          <w:p>
            <w:pPr>
              <w:pStyle w:val="11"/>
            </w:pPr>
            <w:r>
              <w:t>项目名称</w:t>
            </w:r>
          </w:p>
        </w:tc>
        <w:tc>
          <w:tcPr>
            <w:tcW w:w="6095" w:type="dxa"/>
            <w:gridSpan w:val="3"/>
            <w:vAlign w:val="center"/>
          </w:tcPr>
          <w:p>
            <w:pPr>
              <w:pStyle w:val="13"/>
            </w:pPr>
            <w:r>
              <w:t>2024年村转居社区集体财务审计专项资金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43.95</w:t>
            </w:r>
          </w:p>
        </w:tc>
        <w:tc>
          <w:tcPr>
            <w:tcW w:w="2835" w:type="dxa"/>
            <w:vAlign w:val="center"/>
          </w:tcPr>
          <w:p>
            <w:pPr>
              <w:pStyle w:val="11"/>
            </w:pPr>
            <w:r>
              <w:t>其中：财政    资金</w:t>
            </w:r>
          </w:p>
        </w:tc>
        <w:tc>
          <w:tcPr>
            <w:tcW w:w="2551" w:type="dxa"/>
            <w:vAlign w:val="center"/>
          </w:tcPr>
          <w:p>
            <w:pPr>
              <w:pStyle w:val="13"/>
            </w:pPr>
            <w:r>
              <w:t>43.95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用于开展2024年村转居社区集体财务审计工作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1.完成2024年村转居社区集体财务审计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审计村集体数量</w:t>
            </w:r>
          </w:p>
        </w:tc>
        <w:tc>
          <w:tcPr>
            <w:tcW w:w="5386" w:type="dxa"/>
            <w:vAlign w:val="center"/>
          </w:tcPr>
          <w:p>
            <w:pPr>
              <w:pStyle w:val="13"/>
            </w:pPr>
            <w:r>
              <w:t>审计村集体经济组织数量</w:t>
            </w:r>
          </w:p>
        </w:tc>
        <w:tc>
          <w:tcPr>
            <w:tcW w:w="2268" w:type="dxa"/>
            <w:vAlign w:val="center"/>
          </w:tcPr>
          <w:p>
            <w:pPr>
              <w:pStyle w:val="13"/>
            </w:pPr>
            <w:r>
              <w:t>30个</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对选定村集体审计完成率</w:t>
            </w:r>
          </w:p>
        </w:tc>
        <w:tc>
          <w:tcPr>
            <w:tcW w:w="2268" w:type="dxa"/>
            <w:vAlign w:val="center"/>
          </w:tcPr>
          <w:p>
            <w:pPr>
              <w:pStyle w:val="13"/>
            </w:pPr>
            <w:r>
              <w:t>≥95百分比</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完成任务及时性</w:t>
            </w:r>
          </w:p>
        </w:tc>
        <w:tc>
          <w:tcPr>
            <w:tcW w:w="5386" w:type="dxa"/>
            <w:vAlign w:val="center"/>
          </w:tcPr>
          <w:p>
            <w:pPr>
              <w:pStyle w:val="13"/>
            </w:pPr>
            <w:r>
              <w:t>完成任务及时率</w:t>
            </w:r>
          </w:p>
        </w:tc>
        <w:tc>
          <w:tcPr>
            <w:tcW w:w="2268" w:type="dxa"/>
            <w:vAlign w:val="center"/>
          </w:tcPr>
          <w:p>
            <w:pPr>
              <w:pStyle w:val="13"/>
            </w:pPr>
            <w:r>
              <w:t>≥95百分比</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每个阶段资金成本</w:t>
            </w:r>
          </w:p>
        </w:tc>
        <w:tc>
          <w:tcPr>
            <w:tcW w:w="2268" w:type="dxa"/>
            <w:vAlign w:val="center"/>
          </w:tcPr>
          <w:p>
            <w:pPr>
              <w:pStyle w:val="13"/>
            </w:pPr>
            <w:r>
              <w:t>≤0.8万元/村/年</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规范农村集体“三资”管理</w:t>
            </w:r>
          </w:p>
        </w:tc>
        <w:tc>
          <w:tcPr>
            <w:tcW w:w="2268" w:type="dxa"/>
            <w:vAlign w:val="center"/>
          </w:tcPr>
          <w:p>
            <w:pPr>
              <w:pStyle w:val="13"/>
            </w:pPr>
            <w:r>
              <w:t>≥90百分比</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保障群众利益，降低信访投诉案件</w:t>
            </w:r>
          </w:p>
        </w:tc>
        <w:tc>
          <w:tcPr>
            <w:tcW w:w="2268" w:type="dxa"/>
            <w:vAlign w:val="center"/>
          </w:tcPr>
          <w:p>
            <w:pPr>
              <w:pStyle w:val="13"/>
            </w:pPr>
            <w:r>
              <w:t>≤5次</w:t>
            </w:r>
          </w:p>
        </w:tc>
        <w:tc>
          <w:tcPr>
            <w:tcW w:w="1276" w:type="dxa"/>
            <w:vAlign w:val="center"/>
          </w:tcPr>
          <w:p>
            <w:pPr>
              <w:pStyle w:val="13"/>
            </w:pPr>
            <w:r>
              <w:t>关于解决2024年村转居社区集体财务审计专项资金的意见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2、2025年度农村集体经济组织审计绩效目标表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13010426P00989210006G</w:t>
            </w:r>
          </w:p>
        </w:tc>
        <w:tc>
          <w:tcPr>
            <w:tcW w:w="2835" w:type="dxa"/>
            <w:vAlign w:val="center"/>
          </w:tcPr>
          <w:p>
            <w:pPr>
              <w:pStyle w:val="11"/>
            </w:pPr>
            <w:r>
              <w:t>项目名称</w:t>
            </w:r>
          </w:p>
        </w:tc>
        <w:tc>
          <w:tcPr>
            <w:tcW w:w="6095" w:type="dxa"/>
            <w:gridSpan w:val="3"/>
            <w:vAlign w:val="center"/>
          </w:tcPr>
          <w:p>
            <w:pPr>
              <w:pStyle w:val="13"/>
            </w:pPr>
            <w:r>
              <w:t>2025年度农村集体经济组织审计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完成辖区内选定村转居集体经济组织的审计任务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1.完成辖区内选定村转居集体经济组织的审计任务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审计村集体数量</w:t>
            </w:r>
          </w:p>
        </w:tc>
        <w:tc>
          <w:tcPr>
            <w:tcW w:w="5386" w:type="dxa"/>
            <w:vAlign w:val="center"/>
          </w:tcPr>
          <w:p>
            <w:pPr>
              <w:pStyle w:val="13"/>
            </w:pPr>
            <w:r>
              <w:t>审计村集体经济组织数量</w:t>
            </w:r>
          </w:p>
        </w:tc>
        <w:tc>
          <w:tcPr>
            <w:tcW w:w="2268" w:type="dxa"/>
            <w:vAlign w:val="center"/>
          </w:tcPr>
          <w:p>
            <w:pPr>
              <w:pStyle w:val="13"/>
            </w:pPr>
            <w:r>
              <w:t>6个</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对选定村集体审计完成率</w:t>
            </w:r>
          </w:p>
        </w:tc>
        <w:tc>
          <w:tcPr>
            <w:tcW w:w="2268" w:type="dxa"/>
            <w:vAlign w:val="center"/>
          </w:tcPr>
          <w:p>
            <w:pPr>
              <w:pStyle w:val="13"/>
            </w:pPr>
            <w:r>
              <w:t>≥95百分比</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完成任务及时性</w:t>
            </w:r>
          </w:p>
        </w:tc>
        <w:tc>
          <w:tcPr>
            <w:tcW w:w="5386" w:type="dxa"/>
            <w:vAlign w:val="center"/>
          </w:tcPr>
          <w:p>
            <w:pPr>
              <w:pStyle w:val="13"/>
            </w:pPr>
            <w:r>
              <w:t>完成任务及时率</w:t>
            </w:r>
          </w:p>
        </w:tc>
        <w:tc>
          <w:tcPr>
            <w:tcW w:w="2268" w:type="dxa"/>
            <w:vAlign w:val="center"/>
          </w:tcPr>
          <w:p>
            <w:pPr>
              <w:pStyle w:val="13"/>
            </w:pPr>
            <w:r>
              <w:t>≥95百分比</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每个阶段资金成本</w:t>
            </w:r>
          </w:p>
        </w:tc>
        <w:tc>
          <w:tcPr>
            <w:tcW w:w="2268" w:type="dxa"/>
            <w:vAlign w:val="center"/>
          </w:tcPr>
          <w:p>
            <w:pPr>
              <w:pStyle w:val="13"/>
            </w:pPr>
            <w:r>
              <w:t>≤1万元/村/年</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规范农村集体“三资”管理</w:t>
            </w:r>
          </w:p>
        </w:tc>
        <w:tc>
          <w:tcPr>
            <w:tcW w:w="2268" w:type="dxa"/>
            <w:vAlign w:val="center"/>
          </w:tcPr>
          <w:p>
            <w:pPr>
              <w:pStyle w:val="13"/>
            </w:pPr>
            <w:r>
              <w:t>≥90百分比</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保障群众利益，减少信访投诉案件</w:t>
            </w:r>
          </w:p>
        </w:tc>
        <w:tc>
          <w:tcPr>
            <w:tcW w:w="2268" w:type="dxa"/>
            <w:vAlign w:val="center"/>
          </w:tcPr>
          <w:p>
            <w:pPr>
              <w:pStyle w:val="13"/>
            </w:pPr>
            <w:r>
              <w:t>≤5次</w:t>
            </w:r>
          </w:p>
        </w:tc>
        <w:tc>
          <w:tcPr>
            <w:tcW w:w="1276" w:type="dxa"/>
            <w:vAlign w:val="center"/>
          </w:tcPr>
          <w:p>
            <w:pPr>
              <w:pStyle w:val="13"/>
            </w:pPr>
            <w:r>
              <w:t>石家庄市农业农村局关于转发《河北省农业农村厅关于做好2022年度农村集体经济审计工作的通知》的通知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3、病死畜禽无害化处理经费绩效目标表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13010426P009892100049</w:t>
            </w:r>
          </w:p>
        </w:tc>
        <w:tc>
          <w:tcPr>
            <w:tcW w:w="2835" w:type="dxa"/>
            <w:vAlign w:val="center"/>
          </w:tcPr>
          <w:p>
            <w:pPr>
              <w:pStyle w:val="11"/>
            </w:pPr>
            <w:r>
              <w:t>项目名称</w:t>
            </w:r>
          </w:p>
        </w:tc>
        <w:tc>
          <w:tcPr>
            <w:tcW w:w="6095" w:type="dxa"/>
            <w:gridSpan w:val="3"/>
            <w:vAlign w:val="center"/>
          </w:tcPr>
          <w:p>
            <w:pPr>
              <w:pStyle w:val="13"/>
            </w:pPr>
            <w:r>
              <w:t>病死畜禽无害化处理经费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完成全区病死畜禽无害化处理工作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1.确保病死畜禽无害化处理全覆盖，确保收、储、运、处理各环节保持畅通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无害化处理数量</w:t>
            </w:r>
          </w:p>
        </w:tc>
        <w:tc>
          <w:tcPr>
            <w:tcW w:w="5386" w:type="dxa"/>
            <w:vAlign w:val="center"/>
          </w:tcPr>
          <w:p>
            <w:pPr>
              <w:pStyle w:val="13"/>
            </w:pPr>
            <w:r>
              <w:t>进行无害化处理的病死畜禽数量</w:t>
            </w:r>
          </w:p>
        </w:tc>
        <w:tc>
          <w:tcPr>
            <w:tcW w:w="2268" w:type="dxa"/>
            <w:vAlign w:val="center"/>
          </w:tcPr>
          <w:p>
            <w:pPr>
              <w:pStyle w:val="13"/>
            </w:pPr>
            <w:r>
              <w:t>按实际产生数量处理</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无害化处理率</w:t>
            </w:r>
          </w:p>
        </w:tc>
        <w:tc>
          <w:tcPr>
            <w:tcW w:w="5386" w:type="dxa"/>
            <w:vAlign w:val="center"/>
          </w:tcPr>
          <w:p>
            <w:pPr>
              <w:pStyle w:val="13"/>
            </w:pPr>
            <w:r>
              <w:t>病死畜禽无害化处理率</w:t>
            </w:r>
          </w:p>
        </w:tc>
        <w:tc>
          <w:tcPr>
            <w:tcW w:w="2268" w:type="dxa"/>
            <w:vAlign w:val="center"/>
          </w:tcPr>
          <w:p>
            <w:pPr>
              <w:pStyle w:val="13"/>
            </w:pPr>
            <w:r>
              <w:t>≥90百分比</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处理及时性</w:t>
            </w:r>
          </w:p>
        </w:tc>
        <w:tc>
          <w:tcPr>
            <w:tcW w:w="2268" w:type="dxa"/>
            <w:vAlign w:val="center"/>
          </w:tcPr>
          <w:p>
            <w:pPr>
              <w:pStyle w:val="13"/>
            </w:pPr>
            <w:r>
              <w:t>≥90百分比</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≤4万元</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防止疫情传播</w:t>
            </w:r>
          </w:p>
        </w:tc>
        <w:tc>
          <w:tcPr>
            <w:tcW w:w="5386" w:type="dxa"/>
            <w:vAlign w:val="center"/>
          </w:tcPr>
          <w:p>
            <w:pPr>
              <w:pStyle w:val="13"/>
            </w:pPr>
            <w:r>
              <w:t>防止因病死畜禽引起的疫病传播卫生事件</w:t>
            </w:r>
          </w:p>
        </w:tc>
        <w:tc>
          <w:tcPr>
            <w:tcW w:w="2268" w:type="dxa"/>
            <w:vAlign w:val="center"/>
          </w:tcPr>
          <w:p>
            <w:pPr>
              <w:pStyle w:val="13"/>
            </w:pPr>
            <w:r>
              <w:t>0件</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防止环境污染</w:t>
            </w:r>
          </w:p>
        </w:tc>
        <w:tc>
          <w:tcPr>
            <w:tcW w:w="5386" w:type="dxa"/>
            <w:vAlign w:val="center"/>
          </w:tcPr>
          <w:p>
            <w:pPr>
              <w:pStyle w:val="13"/>
            </w:pPr>
            <w:r>
              <w:t>防止病死畜禽污染环境</w:t>
            </w:r>
          </w:p>
        </w:tc>
        <w:tc>
          <w:tcPr>
            <w:tcW w:w="2268" w:type="dxa"/>
            <w:vAlign w:val="center"/>
          </w:tcPr>
          <w:p>
            <w:pPr>
              <w:pStyle w:val="13"/>
            </w:pPr>
            <w:r>
              <w:t>防止病死畜禽污染环境</w:t>
            </w:r>
          </w:p>
        </w:tc>
        <w:tc>
          <w:tcPr>
            <w:tcW w:w="1276" w:type="dxa"/>
            <w:vAlign w:val="center"/>
          </w:tcPr>
          <w:p>
            <w:pPr>
              <w:pStyle w:val="13"/>
            </w:pPr>
            <w:r>
              <w:t>石政办函【2015】128号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4、财政授权代理记账项目绩效目标表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13010426P009870100879</w:t>
            </w:r>
          </w:p>
        </w:tc>
        <w:tc>
          <w:tcPr>
            <w:tcW w:w="2835" w:type="dxa"/>
            <w:vAlign w:val="center"/>
          </w:tcPr>
          <w:p>
            <w:pPr>
              <w:pStyle w:val="11"/>
            </w:pPr>
            <w:r>
              <w:t>项目名称</w:t>
            </w:r>
          </w:p>
        </w:tc>
        <w:tc>
          <w:tcPr>
            <w:tcW w:w="6095" w:type="dxa"/>
            <w:gridSpan w:val="3"/>
            <w:vAlign w:val="center"/>
          </w:tcPr>
          <w:p>
            <w:pPr>
              <w:pStyle w:val="13"/>
            </w:pPr>
            <w:r>
              <w:t>财政授权代理记账项目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完成2026年度本单位代理记账项目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1.完成2026年度本单位代理记账项目，记账准时准确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记账次数</w:t>
            </w:r>
          </w:p>
        </w:tc>
        <w:tc>
          <w:tcPr>
            <w:tcW w:w="5386" w:type="dxa"/>
            <w:vAlign w:val="center"/>
          </w:tcPr>
          <w:p>
            <w:pPr>
              <w:pStyle w:val="13"/>
            </w:pPr>
            <w:r>
              <w:t>记账次数无误</w:t>
            </w:r>
          </w:p>
        </w:tc>
        <w:tc>
          <w:tcPr>
            <w:tcW w:w="2268" w:type="dxa"/>
            <w:vAlign w:val="center"/>
          </w:tcPr>
          <w:p>
            <w:pPr>
              <w:pStyle w:val="13"/>
            </w:pPr>
            <w:r>
              <w:t>12次</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账目准确</w:t>
            </w:r>
          </w:p>
        </w:tc>
        <w:tc>
          <w:tcPr>
            <w:tcW w:w="5386" w:type="dxa"/>
            <w:vAlign w:val="center"/>
          </w:tcPr>
          <w:p>
            <w:pPr>
              <w:pStyle w:val="13"/>
            </w:pPr>
            <w:r>
              <w:t>账目准确</w:t>
            </w:r>
          </w:p>
        </w:tc>
        <w:tc>
          <w:tcPr>
            <w:tcW w:w="2268" w:type="dxa"/>
            <w:vAlign w:val="center"/>
          </w:tcPr>
          <w:p>
            <w:pPr>
              <w:pStyle w:val="13"/>
            </w:pPr>
            <w:r>
              <w:t>≥90%</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每月按计划完成记账</w:t>
            </w:r>
          </w:p>
        </w:tc>
        <w:tc>
          <w:tcPr>
            <w:tcW w:w="2268" w:type="dxa"/>
            <w:vAlign w:val="center"/>
          </w:tcPr>
          <w:p>
            <w:pPr>
              <w:pStyle w:val="13"/>
            </w:pPr>
            <w:r>
              <w:t>月底前完成记账，年终完成决算</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按合同执行</w:t>
            </w:r>
          </w:p>
        </w:tc>
        <w:tc>
          <w:tcPr>
            <w:tcW w:w="2268" w:type="dxa"/>
            <w:vAlign w:val="center"/>
          </w:tcPr>
          <w:p>
            <w:pPr>
              <w:pStyle w:val="13"/>
            </w:pPr>
            <w:r>
              <w:t>0.84万元</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保障资金规范化使用</w:t>
            </w:r>
          </w:p>
        </w:tc>
        <w:tc>
          <w:tcPr>
            <w:tcW w:w="2268" w:type="dxa"/>
            <w:vAlign w:val="center"/>
          </w:tcPr>
          <w:p>
            <w:pPr>
              <w:pStyle w:val="13"/>
            </w:pPr>
            <w:r>
              <w:t>账目清晰</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5、村（居）“两委”换届前村干部任期和离任经济责任审计工作资金绩效目标表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13010426P00989210009B</w:t>
            </w:r>
          </w:p>
        </w:tc>
        <w:tc>
          <w:tcPr>
            <w:tcW w:w="2835" w:type="dxa"/>
            <w:vAlign w:val="center"/>
          </w:tcPr>
          <w:p>
            <w:pPr>
              <w:pStyle w:val="11"/>
            </w:pPr>
            <w:r>
              <w:t>项目名称</w:t>
            </w:r>
          </w:p>
        </w:tc>
        <w:tc>
          <w:tcPr>
            <w:tcW w:w="6095" w:type="dxa"/>
            <w:gridSpan w:val="3"/>
            <w:vAlign w:val="center"/>
          </w:tcPr>
          <w:p>
            <w:pPr>
              <w:pStyle w:val="13"/>
            </w:pPr>
            <w:r>
              <w:t>村（居）“两委”换届前村干部任期和离任经济责任审计工作资金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完成村居“两委”换届前村干部任期和离任经济责任审计工作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1.完成村居“两委”换届前村干部任期和离任经济责任审计工作，促进换届顺利进行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审计村集体数量</w:t>
            </w:r>
          </w:p>
        </w:tc>
        <w:tc>
          <w:tcPr>
            <w:tcW w:w="5386" w:type="dxa"/>
            <w:vAlign w:val="center"/>
          </w:tcPr>
          <w:p>
            <w:pPr>
              <w:pStyle w:val="13"/>
            </w:pPr>
            <w:r>
              <w:t>审计村集体数量</w:t>
            </w:r>
          </w:p>
        </w:tc>
        <w:tc>
          <w:tcPr>
            <w:tcW w:w="2268" w:type="dxa"/>
            <w:vAlign w:val="center"/>
          </w:tcPr>
          <w:p>
            <w:pPr>
              <w:pStyle w:val="13"/>
            </w:pPr>
            <w:r>
              <w:t>按需求选定</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对选定村集体审计完成率</w:t>
            </w:r>
          </w:p>
        </w:tc>
        <w:tc>
          <w:tcPr>
            <w:tcW w:w="2268" w:type="dxa"/>
            <w:vAlign w:val="center"/>
          </w:tcPr>
          <w:p>
            <w:pPr>
              <w:pStyle w:val="13"/>
            </w:pPr>
            <w:r>
              <w:t>≥95百分比</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完成任务及时性</w:t>
            </w:r>
          </w:p>
        </w:tc>
        <w:tc>
          <w:tcPr>
            <w:tcW w:w="5386" w:type="dxa"/>
            <w:vAlign w:val="center"/>
          </w:tcPr>
          <w:p>
            <w:pPr>
              <w:pStyle w:val="13"/>
            </w:pPr>
            <w:r>
              <w:t>完成任务及时率</w:t>
            </w:r>
          </w:p>
        </w:tc>
        <w:tc>
          <w:tcPr>
            <w:tcW w:w="2268" w:type="dxa"/>
            <w:vAlign w:val="center"/>
          </w:tcPr>
          <w:p>
            <w:pPr>
              <w:pStyle w:val="13"/>
            </w:pPr>
            <w:r>
              <w:t>≥95百分比</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w:t>
            </w:r>
          </w:p>
        </w:tc>
        <w:tc>
          <w:tcPr>
            <w:tcW w:w="2268" w:type="dxa"/>
            <w:vAlign w:val="center"/>
          </w:tcPr>
          <w:p>
            <w:pPr>
              <w:pStyle w:val="13"/>
            </w:pPr>
            <w:r>
              <w:t>≤6万元</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规范农村集体“三资”管理</w:t>
            </w:r>
          </w:p>
        </w:tc>
        <w:tc>
          <w:tcPr>
            <w:tcW w:w="2268" w:type="dxa"/>
            <w:vAlign w:val="center"/>
          </w:tcPr>
          <w:p>
            <w:pPr>
              <w:pStyle w:val="13"/>
            </w:pPr>
            <w:r>
              <w:t>≥90百分比</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保障群众利益，减少信访投诉案件</w:t>
            </w:r>
          </w:p>
        </w:tc>
        <w:tc>
          <w:tcPr>
            <w:tcW w:w="2268" w:type="dxa"/>
            <w:vAlign w:val="center"/>
          </w:tcPr>
          <w:p>
            <w:pPr>
              <w:pStyle w:val="13"/>
            </w:pPr>
            <w:r>
              <w:t>≤5次</w:t>
            </w:r>
          </w:p>
        </w:tc>
        <w:tc>
          <w:tcPr>
            <w:tcW w:w="1276" w:type="dxa"/>
            <w:vAlign w:val="center"/>
          </w:tcPr>
          <w:p>
            <w:pPr>
              <w:pStyle w:val="13"/>
            </w:pPr>
            <w:r>
              <w:t>关于解决区农业农村局村居“两委”换届前村干部任期和离任经济责任审计工作资金的意见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6、耕地地力补贴绩效目标表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13010426P00989210010N</w:t>
            </w:r>
          </w:p>
        </w:tc>
        <w:tc>
          <w:tcPr>
            <w:tcW w:w="2835" w:type="dxa"/>
            <w:vAlign w:val="center"/>
          </w:tcPr>
          <w:p>
            <w:pPr>
              <w:pStyle w:val="11"/>
            </w:pPr>
            <w:r>
              <w:t>项目名称</w:t>
            </w:r>
          </w:p>
        </w:tc>
        <w:tc>
          <w:tcPr>
            <w:tcW w:w="6095" w:type="dxa"/>
            <w:gridSpan w:val="3"/>
            <w:vAlign w:val="center"/>
          </w:tcPr>
          <w:p>
            <w:pPr>
              <w:pStyle w:val="13"/>
            </w:pPr>
            <w:r>
              <w:t>耕地地力补贴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用于发放全区耕地地力补贴资金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1.完成全区耕地地力补贴发放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耕地面积</w:t>
            </w:r>
          </w:p>
        </w:tc>
        <w:tc>
          <w:tcPr>
            <w:tcW w:w="5386" w:type="dxa"/>
            <w:vAlign w:val="center"/>
          </w:tcPr>
          <w:p>
            <w:pPr>
              <w:pStyle w:val="13"/>
            </w:pPr>
            <w:r>
              <w:t>耕地地力补贴面积</w:t>
            </w:r>
          </w:p>
        </w:tc>
        <w:tc>
          <w:tcPr>
            <w:tcW w:w="2268" w:type="dxa"/>
            <w:vAlign w:val="center"/>
          </w:tcPr>
          <w:p>
            <w:pPr>
              <w:pStyle w:val="13"/>
            </w:pPr>
            <w:r>
              <w:t>800亩</w:t>
            </w:r>
          </w:p>
        </w:tc>
        <w:tc>
          <w:tcPr>
            <w:tcW w:w="1276" w:type="dxa"/>
            <w:vAlign w:val="center"/>
          </w:tcPr>
          <w:p>
            <w:pPr>
              <w:pStyle w:val="13"/>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实际发放补贴占应发放补贴的比率</w:t>
            </w:r>
          </w:p>
        </w:tc>
        <w:tc>
          <w:tcPr>
            <w:tcW w:w="2268" w:type="dxa"/>
            <w:vAlign w:val="center"/>
          </w:tcPr>
          <w:p>
            <w:pPr>
              <w:pStyle w:val="13"/>
            </w:pPr>
            <w:r>
              <w:t>≥90百分比</w:t>
            </w:r>
          </w:p>
        </w:tc>
        <w:tc>
          <w:tcPr>
            <w:tcW w:w="1276" w:type="dxa"/>
            <w:vAlign w:val="center"/>
          </w:tcPr>
          <w:p>
            <w:pPr>
              <w:pStyle w:val="13"/>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发放及时率</w:t>
            </w:r>
          </w:p>
        </w:tc>
        <w:tc>
          <w:tcPr>
            <w:tcW w:w="2268" w:type="dxa"/>
            <w:vAlign w:val="center"/>
          </w:tcPr>
          <w:p>
            <w:pPr>
              <w:pStyle w:val="13"/>
            </w:pPr>
            <w:r>
              <w:t>≥90百分比</w:t>
            </w:r>
          </w:p>
        </w:tc>
        <w:tc>
          <w:tcPr>
            <w:tcW w:w="1276" w:type="dxa"/>
            <w:vAlign w:val="center"/>
          </w:tcPr>
          <w:p>
            <w:pPr>
              <w:pStyle w:val="13"/>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单位补贴成本</w:t>
            </w:r>
          </w:p>
        </w:tc>
        <w:tc>
          <w:tcPr>
            <w:tcW w:w="2268" w:type="dxa"/>
            <w:vAlign w:val="center"/>
          </w:tcPr>
          <w:p>
            <w:pPr>
              <w:pStyle w:val="13"/>
            </w:pPr>
            <w:r>
              <w:t>100元/亩</w:t>
            </w:r>
          </w:p>
        </w:tc>
        <w:tc>
          <w:tcPr>
            <w:tcW w:w="1276" w:type="dxa"/>
            <w:vAlign w:val="center"/>
          </w:tcPr>
          <w:p>
            <w:pPr>
              <w:pStyle w:val="13"/>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保护农户种粮积极性</w:t>
            </w:r>
          </w:p>
        </w:tc>
        <w:tc>
          <w:tcPr>
            <w:tcW w:w="5386" w:type="dxa"/>
            <w:vAlign w:val="center"/>
          </w:tcPr>
          <w:p>
            <w:pPr>
              <w:pStyle w:val="13"/>
            </w:pPr>
            <w:r>
              <w:t>保护农户种粮积极性，耕地面积无减少</w:t>
            </w:r>
          </w:p>
        </w:tc>
        <w:tc>
          <w:tcPr>
            <w:tcW w:w="2268" w:type="dxa"/>
            <w:vAlign w:val="center"/>
          </w:tcPr>
          <w:p>
            <w:pPr>
              <w:pStyle w:val="13"/>
            </w:pPr>
            <w:r>
              <w:t>≤1亩</w:t>
            </w:r>
          </w:p>
        </w:tc>
        <w:tc>
          <w:tcPr>
            <w:tcW w:w="1276" w:type="dxa"/>
            <w:vAlign w:val="center"/>
          </w:tcPr>
          <w:p>
            <w:pPr>
              <w:pStyle w:val="13"/>
            </w:pPr>
            <w:r>
              <w:t>《河北省农业“三项补贴”改革工作实施方案》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7、关于下达2025年省级地下水超采综合治理专项资金的通知（石财农【2025】6号）绩效目标表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13010425P000032100023</w:t>
            </w:r>
          </w:p>
        </w:tc>
        <w:tc>
          <w:tcPr>
            <w:tcW w:w="2835" w:type="dxa"/>
            <w:vAlign w:val="center"/>
          </w:tcPr>
          <w:p>
            <w:pPr>
              <w:pStyle w:val="11"/>
            </w:pPr>
            <w:r>
              <w:t>项目名称</w:t>
            </w:r>
          </w:p>
        </w:tc>
        <w:tc>
          <w:tcPr>
            <w:tcW w:w="6095" w:type="dxa"/>
            <w:gridSpan w:val="3"/>
            <w:vAlign w:val="center"/>
          </w:tcPr>
          <w:p>
            <w:pPr>
              <w:pStyle w:val="13"/>
            </w:pPr>
            <w:r>
              <w:t>关于下达2025年省级地下水超采综合治理专项资金的通知（石财农【2025】6号）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67.85</w:t>
            </w:r>
          </w:p>
        </w:tc>
        <w:tc>
          <w:tcPr>
            <w:tcW w:w="2835" w:type="dxa"/>
            <w:vAlign w:val="center"/>
          </w:tcPr>
          <w:p>
            <w:pPr>
              <w:pStyle w:val="11"/>
            </w:pPr>
            <w:r>
              <w:t>其中：财政    资金</w:t>
            </w:r>
          </w:p>
        </w:tc>
        <w:tc>
          <w:tcPr>
            <w:tcW w:w="2551" w:type="dxa"/>
            <w:vAlign w:val="center"/>
          </w:tcPr>
          <w:p>
            <w:pPr>
              <w:pStyle w:val="13"/>
            </w:pPr>
            <w:r>
              <w:t>67.85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用于取水井关停相关项目的尾款支付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4000%</w:t>
            </w:r>
          </w:p>
        </w:tc>
        <w:tc>
          <w:tcPr>
            <w:tcW w:w="2551" w:type="dxa"/>
            <w:vAlign w:val="center"/>
          </w:tcPr>
          <w:p>
            <w:pPr>
              <w:pStyle w:val="14"/>
            </w:pPr>
            <w:r>
              <w:t>4000%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1.用于完成取水井关停相关项目的尾款支付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完成尾款支付项目数量</w:t>
            </w:r>
          </w:p>
        </w:tc>
        <w:tc>
          <w:tcPr>
            <w:tcW w:w="2268" w:type="dxa"/>
            <w:vAlign w:val="center"/>
          </w:tcPr>
          <w:p>
            <w:pPr>
              <w:pStyle w:val="13"/>
            </w:pPr>
            <w:r>
              <w:t>2个</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目标完成率</w:t>
            </w:r>
          </w:p>
        </w:tc>
        <w:tc>
          <w:tcPr>
            <w:tcW w:w="2268" w:type="dxa"/>
            <w:vAlign w:val="center"/>
          </w:tcPr>
          <w:p>
            <w:pPr>
              <w:pStyle w:val="13"/>
            </w:pPr>
            <w:r>
              <w:t>≥90百分比</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目标完成及时率</w:t>
            </w:r>
          </w:p>
        </w:tc>
        <w:tc>
          <w:tcPr>
            <w:tcW w:w="2268" w:type="dxa"/>
            <w:vAlign w:val="center"/>
          </w:tcPr>
          <w:p>
            <w:pPr>
              <w:pStyle w:val="13"/>
            </w:pPr>
            <w:r>
              <w:t>≥90百分比</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≤103万元</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提高用水质量，保障用水安全</w:t>
            </w:r>
          </w:p>
        </w:tc>
        <w:tc>
          <w:tcPr>
            <w:tcW w:w="2268" w:type="dxa"/>
            <w:vAlign w:val="center"/>
          </w:tcPr>
          <w:p>
            <w:pPr>
              <w:pStyle w:val="13"/>
            </w:pPr>
            <w:r>
              <w:t>≥90百分比</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减少地下水开采，维持生态平衡</w:t>
            </w:r>
          </w:p>
        </w:tc>
        <w:tc>
          <w:tcPr>
            <w:tcW w:w="5386" w:type="dxa"/>
            <w:vAlign w:val="center"/>
          </w:tcPr>
          <w:p>
            <w:pPr>
              <w:pStyle w:val="13"/>
            </w:pPr>
            <w:r>
              <w:t>保护水资源</w:t>
            </w:r>
          </w:p>
        </w:tc>
        <w:tc>
          <w:tcPr>
            <w:tcW w:w="2268" w:type="dxa"/>
            <w:vAlign w:val="center"/>
          </w:tcPr>
          <w:p>
            <w:pPr>
              <w:pStyle w:val="13"/>
            </w:pPr>
            <w:r>
              <w:t>≥90百分比</w:t>
            </w:r>
          </w:p>
        </w:tc>
        <w:tc>
          <w:tcPr>
            <w:tcW w:w="1276" w:type="dxa"/>
            <w:vAlign w:val="center"/>
          </w:tcPr>
          <w:p>
            <w:pPr>
              <w:pStyle w:val="13"/>
            </w:pPr>
            <w:r>
              <w:t>石财农【2025】6号文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石财农【2025】6号文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8、河长制工作经费绩效目标表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13010426P00989110004K</w:t>
            </w:r>
          </w:p>
        </w:tc>
        <w:tc>
          <w:tcPr>
            <w:tcW w:w="2835" w:type="dxa"/>
            <w:vAlign w:val="center"/>
          </w:tcPr>
          <w:p>
            <w:pPr>
              <w:pStyle w:val="11"/>
            </w:pPr>
            <w:r>
              <w:t>项目名称</w:t>
            </w:r>
          </w:p>
        </w:tc>
        <w:tc>
          <w:tcPr>
            <w:tcW w:w="6095" w:type="dxa"/>
            <w:gridSpan w:val="3"/>
            <w:vAlign w:val="center"/>
          </w:tcPr>
          <w:p>
            <w:pPr>
              <w:pStyle w:val="13"/>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促进河长制工作发展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1.通过河长制宣传和公示牌维护，保护河道环境，提升生活环境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河长制宣传次数</w:t>
            </w:r>
          </w:p>
        </w:tc>
        <w:tc>
          <w:tcPr>
            <w:tcW w:w="5386" w:type="dxa"/>
            <w:vAlign w:val="center"/>
          </w:tcPr>
          <w:p>
            <w:pPr>
              <w:pStyle w:val="13"/>
            </w:pPr>
            <w:r>
              <w:t>河长制宣传次数</w:t>
            </w:r>
          </w:p>
        </w:tc>
        <w:tc>
          <w:tcPr>
            <w:tcW w:w="2268" w:type="dxa"/>
            <w:vAlign w:val="center"/>
          </w:tcPr>
          <w:p>
            <w:pPr>
              <w:pStyle w:val="13"/>
            </w:pPr>
            <w:r>
              <w:t>≥2次</w:t>
            </w:r>
          </w:p>
        </w:tc>
        <w:tc>
          <w:tcPr>
            <w:tcW w:w="1276" w:type="dxa"/>
            <w:vAlign w:val="center"/>
          </w:tcPr>
          <w:p>
            <w:pPr>
              <w:pStyle w:val="13"/>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目标完成率</w:t>
            </w:r>
          </w:p>
        </w:tc>
        <w:tc>
          <w:tcPr>
            <w:tcW w:w="5386" w:type="dxa"/>
            <w:vAlign w:val="center"/>
          </w:tcPr>
          <w:p>
            <w:pPr>
              <w:pStyle w:val="13"/>
            </w:pPr>
            <w:r>
              <w:t>全区河道环境健康有序</w:t>
            </w:r>
          </w:p>
        </w:tc>
        <w:tc>
          <w:tcPr>
            <w:tcW w:w="2268" w:type="dxa"/>
            <w:vAlign w:val="center"/>
          </w:tcPr>
          <w:p>
            <w:pPr>
              <w:pStyle w:val="13"/>
            </w:pPr>
            <w:r>
              <w:t>≥90百分比</w:t>
            </w:r>
          </w:p>
        </w:tc>
        <w:tc>
          <w:tcPr>
            <w:tcW w:w="1276" w:type="dxa"/>
            <w:vAlign w:val="center"/>
          </w:tcPr>
          <w:p>
            <w:pPr>
              <w:pStyle w:val="13"/>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清理河道及时有效</w:t>
            </w:r>
          </w:p>
        </w:tc>
        <w:tc>
          <w:tcPr>
            <w:tcW w:w="2268" w:type="dxa"/>
            <w:vAlign w:val="center"/>
          </w:tcPr>
          <w:p>
            <w:pPr>
              <w:pStyle w:val="13"/>
            </w:pPr>
            <w:r>
              <w:t>≥90百分比</w:t>
            </w:r>
          </w:p>
        </w:tc>
        <w:tc>
          <w:tcPr>
            <w:tcW w:w="1276" w:type="dxa"/>
            <w:vAlign w:val="center"/>
          </w:tcPr>
          <w:p>
            <w:pPr>
              <w:pStyle w:val="13"/>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不超预算控制总数</w:t>
            </w:r>
          </w:p>
        </w:tc>
        <w:tc>
          <w:tcPr>
            <w:tcW w:w="2268" w:type="dxa"/>
            <w:vAlign w:val="center"/>
          </w:tcPr>
          <w:p>
            <w:pPr>
              <w:pStyle w:val="13"/>
            </w:pPr>
            <w:r>
              <w:t>≤1万元</w:t>
            </w:r>
          </w:p>
        </w:tc>
        <w:tc>
          <w:tcPr>
            <w:tcW w:w="1276" w:type="dxa"/>
            <w:vAlign w:val="center"/>
          </w:tcPr>
          <w:p>
            <w:pPr>
              <w:pStyle w:val="13"/>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目标完成率</w:t>
            </w:r>
          </w:p>
        </w:tc>
        <w:tc>
          <w:tcPr>
            <w:tcW w:w="5386" w:type="dxa"/>
            <w:vAlign w:val="center"/>
          </w:tcPr>
          <w:p>
            <w:pPr>
              <w:pStyle w:val="13"/>
            </w:pPr>
            <w:r>
              <w:t>河道环境清洁，群众投诉率明显下降</w:t>
            </w:r>
          </w:p>
        </w:tc>
        <w:tc>
          <w:tcPr>
            <w:tcW w:w="2268" w:type="dxa"/>
            <w:vAlign w:val="center"/>
          </w:tcPr>
          <w:p>
            <w:pPr>
              <w:pStyle w:val="13"/>
            </w:pPr>
            <w:r>
              <w:t>≤1起</w:t>
            </w:r>
          </w:p>
        </w:tc>
        <w:tc>
          <w:tcPr>
            <w:tcW w:w="1276" w:type="dxa"/>
            <w:vAlign w:val="center"/>
          </w:tcPr>
          <w:p>
            <w:pPr>
              <w:pStyle w:val="13"/>
            </w:pPr>
            <w:r>
              <w:t>石办字【2017】10号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9、林长制工作经费绩效目标表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13010426P009891100030</w:t>
            </w:r>
          </w:p>
        </w:tc>
        <w:tc>
          <w:tcPr>
            <w:tcW w:w="2835" w:type="dxa"/>
            <w:vAlign w:val="center"/>
          </w:tcPr>
          <w:p>
            <w:pPr>
              <w:pStyle w:val="11"/>
            </w:pPr>
            <w:r>
              <w:t>项目名称</w:t>
            </w:r>
          </w:p>
        </w:tc>
        <w:tc>
          <w:tcPr>
            <w:tcW w:w="6095" w:type="dxa"/>
            <w:gridSpan w:val="3"/>
            <w:vAlign w:val="center"/>
          </w:tcPr>
          <w:p>
            <w:pPr>
              <w:pStyle w:val="13"/>
            </w:pPr>
            <w:r>
              <w:t>林长制工作经费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完成全区林长制各项工作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1.进行林业有害生物防控，完成林长制其他各项任务</w:t>
            </w:r>
          </w:p>
          <w:p>
            <w:pPr>
              <w:pStyle w:val="13"/>
            </w:pPr>
            <w:r>
              <w:t>2.强化林草资源和野生动植物保护管理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宣传和救助数量</w:t>
            </w:r>
          </w:p>
        </w:tc>
        <w:tc>
          <w:tcPr>
            <w:tcW w:w="2268" w:type="dxa"/>
            <w:vAlign w:val="center"/>
          </w:tcPr>
          <w:p>
            <w:pPr>
              <w:pStyle w:val="13"/>
            </w:pPr>
            <w:r>
              <w:t>≥2次</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林业有害生物防治率</w:t>
            </w:r>
          </w:p>
        </w:tc>
        <w:tc>
          <w:tcPr>
            <w:tcW w:w="5386" w:type="dxa"/>
            <w:vAlign w:val="center"/>
          </w:tcPr>
          <w:p>
            <w:pPr>
              <w:pStyle w:val="13"/>
            </w:pPr>
            <w:r>
              <w:t>林业有害生物防治率</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目标完成及时性</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≤1万元</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间接经济效益</w:t>
            </w:r>
          </w:p>
        </w:tc>
        <w:tc>
          <w:tcPr>
            <w:tcW w:w="2268" w:type="dxa"/>
            <w:vAlign w:val="center"/>
          </w:tcPr>
          <w:p>
            <w:pPr>
              <w:pStyle w:val="13"/>
            </w:pPr>
            <w:r>
              <w:t>掌握林草资源现状</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提升生态环境</w:t>
            </w:r>
          </w:p>
        </w:tc>
        <w:tc>
          <w:tcPr>
            <w:tcW w:w="5386" w:type="dxa"/>
            <w:vAlign w:val="center"/>
          </w:tcPr>
          <w:p>
            <w:pPr>
              <w:pStyle w:val="13"/>
            </w:pPr>
            <w:r>
              <w:t>提升生态环境</w:t>
            </w:r>
          </w:p>
        </w:tc>
        <w:tc>
          <w:tcPr>
            <w:tcW w:w="2268" w:type="dxa"/>
            <w:vAlign w:val="center"/>
          </w:tcPr>
          <w:p>
            <w:pPr>
              <w:pStyle w:val="13"/>
            </w:pPr>
            <w:r>
              <w:t>提高林草治理能力</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维护生态系统稳定</w:t>
            </w:r>
          </w:p>
        </w:tc>
        <w:tc>
          <w:tcPr>
            <w:tcW w:w="5386" w:type="dxa"/>
            <w:vAlign w:val="center"/>
          </w:tcPr>
          <w:p>
            <w:pPr>
              <w:pStyle w:val="13"/>
            </w:pPr>
            <w:r>
              <w:t>维护生态系统稳定</w:t>
            </w:r>
          </w:p>
        </w:tc>
        <w:tc>
          <w:tcPr>
            <w:tcW w:w="2268" w:type="dxa"/>
            <w:vAlign w:val="center"/>
          </w:tcPr>
          <w:p>
            <w:pPr>
              <w:pStyle w:val="13"/>
            </w:pPr>
            <w:r>
              <w:t>提高群众对野生动植物和林业的保护意识</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r>
              <w:tab/>
            </w:r>
          </w:p>
        </w:tc>
        <w:tc>
          <w:tcPr>
            <w:tcW w:w="5386" w:type="dxa"/>
            <w:vAlign w:val="center"/>
          </w:tcPr>
          <w:p>
            <w:pPr>
              <w:pStyle w:val="13"/>
            </w:pPr>
            <w:r>
              <w:t>服务对象满意</w:t>
            </w:r>
            <w:r>
              <w:tab/>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10、农产品质量安全监管工作经费绩效目标表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13010426P00989210001E</w:t>
            </w:r>
          </w:p>
        </w:tc>
        <w:tc>
          <w:tcPr>
            <w:tcW w:w="2835" w:type="dxa"/>
            <w:vAlign w:val="center"/>
          </w:tcPr>
          <w:p>
            <w:pPr>
              <w:pStyle w:val="11"/>
            </w:pPr>
            <w:r>
              <w:t>项目名称</w:t>
            </w:r>
          </w:p>
        </w:tc>
        <w:tc>
          <w:tcPr>
            <w:tcW w:w="6095" w:type="dxa"/>
            <w:gridSpan w:val="3"/>
            <w:vAlign w:val="center"/>
          </w:tcPr>
          <w:p>
            <w:pPr>
              <w:pStyle w:val="13"/>
            </w:pPr>
            <w:r>
              <w:t>农产品质量安全监管工作经费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完成全区农产品质量安全监管工作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1.通过开展农产品监管，加大检测力度，提高种植户守法意识，实现农产品质量安全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抽检产品批次</w:t>
            </w:r>
          </w:p>
        </w:tc>
        <w:tc>
          <w:tcPr>
            <w:tcW w:w="5386" w:type="dxa"/>
            <w:vAlign w:val="center"/>
          </w:tcPr>
          <w:p>
            <w:pPr>
              <w:pStyle w:val="13"/>
            </w:pPr>
            <w:r>
              <w:t>检验产品的批次</w:t>
            </w:r>
          </w:p>
        </w:tc>
        <w:tc>
          <w:tcPr>
            <w:tcW w:w="2268" w:type="dxa"/>
            <w:vAlign w:val="center"/>
          </w:tcPr>
          <w:p>
            <w:pPr>
              <w:pStyle w:val="13"/>
            </w:pPr>
            <w:r>
              <w:t>150批次</w:t>
            </w:r>
          </w:p>
        </w:tc>
        <w:tc>
          <w:tcPr>
            <w:tcW w:w="1276" w:type="dxa"/>
            <w:vAlign w:val="center"/>
          </w:tcPr>
          <w:p>
            <w:pPr>
              <w:pStyle w:val="13"/>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抽检覆盖率</w:t>
            </w:r>
          </w:p>
        </w:tc>
        <w:tc>
          <w:tcPr>
            <w:tcW w:w="5386" w:type="dxa"/>
            <w:vAlign w:val="center"/>
          </w:tcPr>
          <w:p>
            <w:pPr>
              <w:pStyle w:val="13"/>
            </w:pPr>
            <w:r>
              <w:t>农产品抽检覆盖率</w:t>
            </w:r>
          </w:p>
        </w:tc>
        <w:tc>
          <w:tcPr>
            <w:tcW w:w="2268" w:type="dxa"/>
            <w:vAlign w:val="center"/>
          </w:tcPr>
          <w:p>
            <w:pPr>
              <w:pStyle w:val="13"/>
            </w:pPr>
            <w:r>
              <w:t>≥90百分比</w:t>
            </w:r>
          </w:p>
        </w:tc>
        <w:tc>
          <w:tcPr>
            <w:tcW w:w="1276" w:type="dxa"/>
            <w:vAlign w:val="center"/>
          </w:tcPr>
          <w:p>
            <w:pPr>
              <w:pStyle w:val="13"/>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单位成本</w:t>
            </w:r>
          </w:p>
        </w:tc>
        <w:tc>
          <w:tcPr>
            <w:tcW w:w="2268" w:type="dxa"/>
            <w:vAlign w:val="center"/>
          </w:tcPr>
          <w:p>
            <w:pPr>
              <w:pStyle w:val="13"/>
            </w:pPr>
            <w:r>
              <w:t>≤134元/批次</w:t>
            </w:r>
          </w:p>
        </w:tc>
        <w:tc>
          <w:tcPr>
            <w:tcW w:w="1276" w:type="dxa"/>
            <w:vAlign w:val="center"/>
          </w:tcPr>
          <w:p>
            <w:pPr>
              <w:pStyle w:val="13"/>
            </w:pPr>
            <w:r>
              <w:t>农产品检测风险检测抽检计划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农产品安全事故率</w:t>
            </w:r>
          </w:p>
        </w:tc>
        <w:tc>
          <w:tcPr>
            <w:tcW w:w="5386" w:type="dxa"/>
            <w:vAlign w:val="center"/>
          </w:tcPr>
          <w:p>
            <w:pPr>
              <w:pStyle w:val="13"/>
            </w:pPr>
            <w:r>
              <w:t>降低农产品安全事故</w:t>
            </w:r>
          </w:p>
        </w:tc>
        <w:tc>
          <w:tcPr>
            <w:tcW w:w="2268" w:type="dxa"/>
            <w:vAlign w:val="center"/>
          </w:tcPr>
          <w:p>
            <w:pPr>
              <w:pStyle w:val="13"/>
            </w:pPr>
            <w:r>
              <w:t>≤5百分比</w:t>
            </w:r>
          </w:p>
        </w:tc>
        <w:tc>
          <w:tcPr>
            <w:tcW w:w="1276" w:type="dxa"/>
            <w:vAlign w:val="center"/>
          </w:tcPr>
          <w:p>
            <w:pPr>
              <w:pStyle w:val="13"/>
            </w:pPr>
            <w:r>
              <w:t>农产品质量安全法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11、农技员，农机员，基层兽医生活补贴经费绩效目标表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13010426P00989210005W</w:t>
            </w:r>
          </w:p>
        </w:tc>
        <w:tc>
          <w:tcPr>
            <w:tcW w:w="2835" w:type="dxa"/>
            <w:vAlign w:val="center"/>
          </w:tcPr>
          <w:p>
            <w:pPr>
              <w:pStyle w:val="11"/>
            </w:pPr>
            <w:r>
              <w:t>项目名称</w:t>
            </w:r>
          </w:p>
        </w:tc>
        <w:tc>
          <w:tcPr>
            <w:tcW w:w="6095" w:type="dxa"/>
            <w:gridSpan w:val="3"/>
            <w:vAlign w:val="center"/>
          </w:tcPr>
          <w:p>
            <w:pPr>
              <w:pStyle w:val="13"/>
            </w:pPr>
            <w:r>
              <w:t>农技员，农机员，基层兽医生活补贴经费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w:t>
            </w:r>
          </w:p>
        </w:tc>
        <w:tc>
          <w:tcPr>
            <w:tcW w:w="2835" w:type="dxa"/>
            <w:vAlign w:val="center"/>
          </w:tcPr>
          <w:p>
            <w:pPr>
              <w:pStyle w:val="11"/>
            </w:pPr>
            <w:r>
              <w:t>其中：财政    资金</w:t>
            </w:r>
          </w:p>
        </w:tc>
        <w:tc>
          <w:tcPr>
            <w:tcW w:w="2551" w:type="dxa"/>
            <w:vAlign w:val="center"/>
          </w:tcPr>
          <w:p>
            <w:pPr>
              <w:pStyle w:val="13"/>
            </w:pPr>
            <w:r>
              <w:t>2.26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发放全区符合标准的"三员"补贴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1.按时发放服务条件的“三员”补助，促进社会稳定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实际发放补助人数</w:t>
            </w:r>
          </w:p>
        </w:tc>
        <w:tc>
          <w:tcPr>
            <w:tcW w:w="2268" w:type="dxa"/>
            <w:vAlign w:val="center"/>
          </w:tcPr>
          <w:p>
            <w:pPr>
              <w:pStyle w:val="13"/>
            </w:pPr>
            <w:r>
              <w:t>≤5人</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发放补助次数</w:t>
            </w:r>
          </w:p>
        </w:tc>
        <w:tc>
          <w:tcPr>
            <w:tcW w:w="5386" w:type="dxa"/>
            <w:vAlign w:val="center"/>
          </w:tcPr>
          <w:p>
            <w:pPr>
              <w:pStyle w:val="13"/>
            </w:pPr>
            <w:r>
              <w:t>实际发放补助次数</w:t>
            </w:r>
          </w:p>
        </w:tc>
        <w:tc>
          <w:tcPr>
            <w:tcW w:w="2268" w:type="dxa"/>
            <w:vAlign w:val="center"/>
          </w:tcPr>
          <w:p>
            <w:pPr>
              <w:pStyle w:val="13"/>
            </w:pPr>
            <w:r>
              <w:t>2次</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补助覆盖率</w:t>
            </w:r>
          </w:p>
        </w:tc>
        <w:tc>
          <w:tcPr>
            <w:tcW w:w="5386" w:type="dxa"/>
            <w:vAlign w:val="center"/>
          </w:tcPr>
          <w:p>
            <w:pPr>
              <w:pStyle w:val="13"/>
            </w:pPr>
            <w:r>
              <w:t>实际发放补助人数占应发放人数比率</w:t>
            </w:r>
          </w:p>
        </w:tc>
        <w:tc>
          <w:tcPr>
            <w:tcW w:w="2268" w:type="dxa"/>
            <w:vAlign w:val="center"/>
          </w:tcPr>
          <w:p>
            <w:pPr>
              <w:pStyle w:val="13"/>
            </w:pPr>
            <w:r>
              <w:t>≥90百分比</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及时性</w:t>
            </w:r>
          </w:p>
        </w:tc>
        <w:tc>
          <w:tcPr>
            <w:tcW w:w="5386" w:type="dxa"/>
            <w:vAlign w:val="center"/>
          </w:tcPr>
          <w:p>
            <w:pPr>
              <w:pStyle w:val="13"/>
            </w:pPr>
            <w:r>
              <w:t>补助发放及时性</w:t>
            </w:r>
          </w:p>
        </w:tc>
        <w:tc>
          <w:tcPr>
            <w:tcW w:w="2268" w:type="dxa"/>
            <w:vAlign w:val="center"/>
          </w:tcPr>
          <w:p>
            <w:pPr>
              <w:pStyle w:val="13"/>
            </w:pPr>
            <w:r>
              <w:t>6月和12月各发放1次</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≤2.26万元</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体现政府对补助对象的关怀</w:t>
            </w:r>
          </w:p>
        </w:tc>
        <w:tc>
          <w:tcPr>
            <w:tcW w:w="2268" w:type="dxa"/>
            <w:vAlign w:val="center"/>
          </w:tcPr>
          <w:p>
            <w:pPr>
              <w:pStyle w:val="13"/>
            </w:pPr>
            <w:r>
              <w:t>体现政府对补助对象的关怀</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可持续性影响力</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西政办函【2017】48号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12、农药包装废弃物回收工作经费绩效目标表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13010426P009892100022</w:t>
            </w:r>
          </w:p>
        </w:tc>
        <w:tc>
          <w:tcPr>
            <w:tcW w:w="2835" w:type="dxa"/>
            <w:vAlign w:val="center"/>
          </w:tcPr>
          <w:p>
            <w:pPr>
              <w:pStyle w:val="11"/>
            </w:pPr>
            <w:r>
              <w:t>项目名称</w:t>
            </w:r>
          </w:p>
        </w:tc>
        <w:tc>
          <w:tcPr>
            <w:tcW w:w="6095" w:type="dxa"/>
            <w:gridSpan w:val="3"/>
            <w:vAlign w:val="center"/>
          </w:tcPr>
          <w:p>
            <w:pPr>
              <w:pStyle w:val="13"/>
            </w:pPr>
            <w:r>
              <w:t>农药包装废弃物回收工作经费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完成全区农业包装废弃物处理工作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1.通过开展农药包装废弃物回收工作，防止土壤污染，保障农产品质量安全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回收数量</w:t>
            </w:r>
          </w:p>
        </w:tc>
        <w:tc>
          <w:tcPr>
            <w:tcW w:w="5386" w:type="dxa"/>
            <w:vAlign w:val="center"/>
          </w:tcPr>
          <w:p>
            <w:pPr>
              <w:pStyle w:val="13"/>
            </w:pPr>
            <w:r>
              <w:t>农药包装废弃物回收、转运和处理数量</w:t>
            </w:r>
          </w:p>
        </w:tc>
        <w:tc>
          <w:tcPr>
            <w:tcW w:w="2268" w:type="dxa"/>
            <w:vAlign w:val="center"/>
          </w:tcPr>
          <w:p>
            <w:pPr>
              <w:pStyle w:val="13"/>
            </w:pPr>
            <w:r>
              <w:t>≥50公斤</w:t>
            </w:r>
          </w:p>
        </w:tc>
        <w:tc>
          <w:tcPr>
            <w:tcW w:w="1276" w:type="dxa"/>
            <w:vAlign w:val="center"/>
          </w:tcPr>
          <w:p>
            <w:pPr>
              <w:pStyle w:val="13"/>
            </w:pPr>
            <w:r>
              <w:t>根据种植面积测算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回收率</w:t>
            </w:r>
          </w:p>
        </w:tc>
        <w:tc>
          <w:tcPr>
            <w:tcW w:w="5386" w:type="dxa"/>
            <w:vAlign w:val="center"/>
          </w:tcPr>
          <w:p>
            <w:pPr>
              <w:pStyle w:val="13"/>
            </w:pPr>
            <w:r>
              <w:t>实际回收包装废弃物占实际产生数量比率</w:t>
            </w:r>
          </w:p>
        </w:tc>
        <w:tc>
          <w:tcPr>
            <w:tcW w:w="2268" w:type="dxa"/>
            <w:vAlign w:val="center"/>
          </w:tcPr>
          <w:p>
            <w:pPr>
              <w:pStyle w:val="13"/>
            </w:pPr>
            <w:r>
              <w:t>≥90百分比</w:t>
            </w:r>
          </w:p>
        </w:tc>
        <w:tc>
          <w:tcPr>
            <w:tcW w:w="1276" w:type="dxa"/>
            <w:vAlign w:val="center"/>
          </w:tcPr>
          <w:p>
            <w:pPr>
              <w:pStyle w:val="13"/>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按照计划年底前完成</w:t>
            </w:r>
          </w:p>
        </w:tc>
        <w:tc>
          <w:tcPr>
            <w:tcW w:w="2268" w:type="dxa"/>
            <w:vAlign w:val="center"/>
          </w:tcPr>
          <w:p>
            <w:pPr>
              <w:pStyle w:val="13"/>
            </w:pPr>
            <w:r>
              <w:t>≤12月底</w:t>
            </w:r>
          </w:p>
        </w:tc>
        <w:tc>
          <w:tcPr>
            <w:tcW w:w="1276" w:type="dxa"/>
            <w:vAlign w:val="center"/>
          </w:tcPr>
          <w:p>
            <w:pPr>
              <w:pStyle w:val="13"/>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≤80元/公斤</w:t>
            </w:r>
          </w:p>
        </w:tc>
        <w:tc>
          <w:tcPr>
            <w:tcW w:w="1276" w:type="dxa"/>
            <w:vAlign w:val="center"/>
          </w:tcPr>
          <w:p>
            <w:pPr>
              <w:pStyle w:val="13"/>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土壤污染率</w:t>
            </w:r>
          </w:p>
        </w:tc>
        <w:tc>
          <w:tcPr>
            <w:tcW w:w="5386" w:type="dxa"/>
            <w:vAlign w:val="center"/>
          </w:tcPr>
          <w:p>
            <w:pPr>
              <w:pStyle w:val="13"/>
            </w:pPr>
            <w:r>
              <w:t>降低农田作业对土壤环境的污染</w:t>
            </w:r>
          </w:p>
        </w:tc>
        <w:tc>
          <w:tcPr>
            <w:tcW w:w="2268" w:type="dxa"/>
            <w:vAlign w:val="center"/>
          </w:tcPr>
          <w:p>
            <w:pPr>
              <w:pStyle w:val="13"/>
            </w:pPr>
            <w:r>
              <w:t>≤10百分比</w:t>
            </w:r>
          </w:p>
        </w:tc>
        <w:tc>
          <w:tcPr>
            <w:tcW w:w="1276" w:type="dxa"/>
            <w:vAlign w:val="center"/>
          </w:tcPr>
          <w:p>
            <w:pPr>
              <w:pStyle w:val="13"/>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防止土壤污染，保障农产品质量安全</w:t>
            </w:r>
          </w:p>
        </w:tc>
        <w:tc>
          <w:tcPr>
            <w:tcW w:w="5386" w:type="dxa"/>
            <w:vAlign w:val="center"/>
          </w:tcPr>
          <w:p>
            <w:pPr>
              <w:pStyle w:val="13"/>
            </w:pPr>
            <w:r>
              <w:t>防止土壤污染，保障农产品质量安全</w:t>
            </w:r>
          </w:p>
        </w:tc>
        <w:tc>
          <w:tcPr>
            <w:tcW w:w="2268" w:type="dxa"/>
            <w:vAlign w:val="center"/>
          </w:tcPr>
          <w:p>
            <w:pPr>
              <w:pStyle w:val="13"/>
            </w:pPr>
            <w:r>
              <w:t>≥90百分比</w:t>
            </w:r>
          </w:p>
        </w:tc>
        <w:tc>
          <w:tcPr>
            <w:tcW w:w="1276" w:type="dxa"/>
            <w:vAlign w:val="center"/>
          </w:tcPr>
          <w:p>
            <w:pPr>
              <w:pStyle w:val="13"/>
            </w:pPr>
            <w:r>
              <w:t>区农药包装废弃物回收方案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13、石财金【2024】13号关于提前下达中央财政农业保险保费补贴2025年预算指标的通知绩效目标表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13010425P00119410003P</w:t>
            </w:r>
          </w:p>
        </w:tc>
        <w:tc>
          <w:tcPr>
            <w:tcW w:w="2835" w:type="dxa"/>
            <w:vAlign w:val="center"/>
          </w:tcPr>
          <w:p>
            <w:pPr>
              <w:pStyle w:val="11"/>
            </w:pPr>
            <w:r>
              <w:t>项目名称</w:t>
            </w:r>
          </w:p>
        </w:tc>
        <w:tc>
          <w:tcPr>
            <w:tcW w:w="6095" w:type="dxa"/>
            <w:gridSpan w:val="3"/>
            <w:vAlign w:val="center"/>
          </w:tcPr>
          <w:p>
            <w:pPr>
              <w:pStyle w:val="13"/>
            </w:pPr>
            <w:r>
              <w:t>石财金【2024】13号关于提前下达中央财政农业保险保费补贴2025年预算指标的通知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0.68</w:t>
            </w:r>
          </w:p>
        </w:tc>
        <w:tc>
          <w:tcPr>
            <w:tcW w:w="2835" w:type="dxa"/>
            <w:vAlign w:val="center"/>
          </w:tcPr>
          <w:p>
            <w:pPr>
              <w:pStyle w:val="11"/>
            </w:pPr>
            <w:r>
              <w:t>其中：财政    资金</w:t>
            </w:r>
          </w:p>
        </w:tc>
        <w:tc>
          <w:tcPr>
            <w:tcW w:w="2551" w:type="dxa"/>
            <w:vAlign w:val="center"/>
          </w:tcPr>
          <w:p>
            <w:pPr>
              <w:pStyle w:val="13"/>
            </w:pPr>
            <w:r>
              <w:t>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1.通过农业保险补贴，引导和支持农户参加农业保险，防范农业生产风险，保障种植户收益，稳定农业生产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投保面积</w:t>
            </w:r>
          </w:p>
        </w:tc>
        <w:tc>
          <w:tcPr>
            <w:tcW w:w="5386" w:type="dxa"/>
            <w:vAlign w:val="center"/>
          </w:tcPr>
          <w:p>
            <w:pPr>
              <w:pStyle w:val="13"/>
            </w:pPr>
            <w:r>
              <w:t>投保面积</w:t>
            </w:r>
          </w:p>
        </w:tc>
        <w:tc>
          <w:tcPr>
            <w:tcW w:w="2268" w:type="dxa"/>
            <w:vAlign w:val="center"/>
          </w:tcPr>
          <w:p>
            <w:pPr>
              <w:pStyle w:val="13"/>
            </w:pPr>
            <w:r>
              <w:t>200亩</w:t>
            </w:r>
          </w:p>
        </w:tc>
        <w:tc>
          <w:tcPr>
            <w:tcW w:w="1276" w:type="dxa"/>
            <w:vAlign w:val="center"/>
          </w:tcPr>
          <w:p>
            <w:pPr>
              <w:pStyle w:val="13"/>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投保面积覆盖率</w:t>
            </w:r>
          </w:p>
        </w:tc>
        <w:tc>
          <w:tcPr>
            <w:tcW w:w="5386" w:type="dxa"/>
            <w:vAlign w:val="center"/>
          </w:tcPr>
          <w:p>
            <w:pPr>
              <w:pStyle w:val="13"/>
            </w:pPr>
            <w:r>
              <w:t>投保面积覆盖率</w:t>
            </w:r>
          </w:p>
        </w:tc>
        <w:tc>
          <w:tcPr>
            <w:tcW w:w="2268" w:type="dxa"/>
            <w:vAlign w:val="center"/>
          </w:tcPr>
          <w:p>
            <w:pPr>
              <w:pStyle w:val="13"/>
            </w:pPr>
            <w:r>
              <w:t>≥80百分比</w:t>
            </w:r>
          </w:p>
        </w:tc>
        <w:tc>
          <w:tcPr>
            <w:tcW w:w="1276" w:type="dxa"/>
            <w:vAlign w:val="center"/>
          </w:tcPr>
          <w:p>
            <w:pPr>
              <w:pStyle w:val="13"/>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投保及时率</w:t>
            </w:r>
          </w:p>
        </w:tc>
        <w:tc>
          <w:tcPr>
            <w:tcW w:w="5386" w:type="dxa"/>
            <w:vAlign w:val="center"/>
          </w:tcPr>
          <w:p>
            <w:pPr>
              <w:pStyle w:val="13"/>
            </w:pPr>
            <w:r>
              <w:t>投保及时率</w:t>
            </w:r>
          </w:p>
        </w:tc>
        <w:tc>
          <w:tcPr>
            <w:tcW w:w="2268" w:type="dxa"/>
            <w:vAlign w:val="center"/>
          </w:tcPr>
          <w:p>
            <w:pPr>
              <w:pStyle w:val="13"/>
            </w:pPr>
            <w:r>
              <w:t>≥90百分比</w:t>
            </w:r>
          </w:p>
        </w:tc>
        <w:tc>
          <w:tcPr>
            <w:tcW w:w="1276" w:type="dxa"/>
            <w:vAlign w:val="center"/>
          </w:tcPr>
          <w:p>
            <w:pPr>
              <w:pStyle w:val="13"/>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保险补贴金额</w:t>
            </w:r>
          </w:p>
        </w:tc>
        <w:tc>
          <w:tcPr>
            <w:tcW w:w="2268" w:type="dxa"/>
            <w:vAlign w:val="center"/>
          </w:tcPr>
          <w:p>
            <w:pPr>
              <w:pStyle w:val="13"/>
            </w:pPr>
            <w:r>
              <w:t>≤0.69万元</w:t>
            </w:r>
          </w:p>
        </w:tc>
        <w:tc>
          <w:tcPr>
            <w:tcW w:w="1276" w:type="dxa"/>
            <w:vAlign w:val="center"/>
          </w:tcPr>
          <w:p>
            <w:pPr>
              <w:pStyle w:val="13"/>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抗风险能力提升</w:t>
            </w:r>
          </w:p>
        </w:tc>
        <w:tc>
          <w:tcPr>
            <w:tcW w:w="2268" w:type="dxa"/>
            <w:vAlign w:val="center"/>
          </w:tcPr>
          <w:p>
            <w:pPr>
              <w:pStyle w:val="13"/>
            </w:pPr>
            <w:r>
              <w:t>≥80百分比</w:t>
            </w:r>
          </w:p>
        </w:tc>
        <w:tc>
          <w:tcPr>
            <w:tcW w:w="1276" w:type="dxa"/>
            <w:vAlign w:val="center"/>
          </w:tcPr>
          <w:p>
            <w:pPr>
              <w:pStyle w:val="13"/>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14、石财金【2024】20号关于提前下达2025年省级财政农业保险保费预算指标的通知补贴绩效目标表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13010425P00119410005Y</w:t>
            </w:r>
          </w:p>
        </w:tc>
        <w:tc>
          <w:tcPr>
            <w:tcW w:w="2835" w:type="dxa"/>
            <w:vAlign w:val="center"/>
          </w:tcPr>
          <w:p>
            <w:pPr>
              <w:pStyle w:val="11"/>
            </w:pPr>
            <w:r>
              <w:t>项目名称</w:t>
            </w:r>
          </w:p>
        </w:tc>
        <w:tc>
          <w:tcPr>
            <w:tcW w:w="6095" w:type="dxa"/>
            <w:gridSpan w:val="3"/>
            <w:vAlign w:val="center"/>
          </w:tcPr>
          <w:p>
            <w:pPr>
              <w:pStyle w:val="13"/>
            </w:pPr>
            <w:r>
              <w:t>石财金【2024】20号关于提前下达2025年省级财政农业保险保费预算指标的通知补贴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1.完成对我区农业种植户的农业保险补贴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投保面积</w:t>
            </w:r>
          </w:p>
        </w:tc>
        <w:tc>
          <w:tcPr>
            <w:tcW w:w="5386" w:type="dxa"/>
            <w:vAlign w:val="center"/>
          </w:tcPr>
          <w:p>
            <w:pPr>
              <w:pStyle w:val="13"/>
            </w:pPr>
            <w:r>
              <w:t>投保面积</w:t>
            </w:r>
          </w:p>
        </w:tc>
        <w:tc>
          <w:tcPr>
            <w:tcW w:w="2268" w:type="dxa"/>
            <w:vAlign w:val="center"/>
          </w:tcPr>
          <w:p>
            <w:pPr>
              <w:pStyle w:val="13"/>
            </w:pPr>
            <w:r>
              <w:t>200亩</w:t>
            </w:r>
          </w:p>
        </w:tc>
        <w:tc>
          <w:tcPr>
            <w:tcW w:w="1276" w:type="dxa"/>
            <w:vAlign w:val="center"/>
          </w:tcPr>
          <w:p>
            <w:pPr>
              <w:pStyle w:val="13"/>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投保面积覆盖率</w:t>
            </w:r>
          </w:p>
        </w:tc>
        <w:tc>
          <w:tcPr>
            <w:tcW w:w="5386" w:type="dxa"/>
            <w:vAlign w:val="center"/>
          </w:tcPr>
          <w:p>
            <w:pPr>
              <w:pStyle w:val="13"/>
            </w:pPr>
            <w:r>
              <w:t>投保面积覆盖率</w:t>
            </w:r>
          </w:p>
        </w:tc>
        <w:tc>
          <w:tcPr>
            <w:tcW w:w="2268" w:type="dxa"/>
            <w:vAlign w:val="center"/>
          </w:tcPr>
          <w:p>
            <w:pPr>
              <w:pStyle w:val="13"/>
            </w:pPr>
            <w:r>
              <w:t>≥80百分比</w:t>
            </w:r>
          </w:p>
        </w:tc>
        <w:tc>
          <w:tcPr>
            <w:tcW w:w="1276" w:type="dxa"/>
            <w:vAlign w:val="center"/>
          </w:tcPr>
          <w:p>
            <w:pPr>
              <w:pStyle w:val="13"/>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投保及时率</w:t>
            </w:r>
          </w:p>
        </w:tc>
        <w:tc>
          <w:tcPr>
            <w:tcW w:w="5386" w:type="dxa"/>
            <w:vAlign w:val="center"/>
          </w:tcPr>
          <w:p>
            <w:pPr>
              <w:pStyle w:val="13"/>
            </w:pPr>
            <w:r>
              <w:t>投保及时率</w:t>
            </w:r>
          </w:p>
        </w:tc>
        <w:tc>
          <w:tcPr>
            <w:tcW w:w="2268" w:type="dxa"/>
            <w:vAlign w:val="center"/>
          </w:tcPr>
          <w:p>
            <w:pPr>
              <w:pStyle w:val="13"/>
            </w:pPr>
            <w:r>
              <w:t>≥90百分比</w:t>
            </w:r>
          </w:p>
        </w:tc>
        <w:tc>
          <w:tcPr>
            <w:tcW w:w="1276" w:type="dxa"/>
            <w:vAlign w:val="center"/>
          </w:tcPr>
          <w:p>
            <w:pPr>
              <w:pStyle w:val="13"/>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保险补贴金额</w:t>
            </w:r>
          </w:p>
        </w:tc>
        <w:tc>
          <w:tcPr>
            <w:tcW w:w="2268" w:type="dxa"/>
            <w:vAlign w:val="center"/>
          </w:tcPr>
          <w:p>
            <w:pPr>
              <w:pStyle w:val="13"/>
            </w:pPr>
            <w:r>
              <w:t>≤0.34万元</w:t>
            </w:r>
          </w:p>
        </w:tc>
        <w:tc>
          <w:tcPr>
            <w:tcW w:w="1276" w:type="dxa"/>
            <w:vAlign w:val="center"/>
          </w:tcPr>
          <w:p>
            <w:pPr>
              <w:pStyle w:val="13"/>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抗风险能力提升</w:t>
            </w:r>
          </w:p>
        </w:tc>
        <w:tc>
          <w:tcPr>
            <w:tcW w:w="2268" w:type="dxa"/>
            <w:vAlign w:val="center"/>
          </w:tcPr>
          <w:p>
            <w:pPr>
              <w:pStyle w:val="13"/>
            </w:pPr>
            <w:r>
              <w:t>≥80百分比</w:t>
            </w:r>
          </w:p>
        </w:tc>
        <w:tc>
          <w:tcPr>
            <w:tcW w:w="1276" w:type="dxa"/>
            <w:vAlign w:val="center"/>
          </w:tcPr>
          <w:p>
            <w:pPr>
              <w:pStyle w:val="13"/>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15、石财金【2024】24号关于提前下达2025年市级政策性农业保险保费补贴专项资金预算的通知绩效目标表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13010425P00119410004B</w:t>
            </w:r>
          </w:p>
        </w:tc>
        <w:tc>
          <w:tcPr>
            <w:tcW w:w="2835" w:type="dxa"/>
            <w:vAlign w:val="center"/>
          </w:tcPr>
          <w:p>
            <w:pPr>
              <w:pStyle w:val="11"/>
            </w:pPr>
            <w:r>
              <w:t>项目名称</w:t>
            </w:r>
          </w:p>
        </w:tc>
        <w:tc>
          <w:tcPr>
            <w:tcW w:w="6095" w:type="dxa"/>
            <w:gridSpan w:val="3"/>
            <w:vAlign w:val="center"/>
          </w:tcPr>
          <w:p>
            <w:pPr>
              <w:pStyle w:val="13"/>
            </w:pPr>
            <w:r>
              <w:t>石财金【2024】24号关于提前下达2025年市级政策性农业保险保费补贴专项资金预算的通知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用于小麦种植户的农业保险补贴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1.用于2025年政策性市级农业保险补贴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投保面积</w:t>
            </w:r>
          </w:p>
        </w:tc>
        <w:tc>
          <w:tcPr>
            <w:tcW w:w="5386" w:type="dxa"/>
            <w:vAlign w:val="center"/>
          </w:tcPr>
          <w:p>
            <w:pPr>
              <w:pStyle w:val="13"/>
            </w:pPr>
            <w:r>
              <w:t>投保面积</w:t>
            </w:r>
          </w:p>
        </w:tc>
        <w:tc>
          <w:tcPr>
            <w:tcW w:w="2268" w:type="dxa"/>
            <w:vAlign w:val="center"/>
          </w:tcPr>
          <w:p>
            <w:pPr>
              <w:pStyle w:val="13"/>
            </w:pPr>
            <w:r>
              <w:t>200亩</w:t>
            </w:r>
          </w:p>
        </w:tc>
        <w:tc>
          <w:tcPr>
            <w:tcW w:w="1276" w:type="dxa"/>
            <w:vAlign w:val="center"/>
          </w:tcPr>
          <w:p>
            <w:pPr>
              <w:pStyle w:val="13"/>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投保面积覆盖率</w:t>
            </w:r>
          </w:p>
        </w:tc>
        <w:tc>
          <w:tcPr>
            <w:tcW w:w="5386" w:type="dxa"/>
            <w:vAlign w:val="center"/>
          </w:tcPr>
          <w:p>
            <w:pPr>
              <w:pStyle w:val="13"/>
            </w:pPr>
            <w:r>
              <w:t>投保面积覆盖率</w:t>
            </w:r>
          </w:p>
        </w:tc>
        <w:tc>
          <w:tcPr>
            <w:tcW w:w="2268" w:type="dxa"/>
            <w:vAlign w:val="center"/>
          </w:tcPr>
          <w:p>
            <w:pPr>
              <w:pStyle w:val="13"/>
            </w:pPr>
            <w:r>
              <w:t>≥80百分比</w:t>
            </w:r>
          </w:p>
        </w:tc>
        <w:tc>
          <w:tcPr>
            <w:tcW w:w="1276" w:type="dxa"/>
            <w:vAlign w:val="center"/>
          </w:tcPr>
          <w:p>
            <w:pPr>
              <w:pStyle w:val="13"/>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投保及时率</w:t>
            </w:r>
          </w:p>
        </w:tc>
        <w:tc>
          <w:tcPr>
            <w:tcW w:w="5386" w:type="dxa"/>
            <w:vAlign w:val="center"/>
          </w:tcPr>
          <w:p>
            <w:pPr>
              <w:pStyle w:val="13"/>
            </w:pPr>
            <w:r>
              <w:t>投保及时率</w:t>
            </w:r>
          </w:p>
        </w:tc>
        <w:tc>
          <w:tcPr>
            <w:tcW w:w="2268" w:type="dxa"/>
            <w:vAlign w:val="center"/>
          </w:tcPr>
          <w:p>
            <w:pPr>
              <w:pStyle w:val="13"/>
            </w:pPr>
            <w:r>
              <w:t>≥90百分比</w:t>
            </w:r>
          </w:p>
        </w:tc>
        <w:tc>
          <w:tcPr>
            <w:tcW w:w="1276" w:type="dxa"/>
            <w:vAlign w:val="center"/>
          </w:tcPr>
          <w:p>
            <w:pPr>
              <w:pStyle w:val="13"/>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保险补贴金额</w:t>
            </w:r>
          </w:p>
        </w:tc>
        <w:tc>
          <w:tcPr>
            <w:tcW w:w="2268" w:type="dxa"/>
            <w:vAlign w:val="center"/>
          </w:tcPr>
          <w:p>
            <w:pPr>
              <w:pStyle w:val="13"/>
            </w:pPr>
            <w:r>
              <w:t>≤0.1万元</w:t>
            </w:r>
          </w:p>
        </w:tc>
        <w:tc>
          <w:tcPr>
            <w:tcW w:w="1276" w:type="dxa"/>
            <w:vAlign w:val="center"/>
          </w:tcPr>
          <w:p>
            <w:pPr>
              <w:pStyle w:val="13"/>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投保覆盖率</w:t>
            </w:r>
          </w:p>
        </w:tc>
        <w:tc>
          <w:tcPr>
            <w:tcW w:w="5386" w:type="dxa"/>
            <w:vAlign w:val="center"/>
          </w:tcPr>
          <w:p>
            <w:pPr>
              <w:pStyle w:val="13"/>
            </w:pPr>
            <w:r>
              <w:t>抗风险能力提升</w:t>
            </w:r>
          </w:p>
        </w:tc>
        <w:tc>
          <w:tcPr>
            <w:tcW w:w="2268" w:type="dxa"/>
            <w:vAlign w:val="center"/>
          </w:tcPr>
          <w:p>
            <w:pPr>
              <w:pStyle w:val="13"/>
            </w:pPr>
            <w:r>
              <w:t>≥80百分比</w:t>
            </w:r>
          </w:p>
        </w:tc>
        <w:tc>
          <w:tcPr>
            <w:tcW w:w="1276" w:type="dxa"/>
            <w:vAlign w:val="center"/>
          </w:tcPr>
          <w:p>
            <w:pPr>
              <w:pStyle w:val="13"/>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16、石财金【2025】19号关于下达2025年第二笔省级财政农业保险保费补贴预算的通知绩效目标表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13010425P00990610005U</w:t>
            </w:r>
          </w:p>
        </w:tc>
        <w:tc>
          <w:tcPr>
            <w:tcW w:w="2835" w:type="dxa"/>
            <w:vAlign w:val="center"/>
          </w:tcPr>
          <w:p>
            <w:pPr>
              <w:pStyle w:val="11"/>
            </w:pPr>
            <w:r>
              <w:t>项目名称</w:t>
            </w:r>
          </w:p>
        </w:tc>
        <w:tc>
          <w:tcPr>
            <w:tcW w:w="6095" w:type="dxa"/>
            <w:gridSpan w:val="3"/>
            <w:vAlign w:val="center"/>
          </w:tcPr>
          <w:p>
            <w:pPr>
              <w:pStyle w:val="13"/>
            </w:pPr>
            <w:r>
              <w:t>石财金【2025】19号关于下达2025年第二笔省级财政农业保险保费补贴预算的通知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1.核查种植面积</w:t>
            </w:r>
          </w:p>
          <w:p>
            <w:pPr>
              <w:pStyle w:val="13"/>
            </w:pPr>
            <w:r>
              <w:t>2.测算补贴金额</w:t>
            </w:r>
          </w:p>
          <w:p>
            <w:pPr>
              <w:pStyle w:val="13"/>
            </w:pPr>
            <w:r>
              <w:t>3.为种植户发放到位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投保面积</w:t>
            </w:r>
          </w:p>
        </w:tc>
        <w:tc>
          <w:tcPr>
            <w:tcW w:w="5386" w:type="dxa"/>
            <w:vAlign w:val="center"/>
          </w:tcPr>
          <w:p>
            <w:pPr>
              <w:pStyle w:val="13"/>
            </w:pPr>
            <w:r>
              <w:t>投保面积</w:t>
            </w:r>
          </w:p>
        </w:tc>
        <w:tc>
          <w:tcPr>
            <w:tcW w:w="2268" w:type="dxa"/>
            <w:vAlign w:val="center"/>
          </w:tcPr>
          <w:p>
            <w:pPr>
              <w:pStyle w:val="13"/>
            </w:pPr>
            <w:r>
              <w:t>200亩</w:t>
            </w:r>
          </w:p>
        </w:tc>
        <w:tc>
          <w:tcPr>
            <w:tcW w:w="1276" w:type="dxa"/>
            <w:vAlign w:val="center"/>
          </w:tcPr>
          <w:p>
            <w:pPr>
              <w:pStyle w:val="13"/>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投保面积覆盖率</w:t>
            </w:r>
          </w:p>
        </w:tc>
        <w:tc>
          <w:tcPr>
            <w:tcW w:w="5386" w:type="dxa"/>
            <w:vAlign w:val="center"/>
          </w:tcPr>
          <w:p>
            <w:pPr>
              <w:pStyle w:val="13"/>
            </w:pPr>
            <w:r>
              <w:t>投保面积覆盖率</w:t>
            </w:r>
          </w:p>
        </w:tc>
        <w:tc>
          <w:tcPr>
            <w:tcW w:w="2268" w:type="dxa"/>
            <w:vAlign w:val="center"/>
          </w:tcPr>
          <w:p>
            <w:pPr>
              <w:pStyle w:val="13"/>
            </w:pPr>
            <w:r>
              <w:t>≥80百分比</w:t>
            </w:r>
          </w:p>
        </w:tc>
        <w:tc>
          <w:tcPr>
            <w:tcW w:w="1276" w:type="dxa"/>
            <w:vAlign w:val="center"/>
          </w:tcPr>
          <w:p>
            <w:pPr>
              <w:pStyle w:val="13"/>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投保及时率</w:t>
            </w:r>
          </w:p>
        </w:tc>
        <w:tc>
          <w:tcPr>
            <w:tcW w:w="5386" w:type="dxa"/>
            <w:vAlign w:val="center"/>
          </w:tcPr>
          <w:p>
            <w:pPr>
              <w:pStyle w:val="13"/>
            </w:pPr>
            <w:r>
              <w:t>投保及时率</w:t>
            </w:r>
          </w:p>
        </w:tc>
        <w:tc>
          <w:tcPr>
            <w:tcW w:w="2268" w:type="dxa"/>
            <w:vAlign w:val="center"/>
          </w:tcPr>
          <w:p>
            <w:pPr>
              <w:pStyle w:val="13"/>
            </w:pPr>
            <w:r>
              <w:t>≥90百分比</w:t>
            </w:r>
          </w:p>
        </w:tc>
        <w:tc>
          <w:tcPr>
            <w:tcW w:w="1276" w:type="dxa"/>
            <w:vAlign w:val="center"/>
          </w:tcPr>
          <w:p>
            <w:pPr>
              <w:pStyle w:val="13"/>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保险补贴金额</w:t>
            </w:r>
          </w:p>
        </w:tc>
        <w:tc>
          <w:tcPr>
            <w:tcW w:w="2268" w:type="dxa"/>
            <w:vAlign w:val="center"/>
          </w:tcPr>
          <w:p>
            <w:pPr>
              <w:pStyle w:val="13"/>
            </w:pPr>
            <w:r>
              <w:t>≤0.04万元</w:t>
            </w:r>
          </w:p>
        </w:tc>
        <w:tc>
          <w:tcPr>
            <w:tcW w:w="1276" w:type="dxa"/>
            <w:vAlign w:val="center"/>
          </w:tcPr>
          <w:p>
            <w:pPr>
              <w:pStyle w:val="13"/>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间接经济效益</w:t>
            </w:r>
          </w:p>
        </w:tc>
        <w:tc>
          <w:tcPr>
            <w:tcW w:w="5386" w:type="dxa"/>
            <w:vAlign w:val="center"/>
          </w:tcPr>
          <w:p>
            <w:pPr>
              <w:pStyle w:val="13"/>
            </w:pPr>
            <w:r>
              <w:t>抗风险能力提升</w:t>
            </w:r>
          </w:p>
        </w:tc>
        <w:tc>
          <w:tcPr>
            <w:tcW w:w="2268" w:type="dxa"/>
            <w:vAlign w:val="center"/>
          </w:tcPr>
          <w:p>
            <w:pPr>
              <w:pStyle w:val="13"/>
            </w:pPr>
            <w:r>
              <w:t>≥80百分比</w:t>
            </w:r>
          </w:p>
        </w:tc>
        <w:tc>
          <w:tcPr>
            <w:tcW w:w="1276" w:type="dxa"/>
            <w:vAlign w:val="center"/>
          </w:tcPr>
          <w:p>
            <w:pPr>
              <w:pStyle w:val="13"/>
            </w:pPr>
            <w:r>
              <w:t>石财金【2024】20号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17、石财农【2024】65号关于提前下达2025年省级农村财会人员培训资金预算的通知绩效目标表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13010425P00003410002E</w:t>
            </w:r>
          </w:p>
        </w:tc>
        <w:tc>
          <w:tcPr>
            <w:tcW w:w="2835" w:type="dxa"/>
            <w:vAlign w:val="center"/>
          </w:tcPr>
          <w:p>
            <w:pPr>
              <w:pStyle w:val="11"/>
            </w:pPr>
            <w:r>
              <w:t>项目名称</w:t>
            </w:r>
          </w:p>
        </w:tc>
        <w:tc>
          <w:tcPr>
            <w:tcW w:w="6095" w:type="dxa"/>
            <w:gridSpan w:val="3"/>
            <w:vAlign w:val="center"/>
          </w:tcPr>
          <w:p>
            <w:pPr>
              <w:pStyle w:val="13"/>
            </w:pPr>
            <w:r>
              <w:t>石财农【2024】65号关于提前下达2025年省级农村财会人员培训资金预算的通知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4.41</w:t>
            </w:r>
          </w:p>
        </w:tc>
        <w:tc>
          <w:tcPr>
            <w:tcW w:w="2835" w:type="dxa"/>
            <w:vAlign w:val="center"/>
          </w:tcPr>
          <w:p>
            <w:pPr>
              <w:pStyle w:val="11"/>
            </w:pPr>
            <w:r>
              <w:t>其中：财政    资金</w:t>
            </w:r>
          </w:p>
        </w:tc>
        <w:tc>
          <w:tcPr>
            <w:tcW w:w="2551" w:type="dxa"/>
            <w:vAlign w:val="center"/>
          </w:tcPr>
          <w:p>
            <w:pPr>
              <w:pStyle w:val="13"/>
            </w:pPr>
            <w:r>
              <w:t>4.41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用于农村财会人员培训，提升业务能力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1.用于我区农村财会人员培训工作，提升财务人员业务能力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培训数量</w:t>
            </w:r>
          </w:p>
        </w:tc>
        <w:tc>
          <w:tcPr>
            <w:tcW w:w="5386" w:type="dxa"/>
            <w:vAlign w:val="center"/>
          </w:tcPr>
          <w:p>
            <w:pPr>
              <w:pStyle w:val="13"/>
            </w:pPr>
            <w:r>
              <w:t>参与培训村集体数量</w:t>
            </w:r>
          </w:p>
        </w:tc>
        <w:tc>
          <w:tcPr>
            <w:tcW w:w="2268" w:type="dxa"/>
            <w:vAlign w:val="center"/>
          </w:tcPr>
          <w:p>
            <w:pPr>
              <w:pStyle w:val="13"/>
            </w:pPr>
            <w:r>
              <w:t>30个</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≥90百分比</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单次培训成本</w:t>
            </w:r>
          </w:p>
        </w:tc>
        <w:tc>
          <w:tcPr>
            <w:tcW w:w="2268" w:type="dxa"/>
            <w:vAlign w:val="center"/>
          </w:tcPr>
          <w:p>
            <w:pPr>
              <w:pStyle w:val="13"/>
            </w:pPr>
            <w:r>
              <w:t>≤5万元</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培训覆盖率</w:t>
            </w:r>
          </w:p>
        </w:tc>
        <w:tc>
          <w:tcPr>
            <w:tcW w:w="5386" w:type="dxa"/>
            <w:vAlign w:val="center"/>
          </w:tcPr>
          <w:p>
            <w:pPr>
              <w:pStyle w:val="13"/>
            </w:pPr>
            <w:r>
              <w:t>培训覆盖率</w:t>
            </w:r>
          </w:p>
        </w:tc>
        <w:tc>
          <w:tcPr>
            <w:tcW w:w="2268" w:type="dxa"/>
            <w:vAlign w:val="center"/>
          </w:tcPr>
          <w:p>
            <w:pPr>
              <w:pStyle w:val="13"/>
            </w:pPr>
            <w:r>
              <w:t>≥90百分比</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18、石财农【2024】95号关于提前下达2025年实际水利发展资金预算指标的通知绩效目标表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13010425P000004100067</w:t>
            </w:r>
          </w:p>
        </w:tc>
        <w:tc>
          <w:tcPr>
            <w:tcW w:w="2835" w:type="dxa"/>
            <w:vAlign w:val="center"/>
          </w:tcPr>
          <w:p>
            <w:pPr>
              <w:pStyle w:val="11"/>
            </w:pPr>
            <w:r>
              <w:t>项目名称</w:t>
            </w:r>
          </w:p>
        </w:tc>
        <w:tc>
          <w:tcPr>
            <w:tcW w:w="6095" w:type="dxa"/>
            <w:gridSpan w:val="3"/>
            <w:vAlign w:val="center"/>
          </w:tcPr>
          <w:p>
            <w:pPr>
              <w:pStyle w:val="13"/>
            </w:pPr>
            <w:r>
              <w:t>石财农【2024】95号关于提前下达2025年实际水利发展资金预算指标的通知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0.76</w:t>
            </w:r>
          </w:p>
        </w:tc>
        <w:tc>
          <w:tcPr>
            <w:tcW w:w="2835" w:type="dxa"/>
            <w:vAlign w:val="center"/>
          </w:tcPr>
          <w:p>
            <w:pPr>
              <w:pStyle w:val="11"/>
            </w:pPr>
            <w:r>
              <w:t>其中：财政    资金</w:t>
            </w:r>
          </w:p>
        </w:tc>
        <w:tc>
          <w:tcPr>
            <w:tcW w:w="2551" w:type="dxa"/>
            <w:vAlign w:val="center"/>
          </w:tcPr>
          <w:p>
            <w:pPr>
              <w:pStyle w:val="13"/>
            </w:pPr>
            <w:r>
              <w:t>0.76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用于幸福河湖创建项目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1.完成幸福河湖创建项目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幸福河湖创建项目数量</w:t>
            </w:r>
          </w:p>
        </w:tc>
        <w:tc>
          <w:tcPr>
            <w:tcW w:w="5386" w:type="dxa"/>
            <w:vAlign w:val="center"/>
          </w:tcPr>
          <w:p>
            <w:pPr>
              <w:pStyle w:val="13"/>
            </w:pPr>
            <w:r>
              <w:t>幸福河湖创建项目数量</w:t>
            </w:r>
          </w:p>
        </w:tc>
        <w:tc>
          <w:tcPr>
            <w:tcW w:w="2268" w:type="dxa"/>
            <w:vAlign w:val="center"/>
          </w:tcPr>
          <w:p>
            <w:pPr>
              <w:pStyle w:val="13"/>
            </w:pPr>
            <w:r>
              <w:t>2个</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项目完成及时率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≤5.25万元</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河湖清洁率</w:t>
            </w:r>
          </w:p>
        </w:tc>
        <w:tc>
          <w:tcPr>
            <w:tcW w:w="5386" w:type="dxa"/>
            <w:vAlign w:val="center"/>
          </w:tcPr>
          <w:p>
            <w:pPr>
              <w:pStyle w:val="13"/>
            </w:pPr>
            <w:r>
              <w:t>河湖清洁率</w:t>
            </w:r>
          </w:p>
        </w:tc>
        <w:tc>
          <w:tcPr>
            <w:tcW w:w="2268" w:type="dxa"/>
            <w:vAlign w:val="center"/>
          </w:tcPr>
          <w:p>
            <w:pPr>
              <w:pStyle w:val="13"/>
            </w:pPr>
            <w:r>
              <w:t>≥80百分比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19、石财农【2024】95号关于提前下达2025年市级水利发展资金预算指标的通知绩效目标表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13010425P000004100040</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用于河湖管护，专项行动和能力建设等工作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1.做好河湖管护，专项行动和能力建设等工作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河长制宣传次数</w:t>
            </w:r>
          </w:p>
        </w:tc>
        <w:tc>
          <w:tcPr>
            <w:tcW w:w="2268" w:type="dxa"/>
            <w:vAlign w:val="center"/>
          </w:tcPr>
          <w:p>
            <w:pPr>
              <w:pStyle w:val="13"/>
            </w:pPr>
            <w:r>
              <w:t>1次</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公示牌维护率</w:t>
            </w:r>
          </w:p>
        </w:tc>
        <w:tc>
          <w:tcPr>
            <w:tcW w:w="5386" w:type="dxa"/>
            <w:vAlign w:val="center"/>
          </w:tcPr>
          <w:p>
            <w:pPr>
              <w:pStyle w:val="13"/>
            </w:pPr>
            <w:r>
              <w:t>公示牌维护率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≤8万元</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河湖垃圾覆盖率</w:t>
            </w:r>
          </w:p>
        </w:tc>
        <w:tc>
          <w:tcPr>
            <w:tcW w:w="5386" w:type="dxa"/>
            <w:vAlign w:val="center"/>
          </w:tcPr>
          <w:p>
            <w:pPr>
              <w:pStyle w:val="13"/>
            </w:pPr>
            <w:r>
              <w:t>垃圾覆盖率</w:t>
            </w:r>
          </w:p>
        </w:tc>
        <w:tc>
          <w:tcPr>
            <w:tcW w:w="2268" w:type="dxa"/>
            <w:vAlign w:val="center"/>
          </w:tcPr>
          <w:p>
            <w:pPr>
              <w:pStyle w:val="13"/>
            </w:pPr>
            <w:r>
              <w:t>≤10百分比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20、石财农【2024】95号关于提前下达市级水利发展资金预算指标的通知绩效目标表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13010425P00000410005K</w:t>
            </w:r>
          </w:p>
        </w:tc>
        <w:tc>
          <w:tcPr>
            <w:tcW w:w="2835" w:type="dxa"/>
            <w:vAlign w:val="center"/>
          </w:tcPr>
          <w:p>
            <w:pPr>
              <w:pStyle w:val="11"/>
            </w:pPr>
            <w:r>
              <w:t>项目名称</w:t>
            </w:r>
          </w:p>
        </w:tc>
        <w:tc>
          <w:tcPr>
            <w:tcW w:w="6095" w:type="dxa"/>
            <w:gridSpan w:val="3"/>
            <w:vAlign w:val="center"/>
          </w:tcPr>
          <w:p>
            <w:pPr>
              <w:pStyle w:val="13"/>
            </w:pPr>
            <w:r>
              <w:t>石财农【2024】95号关于提前下达市级水利发展资金预算指标的通知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w:t>
            </w:r>
          </w:p>
        </w:tc>
        <w:tc>
          <w:tcPr>
            <w:tcW w:w="2835" w:type="dxa"/>
            <w:vAlign w:val="center"/>
          </w:tcPr>
          <w:p>
            <w:pPr>
              <w:pStyle w:val="11"/>
            </w:pPr>
            <w:r>
              <w:t>其中：财政    资金</w:t>
            </w:r>
          </w:p>
        </w:tc>
        <w:tc>
          <w:tcPr>
            <w:tcW w:w="2551" w:type="dxa"/>
            <w:vAlign w:val="center"/>
          </w:tcPr>
          <w:p>
            <w:pPr>
              <w:pStyle w:val="13"/>
            </w:pPr>
            <w:r>
              <w:t>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用于村级河长巡河补助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1.用于对村级河长巡河进行补助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补助发放次数</w:t>
            </w:r>
          </w:p>
        </w:tc>
        <w:tc>
          <w:tcPr>
            <w:tcW w:w="5386" w:type="dxa"/>
            <w:vAlign w:val="center"/>
          </w:tcPr>
          <w:p>
            <w:pPr>
              <w:pStyle w:val="13"/>
            </w:pPr>
            <w:r>
              <w:t>补助发放次数</w:t>
            </w:r>
          </w:p>
        </w:tc>
        <w:tc>
          <w:tcPr>
            <w:tcW w:w="2268" w:type="dxa"/>
            <w:vAlign w:val="center"/>
          </w:tcPr>
          <w:p>
            <w:pPr>
              <w:pStyle w:val="13"/>
            </w:pPr>
            <w:r>
              <w:t>2次</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巡河任务完成率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补助发放及时率</w:t>
            </w:r>
          </w:p>
        </w:tc>
        <w:tc>
          <w:tcPr>
            <w:tcW w:w="2268" w:type="dxa"/>
            <w:vAlign w:val="center"/>
          </w:tcPr>
          <w:p>
            <w:pPr>
              <w:pStyle w:val="13"/>
            </w:pPr>
            <w:r>
              <w:t>≥90百分比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单位成本</w:t>
            </w:r>
          </w:p>
        </w:tc>
        <w:tc>
          <w:tcPr>
            <w:tcW w:w="2268" w:type="dxa"/>
            <w:vAlign w:val="center"/>
          </w:tcPr>
          <w:p>
            <w:pPr>
              <w:pStyle w:val="13"/>
            </w:pPr>
            <w:r>
              <w:t>100元/人/月</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河道垃圾清理率</w:t>
            </w:r>
          </w:p>
        </w:tc>
        <w:tc>
          <w:tcPr>
            <w:tcW w:w="5386" w:type="dxa"/>
            <w:vAlign w:val="center"/>
          </w:tcPr>
          <w:p>
            <w:pPr>
              <w:pStyle w:val="13"/>
            </w:pPr>
            <w:r>
              <w:t>河道垃圾清理率</w:t>
            </w:r>
          </w:p>
        </w:tc>
        <w:tc>
          <w:tcPr>
            <w:tcW w:w="2268" w:type="dxa"/>
            <w:vAlign w:val="center"/>
          </w:tcPr>
          <w:p>
            <w:pPr>
              <w:pStyle w:val="13"/>
            </w:pPr>
            <w:r>
              <w:t>≥80百分比</w:t>
            </w:r>
          </w:p>
        </w:tc>
        <w:tc>
          <w:tcPr>
            <w:tcW w:w="1276" w:type="dxa"/>
            <w:vAlign w:val="center"/>
          </w:tcPr>
          <w:p>
            <w:pPr>
              <w:pStyle w:val="13"/>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21、石财农【2025】56号关于提前下达2026年中央粮油生产保障资金绩效目标表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13010426P00989510003N</w:t>
            </w:r>
          </w:p>
        </w:tc>
        <w:tc>
          <w:tcPr>
            <w:tcW w:w="2835" w:type="dxa"/>
            <w:vAlign w:val="center"/>
          </w:tcPr>
          <w:p>
            <w:pPr>
              <w:pStyle w:val="11"/>
            </w:pPr>
            <w:r>
              <w:t>项目名称</w:t>
            </w:r>
          </w:p>
        </w:tc>
        <w:tc>
          <w:tcPr>
            <w:tcW w:w="6095" w:type="dxa"/>
            <w:gridSpan w:val="3"/>
            <w:vAlign w:val="center"/>
          </w:tcPr>
          <w:p>
            <w:pPr>
              <w:pStyle w:val="13"/>
            </w:pPr>
            <w:r>
              <w:t>石财农【2025】56号关于提前下达2026年中央粮油生产保障资金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用于进行粮油生产保障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1.通过使用保障资金，实施“一喷三防”，促进小麦增收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小麦面积</w:t>
            </w:r>
          </w:p>
        </w:tc>
        <w:tc>
          <w:tcPr>
            <w:tcW w:w="5386" w:type="dxa"/>
            <w:vAlign w:val="center"/>
          </w:tcPr>
          <w:p>
            <w:pPr>
              <w:pStyle w:val="13"/>
            </w:pPr>
            <w:r>
              <w:t>实施“一喷三防”小麦面积</w:t>
            </w:r>
          </w:p>
        </w:tc>
        <w:tc>
          <w:tcPr>
            <w:tcW w:w="2268" w:type="dxa"/>
            <w:vAlign w:val="center"/>
          </w:tcPr>
          <w:p>
            <w:pPr>
              <w:pStyle w:val="13"/>
            </w:pPr>
            <w:r>
              <w:t>≥350亩</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小麦实施“一喷三防”效果</w:t>
            </w:r>
          </w:p>
        </w:tc>
        <w:tc>
          <w:tcPr>
            <w:tcW w:w="5386" w:type="dxa"/>
            <w:vAlign w:val="center"/>
          </w:tcPr>
          <w:p>
            <w:pPr>
              <w:pStyle w:val="13"/>
            </w:pPr>
            <w:r>
              <w:t>延长灌浆，增加粒重</w:t>
            </w:r>
          </w:p>
        </w:tc>
        <w:tc>
          <w:tcPr>
            <w:tcW w:w="2268" w:type="dxa"/>
            <w:vAlign w:val="center"/>
          </w:tcPr>
          <w:p>
            <w:pPr>
              <w:pStyle w:val="13"/>
            </w:pPr>
            <w:r>
              <w:t>延长灌浆，增加粒重</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重大病虫害防控时效</w:t>
            </w:r>
          </w:p>
        </w:tc>
        <w:tc>
          <w:tcPr>
            <w:tcW w:w="5386" w:type="dxa"/>
            <w:vAlign w:val="center"/>
          </w:tcPr>
          <w:p>
            <w:pPr>
              <w:pStyle w:val="13"/>
            </w:pPr>
            <w:r>
              <w:t>重大病虫害防控时效</w:t>
            </w:r>
          </w:p>
        </w:tc>
        <w:tc>
          <w:tcPr>
            <w:tcW w:w="2268" w:type="dxa"/>
            <w:vAlign w:val="center"/>
          </w:tcPr>
          <w:p>
            <w:pPr>
              <w:pStyle w:val="13"/>
            </w:pPr>
            <w:r>
              <w:t>不超有效防控时期</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严格执行预算资金管理</w:t>
            </w:r>
          </w:p>
        </w:tc>
        <w:tc>
          <w:tcPr>
            <w:tcW w:w="5386" w:type="dxa"/>
            <w:vAlign w:val="center"/>
          </w:tcPr>
          <w:p>
            <w:pPr>
              <w:pStyle w:val="13"/>
            </w:pPr>
            <w:r>
              <w:t>不超预算数</w:t>
            </w:r>
          </w:p>
        </w:tc>
        <w:tc>
          <w:tcPr>
            <w:tcW w:w="2268" w:type="dxa"/>
            <w:vAlign w:val="center"/>
          </w:tcPr>
          <w:p>
            <w:pPr>
              <w:pStyle w:val="13"/>
            </w:pPr>
            <w:r>
              <w:t>0.08万元</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促进小麦增产</w:t>
            </w:r>
          </w:p>
        </w:tc>
        <w:tc>
          <w:tcPr>
            <w:tcW w:w="5386" w:type="dxa"/>
            <w:vAlign w:val="center"/>
          </w:tcPr>
          <w:p>
            <w:pPr>
              <w:pStyle w:val="13"/>
            </w:pPr>
            <w:r>
              <w:t>提高灌浆强度，促进小麦增产</w:t>
            </w:r>
          </w:p>
        </w:tc>
        <w:tc>
          <w:tcPr>
            <w:tcW w:w="2268" w:type="dxa"/>
            <w:vAlign w:val="center"/>
          </w:tcPr>
          <w:p>
            <w:pPr>
              <w:pStyle w:val="13"/>
            </w:pPr>
            <w:r>
              <w:t>促进小麦增产</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群众满意度高</w:t>
            </w:r>
          </w:p>
        </w:tc>
        <w:tc>
          <w:tcPr>
            <w:tcW w:w="2268" w:type="dxa"/>
            <w:vAlign w:val="center"/>
          </w:tcPr>
          <w:p>
            <w:pPr>
              <w:pStyle w:val="13"/>
            </w:pPr>
            <w:r>
              <w:t>≥95百分比</w:t>
            </w:r>
          </w:p>
        </w:tc>
        <w:tc>
          <w:tcPr>
            <w:tcW w:w="1276" w:type="dxa"/>
            <w:vAlign w:val="center"/>
          </w:tcPr>
          <w:p>
            <w:pPr>
              <w:pStyle w:val="13"/>
            </w:pPr>
            <w:r>
              <w:t>石财农【2025】56号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22、石财农【2025】64号关于提前下达2026年省级粮油生产保障资金绩效目标表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13010426P00989510004A</w:t>
            </w:r>
          </w:p>
        </w:tc>
        <w:tc>
          <w:tcPr>
            <w:tcW w:w="2835" w:type="dxa"/>
            <w:vAlign w:val="center"/>
          </w:tcPr>
          <w:p>
            <w:pPr>
              <w:pStyle w:val="11"/>
            </w:pPr>
            <w:r>
              <w:t>项目名称</w:t>
            </w:r>
          </w:p>
        </w:tc>
        <w:tc>
          <w:tcPr>
            <w:tcW w:w="6095" w:type="dxa"/>
            <w:gridSpan w:val="3"/>
            <w:vAlign w:val="center"/>
          </w:tcPr>
          <w:p>
            <w:pPr>
              <w:pStyle w:val="13"/>
            </w:pPr>
            <w:r>
              <w:t>石财农【2025】64号关于提前下达2026年省级粮油生产保障资金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用于进行粮油生产保障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1.通过使用保障资金，实施“一喷三防”，促进小麦增收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小麦面积</w:t>
            </w:r>
          </w:p>
        </w:tc>
        <w:tc>
          <w:tcPr>
            <w:tcW w:w="5386" w:type="dxa"/>
            <w:vAlign w:val="center"/>
          </w:tcPr>
          <w:p>
            <w:pPr>
              <w:pStyle w:val="13"/>
            </w:pPr>
            <w:r>
              <w:t>实施“一喷三防”小麦面积</w:t>
            </w:r>
          </w:p>
        </w:tc>
        <w:tc>
          <w:tcPr>
            <w:tcW w:w="2268" w:type="dxa"/>
            <w:vAlign w:val="center"/>
          </w:tcPr>
          <w:p>
            <w:pPr>
              <w:pStyle w:val="13"/>
            </w:pPr>
            <w:r>
              <w:t>≥350亩</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小麦实施“一喷三防”效果</w:t>
            </w:r>
          </w:p>
        </w:tc>
        <w:tc>
          <w:tcPr>
            <w:tcW w:w="5386" w:type="dxa"/>
            <w:vAlign w:val="center"/>
          </w:tcPr>
          <w:p>
            <w:pPr>
              <w:pStyle w:val="13"/>
            </w:pPr>
            <w:r>
              <w:t>延长灌浆，增加粒重</w:t>
            </w:r>
          </w:p>
        </w:tc>
        <w:tc>
          <w:tcPr>
            <w:tcW w:w="2268" w:type="dxa"/>
            <w:vAlign w:val="center"/>
          </w:tcPr>
          <w:p>
            <w:pPr>
              <w:pStyle w:val="13"/>
            </w:pPr>
            <w:r>
              <w:t>延长灌浆，增加粒重</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重大病虫害防控时效</w:t>
            </w:r>
          </w:p>
        </w:tc>
        <w:tc>
          <w:tcPr>
            <w:tcW w:w="5386" w:type="dxa"/>
            <w:vAlign w:val="center"/>
          </w:tcPr>
          <w:p>
            <w:pPr>
              <w:pStyle w:val="13"/>
            </w:pPr>
            <w:r>
              <w:t>重大病虫害防控时效</w:t>
            </w:r>
          </w:p>
        </w:tc>
        <w:tc>
          <w:tcPr>
            <w:tcW w:w="2268" w:type="dxa"/>
            <w:vAlign w:val="center"/>
          </w:tcPr>
          <w:p>
            <w:pPr>
              <w:pStyle w:val="13"/>
            </w:pPr>
            <w:r>
              <w:t>不超有效防控时期</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严格执行预算资金管理</w:t>
            </w:r>
          </w:p>
        </w:tc>
        <w:tc>
          <w:tcPr>
            <w:tcW w:w="5386" w:type="dxa"/>
            <w:vAlign w:val="center"/>
          </w:tcPr>
          <w:p>
            <w:pPr>
              <w:pStyle w:val="13"/>
            </w:pPr>
            <w:r>
              <w:t>不超预算数</w:t>
            </w:r>
          </w:p>
        </w:tc>
        <w:tc>
          <w:tcPr>
            <w:tcW w:w="2268" w:type="dxa"/>
            <w:vAlign w:val="center"/>
          </w:tcPr>
          <w:p>
            <w:pPr>
              <w:pStyle w:val="13"/>
            </w:pPr>
            <w:r>
              <w:t>0.02万元</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促进小麦增产</w:t>
            </w:r>
          </w:p>
        </w:tc>
        <w:tc>
          <w:tcPr>
            <w:tcW w:w="5386" w:type="dxa"/>
            <w:vAlign w:val="center"/>
          </w:tcPr>
          <w:p>
            <w:pPr>
              <w:pStyle w:val="13"/>
            </w:pPr>
            <w:r>
              <w:t>提高灌浆强度，促进小麦增产</w:t>
            </w:r>
          </w:p>
        </w:tc>
        <w:tc>
          <w:tcPr>
            <w:tcW w:w="2268" w:type="dxa"/>
            <w:vAlign w:val="center"/>
          </w:tcPr>
          <w:p>
            <w:pPr>
              <w:pStyle w:val="13"/>
            </w:pPr>
            <w:r>
              <w:t>促进小麦增产</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w:t>
            </w:r>
          </w:p>
        </w:tc>
        <w:tc>
          <w:tcPr>
            <w:tcW w:w="5386" w:type="dxa"/>
            <w:vAlign w:val="center"/>
          </w:tcPr>
          <w:p>
            <w:pPr>
              <w:pStyle w:val="13"/>
            </w:pPr>
            <w:r>
              <w:t>群众满意度高</w:t>
            </w:r>
          </w:p>
        </w:tc>
        <w:tc>
          <w:tcPr>
            <w:tcW w:w="2268" w:type="dxa"/>
            <w:vAlign w:val="center"/>
          </w:tcPr>
          <w:p>
            <w:pPr>
              <w:pStyle w:val="13"/>
            </w:pPr>
            <w:r>
              <w:t>≥95百分比</w:t>
            </w:r>
          </w:p>
        </w:tc>
        <w:tc>
          <w:tcPr>
            <w:tcW w:w="1276" w:type="dxa"/>
            <w:vAlign w:val="center"/>
          </w:tcPr>
          <w:p>
            <w:pPr>
              <w:pStyle w:val="13"/>
            </w:pPr>
            <w:r>
              <w:t>石财农【2025】64号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23、石财农【2025】68号关于提前下达2026年省级农业科技成果转化及推广专项资金的通知绩效目标表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13010426P009919100014</w:t>
            </w:r>
          </w:p>
        </w:tc>
        <w:tc>
          <w:tcPr>
            <w:tcW w:w="2835" w:type="dxa"/>
            <w:vAlign w:val="center"/>
          </w:tcPr>
          <w:p>
            <w:pPr>
              <w:pStyle w:val="11"/>
            </w:pPr>
            <w:r>
              <w:t>项目名称</w:t>
            </w:r>
          </w:p>
        </w:tc>
        <w:tc>
          <w:tcPr>
            <w:tcW w:w="6095" w:type="dxa"/>
            <w:gridSpan w:val="3"/>
            <w:vAlign w:val="center"/>
          </w:tcPr>
          <w:p>
            <w:pPr>
              <w:pStyle w:val="13"/>
            </w:pPr>
            <w:r>
              <w:t>石财农【2025】68号关于提前下达2026年省级农业科技成果转化及推广专项资金的通知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促进我区农业科技成果转化及推广工作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1.促进我区农业科技成果转化及推广工作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w:t>
            </w:r>
          </w:p>
        </w:tc>
        <w:tc>
          <w:tcPr>
            <w:tcW w:w="5386" w:type="dxa"/>
            <w:vAlign w:val="center"/>
          </w:tcPr>
          <w:p>
            <w:pPr>
              <w:pStyle w:val="13"/>
            </w:pPr>
            <w:r>
              <w:t>达标项目数</w:t>
            </w:r>
          </w:p>
        </w:tc>
        <w:tc>
          <w:tcPr>
            <w:tcW w:w="2268" w:type="dxa"/>
            <w:vAlign w:val="center"/>
          </w:tcPr>
          <w:p>
            <w:pPr>
              <w:pStyle w:val="13"/>
            </w:pPr>
            <w:r>
              <w:t>≥1个</w:t>
            </w:r>
          </w:p>
        </w:tc>
        <w:tc>
          <w:tcPr>
            <w:tcW w:w="1276" w:type="dxa"/>
            <w:vAlign w:val="center"/>
          </w:tcPr>
          <w:p>
            <w:pPr>
              <w:pStyle w:val="13"/>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促进农业科技成果转化及推广</w:t>
            </w:r>
          </w:p>
        </w:tc>
        <w:tc>
          <w:tcPr>
            <w:tcW w:w="5386" w:type="dxa"/>
            <w:vAlign w:val="center"/>
          </w:tcPr>
          <w:p>
            <w:pPr>
              <w:pStyle w:val="13"/>
            </w:pPr>
            <w:r>
              <w:t>农业科技成果转化及推广率</w:t>
            </w:r>
          </w:p>
        </w:tc>
        <w:tc>
          <w:tcPr>
            <w:tcW w:w="2268" w:type="dxa"/>
            <w:vAlign w:val="center"/>
          </w:tcPr>
          <w:p>
            <w:pPr>
              <w:pStyle w:val="13"/>
            </w:pPr>
            <w:r>
              <w:t>≥90百分比</w:t>
            </w:r>
          </w:p>
        </w:tc>
        <w:tc>
          <w:tcPr>
            <w:tcW w:w="1276" w:type="dxa"/>
            <w:vAlign w:val="center"/>
          </w:tcPr>
          <w:p>
            <w:pPr>
              <w:pStyle w:val="13"/>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≤30万元</w:t>
            </w:r>
          </w:p>
        </w:tc>
        <w:tc>
          <w:tcPr>
            <w:tcW w:w="1276" w:type="dxa"/>
            <w:vAlign w:val="center"/>
          </w:tcPr>
          <w:p>
            <w:pPr>
              <w:pStyle w:val="13"/>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农业科技成果促进经济发展</w:t>
            </w:r>
          </w:p>
        </w:tc>
        <w:tc>
          <w:tcPr>
            <w:tcW w:w="5386" w:type="dxa"/>
            <w:vAlign w:val="center"/>
          </w:tcPr>
          <w:p>
            <w:pPr>
              <w:pStyle w:val="13"/>
            </w:pPr>
            <w:r>
              <w:t>农业科技成果促进经济发展</w:t>
            </w:r>
          </w:p>
        </w:tc>
        <w:tc>
          <w:tcPr>
            <w:tcW w:w="2268" w:type="dxa"/>
            <w:vAlign w:val="center"/>
          </w:tcPr>
          <w:p>
            <w:pPr>
              <w:pStyle w:val="13"/>
            </w:pPr>
            <w:r>
              <w:t>产生经济价值</w:t>
            </w:r>
          </w:p>
        </w:tc>
        <w:tc>
          <w:tcPr>
            <w:tcW w:w="1276" w:type="dxa"/>
            <w:vAlign w:val="center"/>
          </w:tcPr>
          <w:p>
            <w:pPr>
              <w:pStyle w:val="13"/>
            </w:pPr>
            <w:r>
              <w:t>石财农【2025】68号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24、石财农【2025】84号石家庄市财政局关于2026年提前下达市级水利发展资金预算的通知绩效目标表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13010426P009903100084</w:t>
            </w:r>
          </w:p>
        </w:tc>
        <w:tc>
          <w:tcPr>
            <w:tcW w:w="2835" w:type="dxa"/>
            <w:vAlign w:val="center"/>
          </w:tcPr>
          <w:p>
            <w:pPr>
              <w:pStyle w:val="11"/>
            </w:pPr>
            <w:r>
              <w:t>项目名称</w:t>
            </w:r>
          </w:p>
        </w:tc>
        <w:tc>
          <w:tcPr>
            <w:tcW w:w="6095" w:type="dxa"/>
            <w:gridSpan w:val="3"/>
            <w:vAlign w:val="center"/>
          </w:tcPr>
          <w:p>
            <w:pPr>
              <w:pStyle w:val="13"/>
            </w:pPr>
            <w:r>
              <w:t>石财农【2025】84号石家庄市财政局关于2026年提前下达市级水利发展资金预算的通知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用于开展水利发展相关业务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1.做好河湖管护专项行动和能力建设等工作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河长制宣传次数</w:t>
            </w:r>
          </w:p>
        </w:tc>
        <w:tc>
          <w:tcPr>
            <w:tcW w:w="2268" w:type="dxa"/>
            <w:vAlign w:val="center"/>
          </w:tcPr>
          <w:p>
            <w:pPr>
              <w:pStyle w:val="13"/>
            </w:pPr>
            <w:r>
              <w:t>≥1次</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公示牌维护率</w:t>
            </w:r>
          </w:p>
        </w:tc>
        <w:tc>
          <w:tcPr>
            <w:tcW w:w="5386" w:type="dxa"/>
            <w:vAlign w:val="center"/>
          </w:tcPr>
          <w:p>
            <w:pPr>
              <w:pStyle w:val="13"/>
            </w:pPr>
            <w:r>
              <w:t>公示牌维护率</w:t>
            </w:r>
          </w:p>
        </w:tc>
        <w:tc>
          <w:tcPr>
            <w:tcW w:w="2268" w:type="dxa"/>
            <w:vAlign w:val="center"/>
          </w:tcPr>
          <w:p>
            <w:pPr>
              <w:pStyle w:val="13"/>
            </w:pPr>
            <w:r>
              <w:t>≥90百分比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不超预算数</w:t>
            </w:r>
          </w:p>
        </w:tc>
        <w:tc>
          <w:tcPr>
            <w:tcW w:w="2268" w:type="dxa"/>
            <w:vAlign w:val="center"/>
          </w:tcPr>
          <w:p>
            <w:pPr>
              <w:pStyle w:val="13"/>
            </w:pPr>
            <w:r>
              <w:t>≤9万元</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河湖垃圾覆盖率</w:t>
            </w:r>
          </w:p>
        </w:tc>
        <w:tc>
          <w:tcPr>
            <w:tcW w:w="5386" w:type="dxa"/>
            <w:vAlign w:val="center"/>
          </w:tcPr>
          <w:p>
            <w:pPr>
              <w:pStyle w:val="13"/>
            </w:pPr>
            <w:r>
              <w:t>垃圾覆盖率</w:t>
            </w:r>
          </w:p>
        </w:tc>
        <w:tc>
          <w:tcPr>
            <w:tcW w:w="2268" w:type="dxa"/>
            <w:vAlign w:val="center"/>
          </w:tcPr>
          <w:p>
            <w:pPr>
              <w:pStyle w:val="13"/>
            </w:pPr>
            <w:r>
              <w:t>≤10百分比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石财农【2025】84号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25、石财农【2025】84号石家庄市财政局关于提前下达2026年市级水利发展资金预算的通知绩效目标表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13010426P00990310007G</w:t>
            </w:r>
          </w:p>
        </w:tc>
        <w:tc>
          <w:tcPr>
            <w:tcW w:w="2835" w:type="dxa"/>
            <w:vAlign w:val="center"/>
          </w:tcPr>
          <w:p>
            <w:pPr>
              <w:pStyle w:val="11"/>
            </w:pPr>
            <w:r>
              <w:t>项目名称</w:t>
            </w:r>
          </w:p>
        </w:tc>
        <w:tc>
          <w:tcPr>
            <w:tcW w:w="6095" w:type="dxa"/>
            <w:gridSpan w:val="3"/>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3.74</w:t>
            </w:r>
          </w:p>
        </w:tc>
        <w:tc>
          <w:tcPr>
            <w:tcW w:w="2835" w:type="dxa"/>
            <w:vAlign w:val="center"/>
          </w:tcPr>
          <w:p>
            <w:pPr>
              <w:pStyle w:val="11"/>
            </w:pPr>
            <w:r>
              <w:t>其中：财政    资金</w:t>
            </w:r>
          </w:p>
        </w:tc>
        <w:tc>
          <w:tcPr>
            <w:tcW w:w="2551" w:type="dxa"/>
            <w:vAlign w:val="center"/>
          </w:tcPr>
          <w:p>
            <w:pPr>
              <w:pStyle w:val="13"/>
            </w:pPr>
            <w:r>
              <w:t>3.74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用于开展水利发展相关项目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1.按时发放村级河长巡河补助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补助发放次数</w:t>
            </w:r>
          </w:p>
        </w:tc>
        <w:tc>
          <w:tcPr>
            <w:tcW w:w="5386" w:type="dxa"/>
            <w:vAlign w:val="center"/>
          </w:tcPr>
          <w:p>
            <w:pPr>
              <w:pStyle w:val="13"/>
            </w:pPr>
            <w:r>
              <w:t>补助发放次数</w:t>
            </w:r>
          </w:p>
        </w:tc>
        <w:tc>
          <w:tcPr>
            <w:tcW w:w="2268" w:type="dxa"/>
            <w:vAlign w:val="center"/>
          </w:tcPr>
          <w:p>
            <w:pPr>
              <w:pStyle w:val="13"/>
            </w:pPr>
            <w:r>
              <w:t>2次</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巡河任务完成率</w:t>
            </w:r>
          </w:p>
        </w:tc>
        <w:tc>
          <w:tcPr>
            <w:tcW w:w="2268" w:type="dxa"/>
            <w:vAlign w:val="center"/>
          </w:tcPr>
          <w:p>
            <w:pPr>
              <w:pStyle w:val="13"/>
            </w:pPr>
            <w:r>
              <w:t>≥90百分比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补助发放及时率</w:t>
            </w:r>
          </w:p>
        </w:tc>
        <w:tc>
          <w:tcPr>
            <w:tcW w:w="2268" w:type="dxa"/>
            <w:vAlign w:val="center"/>
          </w:tcPr>
          <w:p>
            <w:pPr>
              <w:pStyle w:val="13"/>
            </w:pPr>
            <w:r>
              <w:t>≥90百分比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单位成本</w:t>
            </w:r>
          </w:p>
        </w:tc>
        <w:tc>
          <w:tcPr>
            <w:tcW w:w="2268" w:type="dxa"/>
            <w:vAlign w:val="center"/>
          </w:tcPr>
          <w:p>
            <w:pPr>
              <w:pStyle w:val="13"/>
            </w:pPr>
            <w:r>
              <w:t>100元/人/月</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河道垃圾清理率</w:t>
            </w:r>
          </w:p>
        </w:tc>
        <w:tc>
          <w:tcPr>
            <w:tcW w:w="5386" w:type="dxa"/>
            <w:vAlign w:val="center"/>
          </w:tcPr>
          <w:p>
            <w:pPr>
              <w:pStyle w:val="13"/>
            </w:pPr>
            <w:r>
              <w:t>河道垃圾清理率</w:t>
            </w:r>
          </w:p>
        </w:tc>
        <w:tc>
          <w:tcPr>
            <w:tcW w:w="2268" w:type="dxa"/>
            <w:vAlign w:val="center"/>
          </w:tcPr>
          <w:p>
            <w:pPr>
              <w:pStyle w:val="13"/>
            </w:pPr>
            <w:r>
              <w:t>≥80百分比</w:t>
            </w:r>
          </w:p>
        </w:tc>
        <w:tc>
          <w:tcPr>
            <w:tcW w:w="1276" w:type="dxa"/>
            <w:vAlign w:val="center"/>
          </w:tcPr>
          <w:p>
            <w:pPr>
              <w:pStyle w:val="13"/>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26、水利事务经费绩效目标表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13010426P009891100057</w:t>
            </w:r>
          </w:p>
        </w:tc>
        <w:tc>
          <w:tcPr>
            <w:tcW w:w="2835" w:type="dxa"/>
            <w:vAlign w:val="center"/>
          </w:tcPr>
          <w:p>
            <w:pPr>
              <w:pStyle w:val="11"/>
            </w:pPr>
            <w:r>
              <w:t>项目名称</w:t>
            </w:r>
          </w:p>
        </w:tc>
        <w:tc>
          <w:tcPr>
            <w:tcW w:w="6095" w:type="dxa"/>
            <w:gridSpan w:val="3"/>
            <w:vAlign w:val="center"/>
          </w:tcPr>
          <w:p>
            <w:pPr>
              <w:pStyle w:val="13"/>
            </w:pPr>
            <w:r>
              <w:t>水利事务经费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完成全区水利相关工作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1.通过节水宣传活动，推动社会节水行动，提高水资源利用率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节水宣传次数</w:t>
            </w:r>
          </w:p>
        </w:tc>
        <w:tc>
          <w:tcPr>
            <w:tcW w:w="2268" w:type="dxa"/>
            <w:vAlign w:val="center"/>
          </w:tcPr>
          <w:p>
            <w:pPr>
              <w:pStyle w:val="13"/>
            </w:pPr>
            <w:r>
              <w:t>≥2次</w:t>
            </w:r>
          </w:p>
        </w:tc>
        <w:tc>
          <w:tcPr>
            <w:tcW w:w="1276" w:type="dxa"/>
            <w:vAlign w:val="center"/>
          </w:tcPr>
          <w:p>
            <w:pPr>
              <w:pStyle w:val="13"/>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工作任务完成率</w:t>
            </w:r>
          </w:p>
        </w:tc>
        <w:tc>
          <w:tcPr>
            <w:tcW w:w="2268" w:type="dxa"/>
            <w:vAlign w:val="center"/>
          </w:tcPr>
          <w:p>
            <w:pPr>
              <w:pStyle w:val="13"/>
            </w:pPr>
            <w:r>
              <w:t>≥90百分比</w:t>
            </w:r>
          </w:p>
        </w:tc>
        <w:tc>
          <w:tcPr>
            <w:tcW w:w="1276" w:type="dxa"/>
            <w:vAlign w:val="center"/>
          </w:tcPr>
          <w:p>
            <w:pPr>
              <w:pStyle w:val="13"/>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按上级工作要求开展宣传活动完成及时率</w:t>
            </w:r>
          </w:p>
        </w:tc>
        <w:tc>
          <w:tcPr>
            <w:tcW w:w="2268" w:type="dxa"/>
            <w:vAlign w:val="center"/>
          </w:tcPr>
          <w:p>
            <w:pPr>
              <w:pStyle w:val="13"/>
            </w:pPr>
            <w:r>
              <w:t>≥90百分比</w:t>
            </w:r>
          </w:p>
        </w:tc>
        <w:tc>
          <w:tcPr>
            <w:tcW w:w="1276" w:type="dxa"/>
            <w:vAlign w:val="center"/>
          </w:tcPr>
          <w:p>
            <w:pPr>
              <w:pStyle w:val="13"/>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单次宣传成本</w:t>
            </w:r>
          </w:p>
        </w:tc>
        <w:tc>
          <w:tcPr>
            <w:tcW w:w="2268" w:type="dxa"/>
            <w:vAlign w:val="center"/>
          </w:tcPr>
          <w:p>
            <w:pPr>
              <w:pStyle w:val="13"/>
            </w:pPr>
            <w:r>
              <w:t>≤0.25万元/次</w:t>
            </w:r>
          </w:p>
        </w:tc>
        <w:tc>
          <w:tcPr>
            <w:tcW w:w="1276" w:type="dxa"/>
            <w:vAlign w:val="center"/>
          </w:tcPr>
          <w:p>
            <w:pPr>
              <w:pStyle w:val="13"/>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通过宣传，群众节水意识提升</w:t>
            </w:r>
          </w:p>
        </w:tc>
        <w:tc>
          <w:tcPr>
            <w:tcW w:w="5386" w:type="dxa"/>
            <w:vAlign w:val="center"/>
          </w:tcPr>
          <w:p>
            <w:pPr>
              <w:pStyle w:val="13"/>
            </w:pPr>
            <w:r>
              <w:t>目标完成率</w:t>
            </w:r>
          </w:p>
        </w:tc>
        <w:tc>
          <w:tcPr>
            <w:tcW w:w="2268" w:type="dxa"/>
            <w:vAlign w:val="center"/>
          </w:tcPr>
          <w:p>
            <w:pPr>
              <w:pStyle w:val="13"/>
            </w:pPr>
            <w:r>
              <w:t>≥90百分比</w:t>
            </w:r>
          </w:p>
        </w:tc>
        <w:tc>
          <w:tcPr>
            <w:tcW w:w="1276" w:type="dxa"/>
            <w:vAlign w:val="center"/>
          </w:tcPr>
          <w:p>
            <w:pPr>
              <w:pStyle w:val="13"/>
            </w:pPr>
            <w:r>
              <w:t>石发【2021】22号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27、诉讼代理律师费绩效目标表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13010426P00987010123W</w:t>
            </w:r>
          </w:p>
        </w:tc>
        <w:tc>
          <w:tcPr>
            <w:tcW w:w="2835" w:type="dxa"/>
            <w:vAlign w:val="center"/>
          </w:tcPr>
          <w:p>
            <w:pPr>
              <w:pStyle w:val="11"/>
            </w:pPr>
            <w:r>
              <w:t>项目名称</w:t>
            </w:r>
          </w:p>
        </w:tc>
        <w:tc>
          <w:tcPr>
            <w:tcW w:w="6095" w:type="dxa"/>
            <w:gridSpan w:val="3"/>
            <w:vAlign w:val="center"/>
          </w:tcPr>
          <w:p>
            <w:pPr>
              <w:pStyle w:val="13"/>
            </w:pPr>
            <w:r>
              <w:t>诉讼代理律师费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支付诉讼案件代理费用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1.提供法律服务，维护稳定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案件数量</w:t>
            </w:r>
          </w:p>
        </w:tc>
        <w:tc>
          <w:tcPr>
            <w:tcW w:w="5386" w:type="dxa"/>
            <w:vAlign w:val="center"/>
          </w:tcPr>
          <w:p>
            <w:pPr>
              <w:pStyle w:val="13"/>
            </w:pPr>
            <w:r>
              <w:t>应诉案件数量</w:t>
            </w:r>
          </w:p>
        </w:tc>
        <w:tc>
          <w:tcPr>
            <w:tcW w:w="2268" w:type="dxa"/>
            <w:vAlign w:val="center"/>
          </w:tcPr>
          <w:p>
            <w:pPr>
              <w:pStyle w:val="13"/>
            </w:pPr>
            <w:r>
              <w:t>5件</w:t>
            </w:r>
          </w:p>
        </w:tc>
        <w:tc>
          <w:tcPr>
            <w:tcW w:w="1276" w:type="dxa"/>
            <w:vAlign w:val="center"/>
          </w:tcPr>
          <w:p>
            <w:pPr>
              <w:pStyle w:val="13"/>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应诉完成率</w:t>
            </w:r>
          </w:p>
        </w:tc>
        <w:tc>
          <w:tcPr>
            <w:tcW w:w="5386" w:type="dxa"/>
            <w:vAlign w:val="center"/>
          </w:tcPr>
          <w:p>
            <w:pPr>
              <w:pStyle w:val="13"/>
            </w:pPr>
            <w:r>
              <w:t>应诉完成率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单位案件成本</w:t>
            </w:r>
          </w:p>
        </w:tc>
        <w:tc>
          <w:tcPr>
            <w:tcW w:w="2268" w:type="dxa"/>
            <w:vAlign w:val="center"/>
          </w:tcPr>
          <w:p>
            <w:pPr>
              <w:pStyle w:val="13"/>
            </w:pPr>
            <w:r>
              <w:t>≤0.2万元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矛盾化解率</w:t>
            </w:r>
          </w:p>
        </w:tc>
        <w:tc>
          <w:tcPr>
            <w:tcW w:w="2268" w:type="dxa"/>
            <w:vAlign w:val="center"/>
          </w:tcPr>
          <w:p>
            <w:pPr>
              <w:pStyle w:val="13"/>
            </w:pPr>
            <w:r>
              <w:t>≥90百分比</w:t>
            </w:r>
          </w:p>
        </w:tc>
        <w:tc>
          <w:tcPr>
            <w:tcW w:w="1276" w:type="dxa"/>
            <w:vAlign w:val="center"/>
          </w:tcPr>
          <w:p>
            <w:pPr>
              <w:pStyle w:val="13"/>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28、重大动物疫病防控经费绩效目标表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13010426P00989210003M</w:t>
            </w:r>
          </w:p>
        </w:tc>
        <w:tc>
          <w:tcPr>
            <w:tcW w:w="2835" w:type="dxa"/>
            <w:vAlign w:val="center"/>
          </w:tcPr>
          <w:p>
            <w:pPr>
              <w:pStyle w:val="11"/>
            </w:pPr>
            <w:r>
              <w:t>项目名称</w:t>
            </w:r>
          </w:p>
        </w:tc>
        <w:tc>
          <w:tcPr>
            <w:tcW w:w="6095" w:type="dxa"/>
            <w:gridSpan w:val="3"/>
            <w:vAlign w:val="center"/>
          </w:tcPr>
          <w:p>
            <w:pPr>
              <w:pStyle w:val="13"/>
            </w:pPr>
            <w:r>
              <w:t>重大动物疫病防控经费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完成全区重大动物疫病防控工作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1.强制免疫密度90%以上，抗体合格率达70%以上，有效降低疫病发生，保障畜牧业健康发展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动物疫病做到应免尽免</w:t>
            </w: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tc>
        <w:tc>
          <w:tcPr>
            <w:tcW w:w="2268" w:type="dxa"/>
            <w:vAlign w:val="center"/>
          </w:tcPr>
          <w:p>
            <w:pPr>
              <w:pStyle w:val="13"/>
            </w:pPr>
            <w:r>
              <w:t>≥90百分比</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强制免疫率</w:t>
            </w:r>
          </w:p>
        </w:tc>
        <w:tc>
          <w:tcPr>
            <w:tcW w:w="5386" w:type="dxa"/>
            <w:vAlign w:val="center"/>
          </w:tcPr>
          <w:p>
            <w:pPr>
              <w:pStyle w:val="13"/>
            </w:pPr>
            <w:r>
              <w:t>强制免疫密度</w:t>
            </w:r>
          </w:p>
        </w:tc>
        <w:tc>
          <w:tcPr>
            <w:tcW w:w="2268" w:type="dxa"/>
            <w:vAlign w:val="center"/>
          </w:tcPr>
          <w:p>
            <w:pPr>
              <w:pStyle w:val="13"/>
            </w:pPr>
            <w:r>
              <w:t>≥90百分比</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抗体合格率</w:t>
            </w:r>
          </w:p>
        </w:tc>
        <w:tc>
          <w:tcPr>
            <w:tcW w:w="5386" w:type="dxa"/>
            <w:vAlign w:val="center"/>
          </w:tcPr>
          <w:p>
            <w:pPr>
              <w:pStyle w:val="13"/>
            </w:pPr>
            <w:r>
              <w:t>抗体合格率</w:t>
            </w:r>
          </w:p>
        </w:tc>
        <w:tc>
          <w:tcPr>
            <w:tcW w:w="2268" w:type="dxa"/>
            <w:vAlign w:val="center"/>
          </w:tcPr>
          <w:p>
            <w:pPr>
              <w:pStyle w:val="13"/>
            </w:pPr>
            <w:r>
              <w:t>≥70百分比</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预警及时率</w:t>
            </w:r>
          </w:p>
        </w:tc>
        <w:tc>
          <w:tcPr>
            <w:tcW w:w="2268" w:type="dxa"/>
            <w:vAlign w:val="center"/>
          </w:tcPr>
          <w:p>
            <w:pPr>
              <w:pStyle w:val="13"/>
            </w:pPr>
            <w:r>
              <w:t>≥90百分比</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不超预算控制成本</w:t>
            </w:r>
          </w:p>
        </w:tc>
        <w:tc>
          <w:tcPr>
            <w:tcW w:w="2268" w:type="dxa"/>
            <w:vAlign w:val="center"/>
          </w:tcPr>
          <w:p>
            <w:pPr>
              <w:pStyle w:val="13"/>
            </w:pPr>
            <w:r>
              <w:t>≤2万元</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防止疫情发生，维护社会稳定</w:t>
            </w:r>
          </w:p>
        </w:tc>
        <w:tc>
          <w:tcPr>
            <w:tcW w:w="5386" w:type="dxa"/>
            <w:vAlign w:val="center"/>
          </w:tcPr>
          <w:p>
            <w:pPr>
              <w:pStyle w:val="13"/>
            </w:pPr>
            <w:r>
              <w:t>疫情事故数量</w:t>
            </w:r>
          </w:p>
        </w:tc>
        <w:tc>
          <w:tcPr>
            <w:tcW w:w="2268" w:type="dxa"/>
            <w:vAlign w:val="center"/>
          </w:tcPr>
          <w:p>
            <w:pPr>
              <w:pStyle w:val="13"/>
            </w:pPr>
            <w:r>
              <w:t>0个</w:t>
            </w:r>
          </w:p>
        </w:tc>
        <w:tc>
          <w:tcPr>
            <w:tcW w:w="1276" w:type="dxa"/>
            <w:vAlign w:val="center"/>
          </w:tcPr>
          <w:p>
            <w:pPr>
              <w:pStyle w:val="13"/>
            </w:pPr>
            <w:r>
              <w:t>《中华人民共和国动物防疫法》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46.43</w:t>
            </w:r>
          </w:p>
        </w:tc>
        <w:tc>
          <w:tcPr>
            <w:tcW w:w="964" w:type="dxa"/>
            <w:vAlign w:val="center"/>
          </w:tcPr>
          <w:p>
            <w:pPr>
              <w:pStyle w:val="16"/>
            </w:pPr>
            <w:r>
              <w:t>46.43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46.43</w:t>
            </w:r>
          </w:p>
        </w:tc>
        <w:tc>
          <w:tcPr>
            <w:tcW w:w="964" w:type="dxa"/>
            <w:vAlign w:val="center"/>
          </w:tcPr>
          <w:p>
            <w:pPr>
              <w:pStyle w:val="16"/>
            </w:pPr>
            <w:r>
              <w:t>46.43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7.55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7.55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0.22</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7.55</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0.28</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7.55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1.18</w:t>
            </w:r>
          </w:p>
        </w:tc>
        <w:tc>
          <w:tcPr>
            <w:tcW w:w="964" w:type="dxa"/>
            <w:vAlign w:val="center"/>
          </w:tcPr>
          <w:p>
            <w:pPr>
              <w:pStyle w:val="12"/>
            </w:pPr>
            <w:r>
              <w:t>1.18</w:t>
            </w:r>
          </w:p>
        </w:tc>
        <w:tc>
          <w:tcPr>
            <w:tcW w:w="964" w:type="dxa"/>
            <w:vAlign w:val="center"/>
          </w:tcPr>
          <w:p>
            <w:pPr>
              <w:pStyle w:val="12"/>
            </w:pPr>
            <w:r>
              <w:t>1.18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7.55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2024年村转居社区集体财务审计专项资金</w:t>
            </w:r>
          </w:p>
        </w:tc>
        <w:tc>
          <w:tcPr>
            <w:tcW w:w="964" w:type="dxa"/>
            <w:vAlign w:val="center"/>
          </w:tcPr>
          <w:p>
            <w:pPr>
              <w:pStyle w:val="12"/>
            </w:pPr>
            <w:r>
              <w:t>43.95</w:t>
            </w:r>
          </w:p>
        </w:tc>
        <w:tc>
          <w:tcPr>
            <w:tcW w:w="1134" w:type="dxa"/>
            <w:vAlign w:val="center"/>
          </w:tcPr>
          <w:p>
            <w:pPr>
              <w:pStyle w:val="13"/>
            </w:pPr>
            <w:r>
              <w:t>审计服务</w:t>
            </w:r>
          </w:p>
        </w:tc>
        <w:tc>
          <w:tcPr>
            <w:tcW w:w="1134" w:type="dxa"/>
            <w:vAlign w:val="center"/>
          </w:tcPr>
          <w:p>
            <w:pPr>
              <w:pStyle w:val="13"/>
            </w:pPr>
            <w:r>
              <w:t>C23030000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43.95</w:t>
            </w:r>
          </w:p>
        </w:tc>
        <w:tc>
          <w:tcPr>
            <w:tcW w:w="964" w:type="dxa"/>
            <w:vAlign w:val="center"/>
          </w:tcPr>
          <w:p>
            <w:pPr>
              <w:pStyle w:val="12"/>
            </w:pPr>
            <w:r>
              <w:t>43.95</w:t>
            </w:r>
          </w:p>
        </w:tc>
        <w:tc>
          <w:tcPr>
            <w:tcW w:w="964" w:type="dxa"/>
            <w:vAlign w:val="center"/>
          </w:tcPr>
          <w:p>
            <w:pPr>
              <w:pStyle w:val="12"/>
            </w:pPr>
            <w:r>
              <w:t>43.95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43.95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石家庄市桥西区农业农村局本级上年末固定资产金额为56.53万元（详见下表）。本年度拟购置固定资产总额为0.00万元，已按要求列入政府采购预算，详见政府采购预算表。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214001石家庄市桥西区农业农村局本级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137</w:t>
            </w:r>
          </w:p>
        </w:tc>
        <w:tc>
          <w:tcPr>
            <w:tcW w:w="2835" w:type="dxa"/>
            <w:vAlign w:val="center"/>
          </w:tcPr>
          <w:p>
            <w:pPr>
              <w:pStyle w:val="12"/>
            </w:pPr>
            <w:r>
              <w:t>34.53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944DCD"/>
    <w:rsid w:val="33536497"/>
    <w:rsid w:val="4BC818E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uiPriority w:val="99"/>
    <w:pPr>
      <w:spacing w:after="120" w:afterLines="0" w:afterAutospacing="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TotalTime>2</TotalTime>
  <ScaleCrop>false</ScaleCrop>
  <LinksUpToDate>false</LinksUpToDate>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2026-03-02T09:32:00Z</dcterms:created>
  <dc:creator>Administrator</dc:creator>
  <cp:lastModifiedBy>lenovo</cp:lastModifiedBy>
  <dcterms:modified xsi:type="dcterms:W3CDTF">2026-03-02T01:59:54Z</dcterms:modified>
  <dc:title>2026年单位预算信息公开目录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AC4A0027CA0543D1840508B9431E571D</vt:lpwstr>
  </property>
</Properties>
</file>