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charts/chart4.xml" ContentType="application/vnd.openxmlformats-officedocument.drawingml.chart+xml"/>
  <Override PartName="/word/charts/chart5.xml" ContentType="application/vnd.openxmlformats-officedocument.drawingml.chart+xml"/>
  <Override PartName="/word/charts/chart6.xml" ContentType="application/vnd.openxmlformats-officedocument.drawingml.chart+xml"/>
  <Override PartName="/word/charts/chart7.xml" ContentType="application/vnd.openxmlformats-officedocument.drawingml.chart+xml"/>
  <Override PartName="/word/charts/colors1.xml" ContentType="application/vnd.ms-office.chartcolorstyle+xml"/>
  <Override PartName="/word/charts/colors2.xml" ContentType="application/vnd.ms-office.chartcolorstyle+xml"/>
  <Override PartName="/word/charts/colors3.xml" ContentType="application/vnd.ms-office.chartcolorstyle+xml"/>
  <Override PartName="/word/charts/colors4.xml" ContentType="application/vnd.ms-office.chartcolorstyle+xml"/>
  <Override PartName="/word/charts/colors5.xml" ContentType="application/vnd.ms-office.chartcolorstyle+xml"/>
  <Override PartName="/word/charts/colors6.xml" ContentType="application/vnd.ms-office.chartcolorstyle+xml"/>
  <Override PartName="/word/charts/colors7.xml" ContentType="application/vnd.ms-office.chartcolorstyle+xml"/>
  <Override PartName="/word/charts/style1.xml" ContentType="application/vnd.ms-office.chartstyle+xml"/>
  <Override PartName="/word/charts/style2.xml" ContentType="application/vnd.ms-office.chartstyle+xml"/>
  <Override PartName="/word/charts/style3.xml" ContentType="application/vnd.ms-office.chartstyle+xml"/>
  <Override PartName="/word/charts/style4.xml" ContentType="application/vnd.ms-office.chartstyle+xml"/>
  <Override PartName="/word/charts/style5.xml" ContentType="application/vnd.ms-office.chartstyle+xml"/>
  <Override PartName="/word/charts/style6.xml" ContentType="application/vnd.ms-office.chartstyle+xml"/>
  <Override PartName="/word/charts/style7.xml" ContentType="application/vnd.ms-office.chartstyle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80" w:lineRule="auto"/>
        <w:ind w:left="0" w:right="0" w:firstLine="883" w:firstLineChars="200"/>
        <w:jc w:val="center"/>
        <w:textAlignment w:val="auto"/>
        <w:rPr>
          <w:rFonts w:hint="eastAsia" w:ascii="方正小标宋简体" w:hAnsi="方正小标宋简体" w:eastAsia="方正小标宋简体" w:cs="方正小标宋简体"/>
          <w:b/>
          <w:kern w:val="0"/>
          <w:sz w:val="44"/>
          <w:szCs w:val="44"/>
          <w:shd w:val="clear" w:fill="FFFFFF"/>
          <w:lang w:val="en-US" w:eastAsia="zh-CN" w:bidi="ar"/>
        </w:rPr>
      </w:pPr>
      <w:r>
        <w:rPr>
          <w:rFonts w:hint="eastAsia" w:ascii="方正小标宋简体" w:hAnsi="方正小标宋简体" w:eastAsia="方正小标宋简体" w:cs="方正小标宋简体"/>
          <w:b/>
          <w:kern w:val="0"/>
          <w:sz w:val="44"/>
          <w:szCs w:val="44"/>
          <w:shd w:val="clear" w:fill="FFFFFF"/>
          <w:lang w:val="en-US" w:eastAsia="zh-CN" w:bidi="ar"/>
        </w:rPr>
        <w:t>石家庄市桥西区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80" w:lineRule="auto"/>
        <w:ind w:left="0" w:right="0" w:firstLine="883" w:firstLineChars="200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/>
          <w:kern w:val="0"/>
          <w:sz w:val="44"/>
          <w:szCs w:val="44"/>
          <w:shd w:val="clear" w:fill="FFFFFF"/>
          <w:lang w:val="en-US" w:eastAsia="zh-CN" w:bidi="ar"/>
        </w:rPr>
        <w:t>2022年国民经济和社会发展统计公报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80" w:lineRule="auto"/>
        <w:ind w:left="0" w:right="0" w:firstLine="640" w:firstLineChars="200"/>
        <w:jc w:val="center"/>
        <w:textAlignment w:val="auto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kern w:val="0"/>
          <w:sz w:val="32"/>
          <w:szCs w:val="32"/>
          <w:shd w:val="clear" w:fill="FFFFFF"/>
          <w:lang w:val="en-US" w:eastAsia="zh-CN" w:bidi="ar"/>
        </w:rPr>
        <w:t> </w:t>
      </w:r>
      <w:r>
        <w:rPr>
          <w:rFonts w:hint="eastAsia" w:ascii="仿宋_GB2312" w:hAnsi="仿宋_GB2312" w:eastAsia="仿宋_GB2312" w:cs="仿宋_GB2312"/>
          <w:kern w:val="0"/>
          <w:sz w:val="30"/>
          <w:szCs w:val="30"/>
          <w:shd w:val="clear" w:fill="FFFFFF"/>
          <w:lang w:val="en-US" w:eastAsia="zh-CN" w:bidi="ar"/>
        </w:rPr>
        <w:t>2023年 3月30日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80" w:lineRule="auto"/>
        <w:ind w:left="0" w:right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ind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0"/>
          <w:sz w:val="32"/>
          <w:szCs w:val="32"/>
          <w:lang w:val="en-US" w:eastAsia="zh-CN"/>
        </w:rPr>
        <w:t>2022年，面对严峻复杂的国内外形势，全区上下坚持以习近平新时代中国特色社会主义思想为指导，以迎接、学习、宣传、贯彻党的二十大精神为主线，坚决贯彻“疫情要防住、经济要稳住、发展要安全”重要要求，</w:t>
      </w:r>
      <w:r>
        <w:rPr>
          <w:rFonts w:hint="eastAsia" w:ascii="仿宋_GB2312" w:hAnsi="仿宋_GB2312" w:eastAsia="仿宋_GB2312" w:cs="仿宋_GB2312"/>
          <w:spacing w:val="0"/>
          <w:kern w:val="0"/>
          <w:sz w:val="32"/>
          <w:szCs w:val="32"/>
          <w:shd w:val="clear" w:fill="FFFFFF"/>
          <w:lang w:val="en-US" w:eastAsia="zh-CN" w:bidi="ar"/>
        </w:rPr>
        <w:t>全面落实中央和省、市各项决策部署</w:t>
      </w:r>
      <w:r>
        <w:rPr>
          <w:rFonts w:hint="eastAsia" w:ascii="仿宋_GB2312" w:hAnsi="仿宋_GB2312" w:eastAsia="仿宋_GB2312" w:cs="仿宋_GB2312"/>
          <w:spacing w:val="0"/>
          <w:sz w:val="32"/>
          <w:szCs w:val="32"/>
          <w:lang w:val="en-US" w:eastAsia="zh-CN"/>
        </w:rPr>
        <w:t>，锚定推动经济总量过万亿、实现弯道超车的奋斗目标，用足用好“支撑之年、关键之年”的每分每秒，更好统筹国内国际两个大局，更好统筹疫情防控和经济社会发展，更好统筹发展和安全，全区经济稳快前行，高质量发展取得新成效，各项社会事业发展呈现蓬勃发展的良好态势，为建设现代化、国际化美丽省会城市贡献了桥西力量。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79" w:lineRule="exact"/>
        <w:ind w:left="0" w:right="0" w:firstLine="643" w:firstLineChars="200"/>
        <w:jc w:val="center"/>
        <w:textAlignment w:val="auto"/>
        <w:rPr>
          <w:rFonts w:hint="eastAsia" w:ascii="楷体_GB2312" w:hAnsi="楷体_GB2312" w:eastAsia="楷体_GB2312" w:cs="楷体_GB2312"/>
          <w:b/>
          <w:bCs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楷体_GB2312" w:hAnsi="楷体_GB2312" w:eastAsia="楷体_GB2312" w:cs="楷体_GB2312"/>
          <w:b/>
          <w:bCs/>
          <w:spacing w:val="0"/>
          <w:kern w:val="0"/>
          <w:sz w:val="32"/>
          <w:szCs w:val="32"/>
          <w:shd w:val="clear" w:fill="FFFFFF"/>
          <w:lang w:val="en-US" w:eastAsia="zh-CN" w:bidi="ar"/>
        </w:rPr>
        <w:t>一、综    合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ind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pacing w:val="0"/>
          <w:sz w:val="32"/>
          <w:szCs w:val="32"/>
          <w:lang w:val="en-US" w:eastAsia="zh-CN"/>
        </w:rPr>
        <w:t>初步核算，全年全区生产总值9164181万元，比上年增长7.7%。其中，第一产业增加值742万元，下降23.7%；第二产业增加值1532225万元，上涨21.6%；第三产业增加值7631213万元，增长5.5%。第一产业增加值占生产总值比重为0.01%；第二产业增加值比重为16.72%；第三产业增加值比重为83.27%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ind w:firstLine="42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575945</wp:posOffset>
            </wp:positionH>
            <wp:positionV relativeFrom="paragraph">
              <wp:posOffset>2978150</wp:posOffset>
            </wp:positionV>
            <wp:extent cx="4572000" cy="2743200"/>
            <wp:effectExtent l="4445" t="4445" r="8255" b="8255"/>
            <wp:wrapTopAndBottom/>
            <wp:docPr id="5" name="图表 4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"/>
              </a:graphicData>
            </a:graphic>
          </wp:anchor>
        </w:drawing>
      </w:r>
      <w:r>
        <w:rPr>
          <w:rFonts w:hint="eastAsia" w:ascii="仿宋_GB2312" w:hAnsi="仿宋_GB2312" w:eastAsia="仿宋_GB2312" w:cs="仿宋_GB2312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556895</wp:posOffset>
            </wp:positionH>
            <wp:positionV relativeFrom="paragraph">
              <wp:posOffset>101600</wp:posOffset>
            </wp:positionV>
            <wp:extent cx="4572000" cy="2743200"/>
            <wp:effectExtent l="4445" t="4445" r="8255" b="8255"/>
            <wp:wrapTopAndBottom/>
            <wp:docPr id="4" name="图表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6"/>
              </a:graphicData>
            </a:graphic>
          </wp:anchor>
        </w:drawing>
      </w:r>
      <w:r>
        <w:rPr>
          <w:rFonts w:hint="eastAsia" w:ascii="仿宋_GB2312" w:hAnsi="仿宋_GB2312" w:eastAsia="仿宋_GB2312" w:cs="仿宋_GB2312"/>
          <w:spacing w:val="0"/>
          <w:sz w:val="32"/>
          <w:szCs w:val="32"/>
          <w:lang w:val="en-US" w:eastAsia="zh-CN"/>
        </w:rPr>
        <w:t>全年实际利用外资1483万美元。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ind w:firstLine="42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588645</wp:posOffset>
            </wp:positionH>
            <wp:positionV relativeFrom="paragraph">
              <wp:posOffset>123825</wp:posOffset>
            </wp:positionV>
            <wp:extent cx="4552950" cy="2273300"/>
            <wp:effectExtent l="4445" t="4445" r="14605" b="8255"/>
            <wp:wrapTopAndBottom/>
            <wp:docPr id="6" name="图表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anchor>
        </w:drawing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79" w:lineRule="exact"/>
        <w:ind w:left="0" w:right="0" w:firstLine="643" w:firstLineChars="200"/>
        <w:jc w:val="center"/>
        <w:textAlignment w:val="auto"/>
        <w:rPr>
          <w:rFonts w:hint="eastAsia" w:ascii="楷体_GB2312" w:hAnsi="楷体_GB2312" w:eastAsia="楷体_GB2312" w:cs="楷体_GB2312"/>
          <w:b/>
          <w:bCs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楷体_GB2312" w:hAnsi="楷体_GB2312" w:eastAsia="楷体_GB2312" w:cs="楷体_GB2312"/>
          <w:b/>
          <w:bCs/>
          <w:spacing w:val="0"/>
          <w:kern w:val="0"/>
          <w:sz w:val="32"/>
          <w:szCs w:val="32"/>
          <w:shd w:val="clear" w:fill="FFFFFF"/>
          <w:lang w:val="en-US" w:eastAsia="zh-CN" w:bidi="ar"/>
        </w:rPr>
        <w:t>二、固定资产投资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ind w:firstLine="560" w:firstLineChars="200"/>
        <w:jc w:val="both"/>
        <w:textAlignment w:val="auto"/>
        <w:rPr>
          <w:rFonts w:hint="eastAsia" w:ascii="仿宋_GB2312" w:hAnsi="仿宋_GB2312" w:eastAsia="仿宋_GB2312" w:cs="仿宋_GB2312"/>
          <w:spacing w:val="-2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pacing w:val="-20"/>
          <w:sz w:val="32"/>
          <w:szCs w:val="32"/>
          <w:lang w:val="en-US" w:eastAsia="zh-CN"/>
        </w:rPr>
        <w:t>全年城镇固定资产投资比上年上涨13.1%。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ind w:firstLine="563" w:firstLineChars="200"/>
        <w:jc w:val="both"/>
        <w:textAlignment w:val="auto"/>
        <w:rPr>
          <w:rFonts w:hint="eastAsia" w:ascii="仿宋_GB2312" w:hAnsi="仿宋_GB2312" w:eastAsia="仿宋_GB2312" w:cs="仿宋_GB2312"/>
          <w:spacing w:val="-20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pacing w:val="-20"/>
          <w:kern w:val="0"/>
          <w:sz w:val="32"/>
          <w:szCs w:val="32"/>
          <w:lang w:val="en-US" w:eastAsia="zh-CN"/>
        </w:rPr>
        <w:t>从产业结构上看</w:t>
      </w:r>
      <w:r>
        <w:rPr>
          <w:rFonts w:hint="eastAsia" w:ascii="仿宋_GB2312" w:hAnsi="仿宋_GB2312" w:eastAsia="仿宋_GB2312" w:cs="仿宋_GB2312"/>
          <w:spacing w:val="-20"/>
          <w:kern w:val="0"/>
          <w:sz w:val="32"/>
          <w:szCs w:val="32"/>
          <w:lang w:val="en-US" w:eastAsia="zh-CN"/>
        </w:rPr>
        <w:t>，三产占比仍然较高。一季度，第二产业完成投资0.5亿元，同比增长9154.5%，占固定资产比重2.9%，</w:t>
      </w:r>
      <w:r>
        <w:rPr>
          <w:rFonts w:hint="eastAsia" w:ascii="仿宋_GB2312" w:hAnsi="仿宋_GB2312" w:eastAsia="仿宋_GB2312" w:cs="仿宋_GB2312"/>
          <w:b w:val="0"/>
          <w:bCs w:val="0"/>
          <w:spacing w:val="-20"/>
          <w:sz w:val="32"/>
          <w:szCs w:val="32"/>
          <w:lang w:val="en-US" w:eastAsia="zh-CN"/>
        </w:rPr>
        <w:t>在库工业项目共6个，完成投资0.5亿元，同比增长9154.5%；占固定资产投资比重为2.9%，较去年同期增长2.9个百分点；受上年同期工业较低基数的影响，一季度工业投资增速显著提高，其中，工业技改项目3个（与去年持平），完成投资0.25亿元，同比增长4535.2%（上年不参与汇总0.5亿元）。技改项目本年主要是设备购置项目，均以正式发票作为数据支撑，后期除去上年不参与汇总项目影响后，预计技改投资支撑不足。</w:t>
      </w:r>
      <w:r>
        <w:rPr>
          <w:rFonts w:hint="eastAsia" w:ascii="仿宋_GB2312" w:hAnsi="仿宋_GB2312" w:eastAsia="仿宋_GB2312" w:cs="仿宋_GB2312"/>
          <w:spacing w:val="-20"/>
          <w:kern w:val="0"/>
          <w:sz w:val="32"/>
          <w:szCs w:val="32"/>
          <w:lang w:val="en-US" w:eastAsia="zh-CN"/>
        </w:rPr>
        <w:t>；第三产业完成投资17.1亿元，同比增长8.2%，占固定资产比重97.1%。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ind w:firstLine="563" w:firstLineChars="200"/>
        <w:jc w:val="left"/>
        <w:textAlignment w:val="baseline"/>
        <w:rPr>
          <w:rFonts w:hint="eastAsia" w:ascii="仿宋_GB2312" w:hAnsi="仿宋_GB2312" w:eastAsia="仿宋_GB2312" w:cs="仿宋_GB2312"/>
          <w:spacing w:val="-20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pacing w:val="-20"/>
          <w:kern w:val="0"/>
          <w:sz w:val="32"/>
          <w:szCs w:val="32"/>
          <w:lang w:val="en-US" w:eastAsia="zh-CN"/>
        </w:rPr>
        <w:t>从投资结构看，</w:t>
      </w:r>
      <w:r>
        <w:rPr>
          <w:rFonts w:hint="eastAsia" w:ascii="仿宋_GB2312" w:hAnsi="仿宋_GB2312" w:eastAsia="仿宋_GB2312" w:cs="仿宋_GB2312"/>
          <w:spacing w:val="-20"/>
          <w:kern w:val="0"/>
          <w:sz w:val="32"/>
          <w:szCs w:val="32"/>
          <w:lang w:val="en-US" w:eastAsia="zh-CN"/>
        </w:rPr>
        <w:t>一季度桥西区建安工程投资完成11.5亿元，同比增长11.1%（其中，建设项目建安投资4.8亿元，同比增长33.2%，房地产项目建安投资6.7亿元，同比下降0.8%），占固定资产投资比重65.3%；设备购置完成投资0.5亿元，同比增长734.3%，占固定资产比重2.8%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ind w:firstLine="420" w:firstLineChars="200"/>
        <w:textAlignment w:val="auto"/>
        <w:rPr>
          <w:rFonts w:hint="eastAsia" w:ascii="仿宋_GB2312" w:hAnsi="仿宋_GB2312" w:eastAsia="仿宋_GB2312" w:cs="仿宋_GB2312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</w:rPr>
        <w:drawing>
          <wp:anchor distT="0" distB="0" distL="114300" distR="114300" simplePos="0" relativeHeight="251662336" behindDoc="0" locked="0" layoutInCell="1" allowOverlap="1">
            <wp:simplePos x="0" y="0"/>
            <wp:positionH relativeFrom="column">
              <wp:posOffset>493395</wp:posOffset>
            </wp:positionH>
            <wp:positionV relativeFrom="paragraph">
              <wp:posOffset>1475105</wp:posOffset>
            </wp:positionV>
            <wp:extent cx="5014595" cy="1778635"/>
            <wp:effectExtent l="4445" t="4445" r="10160" b="7620"/>
            <wp:wrapTopAndBottom/>
            <wp:docPr id="7" name="图表 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anchor>
        </w:drawing>
      </w:r>
      <w:r>
        <w:rPr>
          <w:rFonts w:hint="eastAsia" w:ascii="仿宋_GB2312" w:hAnsi="仿宋_GB2312" w:eastAsia="仿宋_GB2312" w:cs="仿宋_GB2312"/>
          <w:b/>
          <w:bCs/>
          <w:spacing w:val="-20"/>
          <w:sz w:val="32"/>
          <w:szCs w:val="32"/>
          <w:lang w:val="en-US" w:eastAsia="zh-CN"/>
        </w:rPr>
        <w:t>从产业项目上看，</w:t>
      </w:r>
      <w:r>
        <w:rPr>
          <w:rFonts w:hint="eastAsia" w:ascii="仿宋_GB2312" w:hAnsi="仿宋_GB2312" w:eastAsia="仿宋_GB2312" w:cs="仿宋_GB2312"/>
          <w:spacing w:val="-20"/>
          <w:sz w:val="32"/>
          <w:szCs w:val="32"/>
          <w:lang w:val="en-US" w:eastAsia="zh-CN"/>
        </w:rPr>
        <w:t>一季度，在库产业项目14个（较去年同期增加1个），产业项目完成投资0.5亿元，同比增长681.9%（上年不参与汇总0.54亿元），</w:t>
      </w:r>
      <w:r>
        <w:rPr>
          <w:rFonts w:hint="eastAsia" w:ascii="仿宋_GB2312" w:hAnsi="仿宋_GB2312" w:eastAsia="仿宋_GB2312" w:cs="仿宋_GB2312"/>
          <w:b w:val="0"/>
          <w:bCs w:val="0"/>
          <w:spacing w:val="-20"/>
          <w:sz w:val="32"/>
          <w:szCs w:val="32"/>
          <w:lang w:val="en-US" w:eastAsia="zh-CN"/>
        </w:rPr>
        <w:t>后期除去上年不参与汇总项目影响后，预计产业项目投资支撑不足，增速会回落</w:t>
      </w:r>
      <w:r>
        <w:rPr>
          <w:rFonts w:hint="eastAsia" w:ascii="仿宋_GB2312" w:hAnsi="仿宋_GB2312" w:eastAsia="仿宋_GB2312" w:cs="仿宋_GB2312"/>
          <w:spacing w:val="-20"/>
          <w:sz w:val="32"/>
          <w:szCs w:val="32"/>
          <w:lang w:val="en-US" w:eastAsia="zh-CN"/>
        </w:rPr>
        <w:t>。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79" w:lineRule="exact"/>
        <w:ind w:left="0" w:right="0" w:firstLine="643" w:firstLineChars="200"/>
        <w:jc w:val="center"/>
        <w:textAlignment w:val="auto"/>
        <w:rPr>
          <w:rFonts w:hint="eastAsia" w:ascii="楷体_GB2312" w:hAnsi="楷体_GB2312" w:eastAsia="楷体_GB2312" w:cs="楷体_GB2312"/>
          <w:b/>
          <w:bCs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楷体_GB2312" w:hAnsi="楷体_GB2312" w:eastAsia="楷体_GB2312" w:cs="楷体_GB2312"/>
          <w:b/>
          <w:bCs/>
          <w:spacing w:val="0"/>
          <w:kern w:val="0"/>
          <w:sz w:val="32"/>
          <w:szCs w:val="32"/>
          <w:shd w:val="clear" w:fill="FFFFFF"/>
          <w:lang w:val="en-US" w:eastAsia="zh-CN" w:bidi="ar"/>
        </w:rPr>
        <w:t>三、农    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ind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pacing w:val="0"/>
          <w:sz w:val="32"/>
          <w:szCs w:val="32"/>
          <w:lang w:val="en-US" w:eastAsia="zh-CN"/>
        </w:rPr>
        <w:t>全年粮食播种面积54公顷。粮食总产量304吨，同比增长6.3%。其中，夏粮产量160吨，增长3.2%；秋粮产量144吨，增长9.9%。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ind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pacing w:val="0"/>
          <w:sz w:val="32"/>
          <w:szCs w:val="32"/>
          <w:lang w:val="en-US" w:eastAsia="zh-CN"/>
        </w:rPr>
        <w:t>全年蔬菜播种面积88.99公顷，同比下降17.59%；总产量4029.19吨，同比下降21.42%。</w:t>
      </w:r>
    </w:p>
    <w:tbl>
      <w:tblPr>
        <w:tblStyle w:val="8"/>
        <w:tblpPr w:leftFromText="180" w:rightFromText="180" w:vertAnchor="text" w:horzAnchor="page" w:tblpXSpec="center" w:tblpY="380"/>
        <w:tblOverlap w:val="never"/>
        <w:tblW w:w="8522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31"/>
        <w:gridCol w:w="2130"/>
        <w:gridCol w:w="2131"/>
        <w:gridCol w:w="213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5" w:hRule="atLeast"/>
        </w:trPr>
        <w:tc>
          <w:tcPr>
            <w:tcW w:w="8522" w:type="dxa"/>
            <w:gridSpan w:val="4"/>
            <w:tcBorders>
              <w:top w:val="nil"/>
              <w:left w:val="nil"/>
              <w:bottom w:val="single" w:color="auto" w:sz="8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79" w:lineRule="exact"/>
              <w:ind w:left="0" w:leftChars="0" w:right="0" w:rightChars="0" w:firstLine="640" w:firstLineChars="20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sz w:val="32"/>
                <w:szCs w:val="32"/>
                <w:lang w:val="en-US" w:eastAsia="zh-CN"/>
              </w:rPr>
              <w:t>表1  2022年主要农产品产量及其增长速度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213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79" w:lineRule="exact"/>
              <w:ind w:left="0" w:leftChars="0" w:right="0" w:rightChars="0" w:firstLine="640" w:firstLineChars="200"/>
              <w:jc w:val="left"/>
              <w:textAlignment w:val="auto"/>
              <w:rPr>
                <w:rFonts w:hint="eastAsia" w:ascii="仿宋_GB2312" w:hAnsi="仿宋_GB2312" w:eastAsia="仿宋_GB2312" w:cs="仿宋_GB2312"/>
                <w:spacing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sz w:val="32"/>
                <w:szCs w:val="32"/>
                <w:lang w:val="en-US" w:eastAsia="zh-CN"/>
              </w:rPr>
              <w:t>产品名称</w:t>
            </w:r>
          </w:p>
        </w:tc>
        <w:tc>
          <w:tcPr>
            <w:tcW w:w="213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79" w:lineRule="exact"/>
              <w:ind w:left="0" w:leftChars="0" w:right="0" w:rightChars="0" w:firstLine="640" w:firstLineChars="200"/>
              <w:jc w:val="both"/>
              <w:textAlignment w:val="auto"/>
              <w:rPr>
                <w:rFonts w:hint="eastAsia" w:ascii="仿宋_GB2312" w:hAnsi="仿宋_GB2312" w:eastAsia="仿宋_GB2312" w:cs="仿宋_GB2312"/>
                <w:spacing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sz w:val="32"/>
                <w:szCs w:val="32"/>
                <w:lang w:val="en-US" w:eastAsia="zh-CN"/>
              </w:rPr>
              <w:t>单位</w:t>
            </w:r>
          </w:p>
        </w:tc>
        <w:tc>
          <w:tcPr>
            <w:tcW w:w="2131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79" w:lineRule="exact"/>
              <w:ind w:left="0" w:leftChars="0" w:right="0" w:rightChars="0" w:firstLine="640" w:firstLineChars="200"/>
              <w:jc w:val="both"/>
              <w:textAlignment w:val="auto"/>
              <w:rPr>
                <w:rFonts w:hint="eastAsia" w:ascii="仿宋_GB2312" w:hAnsi="仿宋_GB2312" w:eastAsia="仿宋_GB2312" w:cs="仿宋_GB2312"/>
                <w:spacing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sz w:val="32"/>
                <w:szCs w:val="32"/>
                <w:lang w:val="en-US" w:eastAsia="zh-CN"/>
              </w:rPr>
              <w:t>2022年</w:t>
            </w:r>
          </w:p>
        </w:tc>
        <w:tc>
          <w:tcPr>
            <w:tcW w:w="2130" w:type="dxa"/>
            <w:tcBorders>
              <w:top w:val="nil"/>
              <w:left w:val="nil"/>
              <w:bottom w:val="single" w:color="auto" w:sz="8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79" w:lineRule="exact"/>
              <w:ind w:right="0" w:rightChars="0"/>
              <w:jc w:val="center"/>
              <w:textAlignment w:val="auto"/>
              <w:rPr>
                <w:rFonts w:hint="eastAsia" w:ascii="仿宋_GB2312" w:hAnsi="仿宋_GB2312" w:eastAsia="仿宋_GB2312" w:cs="仿宋_GB2312"/>
                <w:spacing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sz w:val="32"/>
                <w:szCs w:val="32"/>
                <w:lang w:val="en-US" w:eastAsia="zh-CN"/>
              </w:rPr>
              <w:t>比上年增长（%）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2131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79" w:lineRule="exact"/>
              <w:ind w:left="0" w:leftChars="0" w:right="0" w:rightChars="0" w:firstLine="640" w:firstLineChars="200"/>
              <w:jc w:val="left"/>
              <w:textAlignment w:val="auto"/>
              <w:rPr>
                <w:rFonts w:hint="eastAsia" w:ascii="仿宋_GB2312" w:hAnsi="仿宋_GB2312" w:eastAsia="仿宋_GB2312" w:cs="仿宋_GB2312"/>
                <w:spacing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sz w:val="32"/>
                <w:szCs w:val="32"/>
                <w:lang w:val="en-US" w:eastAsia="zh-CN"/>
              </w:rPr>
              <w:t>粮食</w:t>
            </w:r>
          </w:p>
        </w:tc>
        <w:tc>
          <w:tcPr>
            <w:tcW w:w="213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79" w:lineRule="exact"/>
              <w:ind w:left="0" w:leftChars="0" w:right="0" w:rightChars="0" w:firstLine="640" w:firstLineChars="200"/>
              <w:jc w:val="both"/>
              <w:textAlignment w:val="auto"/>
              <w:rPr>
                <w:rFonts w:hint="eastAsia" w:ascii="仿宋_GB2312" w:hAnsi="仿宋_GB2312" w:eastAsia="仿宋_GB2312" w:cs="仿宋_GB2312"/>
                <w:spacing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sz w:val="32"/>
                <w:szCs w:val="32"/>
                <w:lang w:val="en-US" w:eastAsia="zh-CN"/>
              </w:rPr>
              <w:t>吨</w:t>
            </w:r>
          </w:p>
        </w:tc>
        <w:tc>
          <w:tcPr>
            <w:tcW w:w="2131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79" w:lineRule="exact"/>
              <w:ind w:left="0" w:leftChars="0" w:right="0" w:rightChars="0" w:firstLine="640" w:firstLineChars="200"/>
              <w:jc w:val="both"/>
              <w:textAlignment w:val="auto"/>
              <w:rPr>
                <w:rFonts w:hint="eastAsia" w:ascii="仿宋_GB2312" w:hAnsi="仿宋_GB2312" w:eastAsia="仿宋_GB2312" w:cs="仿宋_GB2312"/>
                <w:spacing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sz w:val="32"/>
                <w:szCs w:val="32"/>
                <w:lang w:val="en-US" w:eastAsia="zh-CN"/>
              </w:rPr>
              <w:t>304</w:t>
            </w:r>
          </w:p>
        </w:tc>
        <w:tc>
          <w:tcPr>
            <w:tcW w:w="2130" w:type="dxa"/>
            <w:tcBorders>
              <w:bottom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79" w:lineRule="exact"/>
              <w:ind w:left="0" w:leftChars="0" w:right="0" w:rightChars="0" w:firstLine="640" w:firstLineChars="200"/>
              <w:jc w:val="both"/>
              <w:textAlignment w:val="auto"/>
              <w:rPr>
                <w:rFonts w:hint="eastAsia" w:ascii="仿宋_GB2312" w:hAnsi="仿宋_GB2312" w:eastAsia="仿宋_GB2312" w:cs="仿宋_GB2312"/>
                <w:spacing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sz w:val="32"/>
                <w:szCs w:val="32"/>
                <w:lang w:val="en-US" w:eastAsia="zh-CN"/>
              </w:rPr>
              <w:t>6.3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0" w:hRule="atLeast"/>
        </w:trPr>
        <w:tc>
          <w:tcPr>
            <w:tcW w:w="213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79" w:lineRule="exact"/>
              <w:ind w:left="0" w:leftChars="0" w:right="0" w:rightChars="0" w:firstLine="640" w:firstLineChars="200"/>
              <w:jc w:val="left"/>
              <w:textAlignment w:val="auto"/>
              <w:rPr>
                <w:rFonts w:hint="eastAsia" w:ascii="仿宋_GB2312" w:hAnsi="仿宋_GB2312" w:eastAsia="仿宋_GB2312" w:cs="仿宋_GB2312"/>
                <w:spacing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sz w:val="32"/>
                <w:szCs w:val="32"/>
                <w:lang w:val="en-US" w:eastAsia="zh-CN"/>
              </w:rPr>
              <w:t>蔬菜</w:t>
            </w:r>
          </w:p>
        </w:tc>
        <w:tc>
          <w:tcPr>
            <w:tcW w:w="213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79" w:lineRule="exact"/>
              <w:ind w:left="0" w:leftChars="0" w:right="0" w:rightChars="0" w:firstLine="640" w:firstLineChars="200"/>
              <w:jc w:val="both"/>
              <w:textAlignment w:val="auto"/>
              <w:rPr>
                <w:rFonts w:hint="eastAsia" w:ascii="仿宋_GB2312" w:hAnsi="仿宋_GB2312" w:eastAsia="仿宋_GB2312" w:cs="仿宋_GB2312"/>
                <w:spacing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sz w:val="32"/>
                <w:szCs w:val="32"/>
                <w:lang w:val="en-US" w:eastAsia="zh-CN"/>
              </w:rPr>
              <w:t>吨</w:t>
            </w:r>
          </w:p>
        </w:tc>
        <w:tc>
          <w:tcPr>
            <w:tcW w:w="213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79" w:lineRule="exact"/>
              <w:ind w:left="0" w:leftChars="0" w:right="0" w:rightChars="0" w:firstLine="640" w:firstLineChars="200"/>
              <w:jc w:val="both"/>
              <w:textAlignment w:val="auto"/>
              <w:rPr>
                <w:rFonts w:hint="eastAsia" w:ascii="仿宋_GB2312" w:hAnsi="仿宋_GB2312" w:eastAsia="仿宋_GB2312" w:cs="仿宋_GB2312"/>
                <w:spacing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sz w:val="32"/>
                <w:szCs w:val="32"/>
                <w:lang w:val="en-US" w:eastAsia="zh-CN"/>
              </w:rPr>
              <w:t>4029.19</w:t>
            </w:r>
          </w:p>
        </w:tc>
        <w:tc>
          <w:tcPr>
            <w:tcW w:w="2130" w:type="dxa"/>
            <w:tcBorders>
              <w:top w:val="single" w:color="auto" w:sz="4" w:space="0"/>
              <w:bottom w:val="single" w:color="auto" w:sz="4" w:space="0"/>
              <w:right w:val="nil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Autospacing="0" w:afterAutospacing="0" w:line="579" w:lineRule="exact"/>
              <w:ind w:left="0" w:leftChars="0" w:right="0" w:rightChars="0" w:firstLine="640" w:firstLineChars="200"/>
              <w:jc w:val="both"/>
              <w:textAlignment w:val="auto"/>
              <w:rPr>
                <w:rFonts w:hint="eastAsia" w:ascii="仿宋_GB2312" w:hAnsi="仿宋_GB2312" w:eastAsia="仿宋_GB2312" w:cs="仿宋_GB2312"/>
                <w:spacing w:val="0"/>
                <w:sz w:val="32"/>
                <w:szCs w:val="32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pacing w:val="0"/>
                <w:sz w:val="32"/>
                <w:szCs w:val="32"/>
                <w:lang w:val="en-US" w:eastAsia="zh-CN"/>
              </w:rPr>
              <w:t>-21.42</w:t>
            </w:r>
          </w:p>
        </w:tc>
      </w:tr>
    </w:tbl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79" w:lineRule="exact"/>
        <w:ind w:left="0" w:right="0" w:firstLine="643" w:firstLineChars="200"/>
        <w:jc w:val="center"/>
        <w:textAlignment w:val="auto"/>
        <w:rPr>
          <w:rFonts w:hint="eastAsia" w:ascii="楷体_GB2312" w:hAnsi="楷体_GB2312" w:eastAsia="楷体_GB2312" w:cs="楷体_GB2312"/>
          <w:b/>
          <w:bCs/>
          <w:spacing w:val="0"/>
          <w:sz w:val="32"/>
          <w:szCs w:val="32"/>
        </w:rPr>
      </w:pPr>
      <w:r>
        <w:rPr>
          <w:rFonts w:hint="eastAsia" w:ascii="楷体_GB2312" w:hAnsi="楷体_GB2312" w:eastAsia="楷体_GB2312" w:cs="楷体_GB2312"/>
          <w:b/>
          <w:bCs/>
          <w:spacing w:val="0"/>
          <w:kern w:val="0"/>
          <w:sz w:val="32"/>
          <w:szCs w:val="32"/>
          <w:shd w:val="clear" w:fill="FFFFFF"/>
          <w:lang w:val="en-US" w:eastAsia="zh-CN" w:bidi="ar"/>
        </w:rPr>
        <w:t>四、工业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ind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0"/>
          <w:sz w:val="32"/>
          <w:szCs w:val="32"/>
          <w:lang w:val="en-US" w:eastAsia="zh-CN"/>
        </w:rPr>
        <w:t>全年规模以上工业增加值同比增长10.6%。从经济类型看，内资企业增长12.06%，有限责任公司增长12.13%，私营企业增长0.7%，外商投资企业增长10.22%。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79" w:lineRule="exact"/>
        <w:ind w:left="0" w:right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pacing w:val="0"/>
          <w:sz w:val="32"/>
          <w:szCs w:val="32"/>
          <w:lang w:val="en-US" w:eastAsia="zh-CN"/>
        </w:rPr>
        <w:t>分行业看，装备制造业增加值增长3.07%。六大高耗能行业增加值增长12.26%。非金属矿物制品业增加值增长-4.62%，电力、热力、燃气及水生产和供应业增长11.77%。  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79" w:lineRule="exact"/>
        <w:ind w:right="0"/>
        <w:jc w:val="left"/>
        <w:textAlignment w:val="auto"/>
        <w:rPr>
          <w:rFonts w:hint="eastAsia" w:ascii="仿宋_GB2312" w:hAnsi="仿宋_GB2312" w:eastAsia="仿宋_GB2312" w:cs="仿宋_GB2312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pacing w:val="0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702945</wp:posOffset>
            </wp:positionH>
            <wp:positionV relativeFrom="paragraph">
              <wp:posOffset>450215</wp:posOffset>
            </wp:positionV>
            <wp:extent cx="4192270" cy="1849120"/>
            <wp:effectExtent l="4445" t="4445" r="6985" b="13335"/>
            <wp:wrapTopAndBottom/>
            <wp:docPr id="2" name="图表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anchor>
        </w:drawing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79" w:lineRule="exact"/>
        <w:ind w:left="0" w:right="0" w:firstLine="643" w:firstLineChars="200"/>
        <w:jc w:val="center"/>
        <w:textAlignment w:val="auto"/>
        <w:rPr>
          <w:rFonts w:hint="eastAsia" w:ascii="楷体_GB2312" w:hAnsi="楷体_GB2312" w:eastAsia="楷体_GB2312" w:cs="楷体_GB2312"/>
          <w:b/>
          <w:bCs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楷体_GB2312" w:hAnsi="楷体_GB2312" w:eastAsia="楷体_GB2312" w:cs="楷体_GB2312"/>
          <w:b/>
          <w:bCs/>
          <w:spacing w:val="0"/>
          <w:kern w:val="0"/>
          <w:sz w:val="32"/>
          <w:szCs w:val="32"/>
          <w:shd w:val="clear" w:fill="FFFFFF"/>
          <w:lang w:val="en-US" w:eastAsia="zh-CN" w:bidi="ar"/>
        </w:rPr>
        <w:t>五、国内贸易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ind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pacing w:val="0"/>
          <w:sz w:val="32"/>
          <w:szCs w:val="32"/>
          <w:lang w:val="en-US" w:eastAsia="zh-CN"/>
        </w:rPr>
        <w:t>全年社会消费品零售总额472.9亿元，同比增速0.4%。 限上企业（单位）消费品零售额为2092489万元，比上年降低2.1%。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79" w:lineRule="exact"/>
        <w:ind w:left="0" w:right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pacing w:val="0"/>
          <w:sz w:val="32"/>
          <w:szCs w:val="32"/>
          <w:lang w:val="en-US" w:eastAsia="zh-CN"/>
        </w:rPr>
        <w:t>在限额以上批发和零售企业(单位)商品零售额中，粮油食品类下降8.3%；饮料类增长6.2%；烟酒类增长25.6%；服装鞋帽针纺织品类下降10.5%；化妆品类下降13.1%；金银珠宝类下降5.8%；日用品类下降9.8%；家用电器及音像器材类下降18.5%；中西药品类增长24.6%；建筑及装潢材料类下降92%;石油及制品类下降17.7%；汽车类增加25.9%。 </w:t>
      </w:r>
    </w:p>
    <w:p>
      <w:pPr>
        <w:pStyle w:val="2"/>
        <w:ind w:left="0" w:leftChars="0" w:firstLine="0" w:firstLineChars="0"/>
        <w:jc w:val="center"/>
        <w:rPr>
          <w:rFonts w:hint="eastAsia" w:ascii="仿宋_GB2312" w:hAnsi="仿宋_GB2312" w:eastAsia="仿宋_GB2312" w:cs="仿宋_GB2312"/>
        </w:rPr>
      </w:pPr>
      <w:r>
        <w:rPr>
          <w:rFonts w:hint="eastAsia" w:ascii="仿宋_GB2312" w:hAnsi="仿宋_GB2312" w:eastAsia="仿宋_GB2312" w:cs="仿宋_GB231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</w:rPr>
        <w:drawing>
          <wp:inline distT="0" distB="0" distL="114300" distR="114300">
            <wp:extent cx="4762500" cy="2736850"/>
            <wp:effectExtent l="4445" t="4445" r="8255" b="14605"/>
            <wp:docPr id="8" name="图表 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>
      <w:pPr>
        <w:jc w:val="center"/>
        <w:rPr>
          <w:rFonts w:hint="eastAsia" w:ascii="仿宋_GB2312" w:hAnsi="仿宋_GB2312" w:eastAsia="仿宋_GB2312" w:cs="仿宋_GB2312"/>
          <w:lang w:val="en-US" w:eastAsia="zh-CN"/>
        </w:rPr>
      </w:pPr>
      <w:r>
        <w:rPr>
          <w:rFonts w:hint="eastAsia" w:ascii="仿宋_GB2312" w:hAnsi="仿宋_GB2312" w:eastAsia="仿宋_GB2312" w:cs="仿宋_GB2312"/>
          <w:lang w:val="en-US" w:eastAsia="zh-CN"/>
        </w:rPr>
        <w:t xml:space="preserve">   </w:t>
      </w:r>
      <w:r>
        <w:rPr>
          <w:rFonts w:hint="eastAsia" w:ascii="仿宋_GB2312" w:hAnsi="仿宋_GB2312" w:eastAsia="仿宋_GB2312" w:cs="仿宋_GB2312"/>
        </w:rPr>
        <w:drawing>
          <wp:inline distT="0" distB="0" distL="114300" distR="114300">
            <wp:extent cx="4768850" cy="2755900"/>
            <wp:effectExtent l="5080" t="4445" r="13970" b="8255"/>
            <wp:docPr id="9" name="图表 8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79" w:lineRule="exact"/>
        <w:ind w:left="0" w:right="0" w:firstLine="643" w:firstLineChars="200"/>
        <w:jc w:val="center"/>
        <w:textAlignment w:val="auto"/>
        <w:rPr>
          <w:rFonts w:hint="eastAsia" w:ascii="楷体_GB2312" w:hAnsi="楷体_GB2312" w:eastAsia="楷体_GB2312" w:cs="楷体_GB2312"/>
          <w:b/>
          <w:bCs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楷体_GB2312" w:hAnsi="楷体_GB2312" w:eastAsia="楷体_GB2312" w:cs="楷体_GB2312"/>
          <w:b/>
          <w:bCs/>
          <w:spacing w:val="0"/>
          <w:kern w:val="0"/>
          <w:sz w:val="32"/>
          <w:szCs w:val="32"/>
          <w:shd w:val="clear" w:fill="FFFFFF"/>
          <w:lang w:val="en-US" w:eastAsia="zh-CN" w:bidi="ar"/>
        </w:rPr>
        <w:t>六、财政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ind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pacing w:val="0"/>
          <w:sz w:val="32"/>
          <w:szCs w:val="32"/>
          <w:lang w:val="en-US" w:eastAsia="zh-CN"/>
        </w:rPr>
        <w:t>2022年全年一般公共预算收入62.2亿元，比上年降低32.1%。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ind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spacing w:val="0"/>
          <w:sz w:val="32"/>
          <w:szCs w:val="32"/>
          <w:lang w:val="en-US" w:eastAsia="zh-CN"/>
        </w:rPr>
        <w:t>全年一般公共预算支出46.5亿元，比上年下降15.4%。其中一般公共服务支出12亿元，比上年下降29.2%；公共安全支出0.9亿元，比上年增长9.5%；教育支出15.7亿元，比上年增长8.6%；科学技术支出0.5亿元，比上年增长71.9%；社会保障就业支出6.7亿元，比上年下降3.1%；卫生健康支出4.1亿元，比上年增长32.8%；节能环保支出0.2亿元，比上年降低10.1%；城乡社区事务支出2.5亿元，比上年增长2.8%。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79" w:lineRule="exact"/>
        <w:ind w:left="0" w:right="0" w:firstLine="643" w:firstLineChars="200"/>
        <w:jc w:val="center"/>
        <w:textAlignment w:val="auto"/>
        <w:rPr>
          <w:rFonts w:hint="eastAsia" w:ascii="楷体_GB2312" w:hAnsi="楷体_GB2312" w:eastAsia="楷体_GB2312" w:cs="楷体_GB2312"/>
          <w:b/>
          <w:bCs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楷体_GB2312" w:hAnsi="楷体_GB2312" w:eastAsia="楷体_GB2312" w:cs="楷体_GB2312"/>
          <w:b/>
          <w:bCs/>
          <w:spacing w:val="0"/>
          <w:kern w:val="0"/>
          <w:sz w:val="32"/>
          <w:szCs w:val="32"/>
          <w:shd w:val="clear" w:fill="FFFFFF"/>
          <w:lang w:val="en-US" w:eastAsia="zh-CN" w:bidi="ar"/>
        </w:rPr>
        <w:t>七、教育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ind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spacing w:val="0"/>
          <w:sz w:val="32"/>
          <w:szCs w:val="32"/>
          <w:lang w:val="en-US" w:eastAsia="zh-CN"/>
        </w:rPr>
        <w:t>普通中学招生14626人，在校生43502人，毕业生13240人。中等职业学校招生10455人，在校生34462人，毕业生9887人。小学招生13903人，在校生84035人，毕业生10498人。特殊教育学校招生8人，在校生157人，毕业生8人。幼儿园招生人数8411人，在园人数29045人，毕业生8587人。九年义务教育巩固率为100%，高中阶段毛入学率为100%。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79" w:lineRule="exact"/>
        <w:ind w:left="0" w:right="0" w:firstLine="643" w:firstLineChars="200"/>
        <w:jc w:val="center"/>
        <w:textAlignment w:val="auto"/>
        <w:rPr>
          <w:rFonts w:hint="eastAsia" w:ascii="楷体_GB2312" w:hAnsi="楷体_GB2312" w:eastAsia="楷体_GB2312" w:cs="楷体_GB2312"/>
          <w:b/>
          <w:bCs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楷体_GB2312" w:hAnsi="楷体_GB2312" w:eastAsia="楷体_GB2312" w:cs="楷体_GB2312"/>
          <w:b/>
          <w:bCs/>
          <w:spacing w:val="0"/>
          <w:kern w:val="0"/>
          <w:sz w:val="32"/>
          <w:szCs w:val="32"/>
          <w:shd w:val="clear" w:fill="FFFFFF"/>
          <w:lang w:val="en-US" w:eastAsia="zh-CN" w:bidi="ar"/>
        </w:rPr>
        <w:t>八、卫生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ind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仿宋_GB2312" w:hAnsi="仿宋_GB2312" w:eastAsia="仿宋_GB2312" w:cs="仿宋_GB2312"/>
          <w:spacing w:val="0"/>
          <w:sz w:val="32"/>
          <w:szCs w:val="32"/>
          <w:lang w:val="en-US" w:eastAsia="zh-CN"/>
        </w:rPr>
        <w:t>辖区共有社区卫生服务机构51家，其中，社区卫生服务中心12家，社区卫生服务站39家；辖区内部队医院2家；省级公立医院1家、私营3家；市级公立医院3家；市级委托管理的医院38家、门诊部68家；诊所448家；医务室40家；村卫生所19家。 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579" w:lineRule="exact"/>
        <w:ind w:left="0" w:right="0" w:firstLine="643" w:firstLineChars="200"/>
        <w:jc w:val="center"/>
        <w:textAlignment w:val="auto"/>
        <w:rPr>
          <w:rFonts w:hint="eastAsia" w:ascii="楷体_GB2312" w:hAnsi="楷体_GB2312" w:eastAsia="楷体_GB2312" w:cs="楷体_GB2312"/>
          <w:b/>
          <w:bCs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楷体_GB2312" w:hAnsi="楷体_GB2312" w:eastAsia="楷体_GB2312" w:cs="楷体_GB2312"/>
          <w:b/>
          <w:bCs/>
          <w:spacing w:val="0"/>
          <w:kern w:val="0"/>
          <w:sz w:val="32"/>
          <w:szCs w:val="32"/>
          <w:shd w:val="clear" w:fill="FFFFFF"/>
          <w:lang w:val="en-US" w:eastAsia="zh-CN" w:bidi="ar"/>
        </w:rPr>
        <w:t>九、居民消费收入和社会保障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ind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pacing w:val="0"/>
          <w:sz w:val="32"/>
          <w:szCs w:val="32"/>
          <w:lang w:val="en-US" w:eastAsia="zh-CN"/>
        </w:rPr>
        <w:t>全年居民人均可支配收入50781元，比上年增长3.7%。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ind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pacing w:val="0"/>
          <w:sz w:val="32"/>
          <w:szCs w:val="32"/>
          <w:lang w:val="en-US" w:eastAsia="zh-CN"/>
        </w:rPr>
        <w:t>2022年12月底城乡居民参加养老保险人数1.7万人，2021年12月底城乡居民参加养老保险人数1.5万人，比上年末增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pacing w:val="0"/>
          <w:sz w:val="32"/>
          <w:szCs w:val="32"/>
          <w:lang w:val="en-US" w:eastAsia="zh-CN"/>
        </w:rPr>
        <w:t>加0.2万人。2022年12月底城镇职工参加养老保险人数21.8万人，其中在岗职工参保人数为16.7万人，离退休人员参保人数为35821人。2022年12月底城镇职工参加养老保险人数21.8万人，其中在岗职工参保人数为16.7万人，2022年比2021年增长6.4万人。参加城乡居民基本医疗保险人数27.6万人，比上年末增加0.2万人。其中参加城镇职工基本医疗保险人数14.3万人，比上年末增加1.9万人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79" w:lineRule="exact"/>
        <w:ind w:firstLine="640" w:firstLineChars="200"/>
        <w:jc w:val="both"/>
        <w:textAlignment w:val="auto"/>
        <w:outlineLvl w:val="9"/>
        <w:rPr>
          <w:rFonts w:hint="eastAsia" w:ascii="仿宋_GB2312" w:hAnsi="仿宋_GB2312" w:eastAsia="仿宋_GB2312" w:cs="仿宋_GB2312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pacing w:val="0"/>
          <w:sz w:val="32"/>
          <w:szCs w:val="32"/>
          <w:lang w:val="en-US" w:eastAsia="zh-CN"/>
        </w:rPr>
        <w:t>参加失业保险的人数11.9万人，增加2.4万人。2022年12月年参加工伤保险的人数15.4万人，2021年12月年参加工伤保险的人数14.6万人，增加0.8万人。其中，2022年参加工伤保险农民工4.4万人。</w:t>
      </w:r>
    </w:p>
    <w:p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left="0" w:right="0" w:firstLine="643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b/>
          <w:sz w:val="32"/>
          <w:szCs w:val="32"/>
          <w:shd w:val="clear" w:fill="FFFFFF"/>
          <w:lang w:val="en-US"/>
        </w:rPr>
        <w:t> </w:t>
      </w:r>
    </w:p>
    <w:p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80" w:lineRule="auto"/>
        <w:ind w:left="0" w:right="0"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shd w:val="clear" w:fill="FFFFFF"/>
          <w:lang w:val="en-US"/>
        </w:rPr>
        <w:t> </w:t>
      </w:r>
    </w:p>
    <w:p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80" w:lineRule="auto"/>
        <w:ind w:left="0" w:right="0"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shd w:val="clear" w:fill="FFFFFF"/>
          <w:lang w:val="en-US"/>
        </w:rPr>
        <w:t> 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" w:hAnsi="仿宋" w:eastAsia="仿宋" w:cs="仿宋"/>
          <w:sz w:val="32"/>
          <w:szCs w:val="32"/>
        </w:rPr>
      </w:pPr>
    </w:p>
    <w:sectPr>
      <w:footerReference r:id="rId3" w:type="default"/>
      <w:pgSz w:w="11906" w:h="16838"/>
      <w:pgMar w:top="1417" w:right="1417" w:bottom="1417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>
                          <w:pPr>
                            <w:pStyle w:val="5"/>
                            <w:rPr>
                              <w:rFonts w:hint="eastAsia" w:eastAsiaTheme="minorEastAsia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t>1</w:t>
                          </w:r>
                          <w:r>
                            <w:rPr>
                              <w:rFonts w:hint="eastAsia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  <w:rPr>
                        <w:rFonts w:hint="eastAsia" w:eastAsiaTheme="minorEastAsia"/>
                        <w:lang w:eastAsia="zh-CN"/>
                      </w:rPr>
                    </w:pPr>
                    <w:r>
                      <w:rPr>
                        <w:rFonts w:hint="eastAsia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lang w:eastAsia="zh-CN"/>
                      </w:rPr>
                      <w:fldChar w:fldCharType="separate"/>
                    </w:r>
                    <w:r>
                      <w:rPr>
                        <w:rFonts w:hint="eastAsia"/>
                        <w:lang w:eastAsia="zh-CN"/>
                      </w:rPr>
                      <w:t>1</w:t>
                    </w:r>
                    <w:r>
                      <w:rPr>
                        <w:rFonts w:hint="eastAsia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26C2810"/>
    <w:rsid w:val="044820D8"/>
    <w:rsid w:val="05990CE6"/>
    <w:rsid w:val="06BE60F1"/>
    <w:rsid w:val="0AC07BE8"/>
    <w:rsid w:val="0FEB4656"/>
    <w:rsid w:val="10860987"/>
    <w:rsid w:val="117C462F"/>
    <w:rsid w:val="128C7BF7"/>
    <w:rsid w:val="13E17819"/>
    <w:rsid w:val="15385929"/>
    <w:rsid w:val="1B9A26B1"/>
    <w:rsid w:val="253037F3"/>
    <w:rsid w:val="288803AF"/>
    <w:rsid w:val="28EB7495"/>
    <w:rsid w:val="2B101A31"/>
    <w:rsid w:val="2D61521F"/>
    <w:rsid w:val="3370671E"/>
    <w:rsid w:val="345153B2"/>
    <w:rsid w:val="3498424D"/>
    <w:rsid w:val="38987768"/>
    <w:rsid w:val="39C034AC"/>
    <w:rsid w:val="3EF561F6"/>
    <w:rsid w:val="452077EC"/>
    <w:rsid w:val="490A01C5"/>
    <w:rsid w:val="4D225054"/>
    <w:rsid w:val="4DD013C7"/>
    <w:rsid w:val="4F1F5B32"/>
    <w:rsid w:val="53C61233"/>
    <w:rsid w:val="55126D79"/>
    <w:rsid w:val="58B77536"/>
    <w:rsid w:val="60EB5B62"/>
    <w:rsid w:val="62333530"/>
    <w:rsid w:val="6588564B"/>
    <w:rsid w:val="65DC2FF2"/>
    <w:rsid w:val="6671177F"/>
    <w:rsid w:val="698C1794"/>
    <w:rsid w:val="7168763E"/>
    <w:rsid w:val="743067AF"/>
    <w:rsid w:val="75227FD1"/>
    <w:rsid w:val="7C8016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9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next w:val="1"/>
    <w:qFormat/>
    <w:uiPriority w:val="0"/>
    <w:pPr>
      <w:ind w:firstLine="200" w:firstLineChars="200"/>
    </w:pPr>
    <w:rPr>
      <w:rFonts w:ascii="Calibri" w:hAnsi="Calibri" w:eastAsia="宋体" w:cs="Times New Roman"/>
    </w:rPr>
  </w:style>
  <w:style w:type="paragraph" w:styleId="3">
    <w:name w:val="Body Text Indent"/>
    <w:basedOn w:val="1"/>
    <w:next w:val="4"/>
    <w:qFormat/>
    <w:uiPriority w:val="0"/>
    <w:pPr>
      <w:ind w:firstLine="630"/>
    </w:pPr>
    <w:rPr>
      <w:rFonts w:ascii="Calibri" w:hAnsi="Calibri" w:eastAsia="仿宋_GB2312" w:cs="Times New Roman"/>
      <w:kern w:val="2"/>
      <w:sz w:val="32"/>
    </w:rPr>
  </w:style>
  <w:style w:type="paragraph" w:styleId="4">
    <w:name w:val="Subtitle"/>
    <w:basedOn w:val="1"/>
    <w:next w:val="1"/>
    <w:qFormat/>
    <w:uiPriority w:val="0"/>
    <w:pPr>
      <w:wordWrap w:val="0"/>
      <w:spacing w:after="60"/>
      <w:jc w:val="center"/>
    </w:pPr>
    <w:rPr>
      <w:rFonts w:ascii="Calibri" w:hAnsi="Calibri" w:eastAsia="宋体" w:cs="Times New Roman"/>
      <w:sz w:val="24"/>
      <w:szCs w:val="22"/>
      <w:lang w:val="en-US" w:eastAsia="zh-CN" w:bidi="ar-SA"/>
    </w:r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7">
    <w:name w:val="Normal (Web)"/>
    <w:basedOn w:val="1"/>
    <w:qFormat/>
    <w:uiPriority w:val="0"/>
    <w:rPr>
      <w:sz w:val="24"/>
    </w:rPr>
  </w:style>
  <w:style w:type="character" w:styleId="10">
    <w:name w:val="FollowedHyperlink"/>
    <w:basedOn w:val="9"/>
    <w:qFormat/>
    <w:uiPriority w:val="0"/>
    <w:rPr>
      <w:color w:val="333333"/>
      <w:u w:val="none"/>
    </w:rPr>
  </w:style>
  <w:style w:type="character" w:styleId="11">
    <w:name w:val="Hyperlink"/>
    <w:basedOn w:val="9"/>
    <w:qFormat/>
    <w:uiPriority w:val="0"/>
    <w:rPr>
      <w:color w:val="333333"/>
      <w:u w:val="non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chart" Target="charts/chart5.xml"/><Relationship Id="rId8" Type="http://schemas.openxmlformats.org/officeDocument/2006/relationships/chart" Target="charts/chart4.xml"/><Relationship Id="rId7" Type="http://schemas.openxmlformats.org/officeDocument/2006/relationships/chart" Target="charts/chart3.xml"/><Relationship Id="rId6" Type="http://schemas.openxmlformats.org/officeDocument/2006/relationships/chart" Target="charts/chart2.xml"/><Relationship Id="rId5" Type="http://schemas.openxmlformats.org/officeDocument/2006/relationships/chart" Target="charts/chart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3" Type="http://schemas.openxmlformats.org/officeDocument/2006/relationships/fontTable" Target="fontTable.xml"/><Relationship Id="rId12" Type="http://schemas.openxmlformats.org/officeDocument/2006/relationships/customXml" Target="../customXml/item1.xml"/><Relationship Id="rId11" Type="http://schemas.openxmlformats.org/officeDocument/2006/relationships/chart" Target="charts/chart7.xml"/><Relationship Id="rId10" Type="http://schemas.openxmlformats.org/officeDocument/2006/relationships/chart" Target="charts/chart6.xml"/><Relationship Id="rId1" Type="http://schemas.openxmlformats.org/officeDocument/2006/relationships/styles" Target="styles.xml"/></Relationships>
</file>

<file path=word/charts/_rels/chart1.xml.rels><?xml version="1.0" encoding="UTF-8" standalone="yes"?>
<Relationships xmlns="http://schemas.openxmlformats.org/package/2006/relationships"><Relationship Id="rId3" Type="http://schemas.microsoft.com/office/2011/relationships/chartColorStyle" Target="colors1.xml"/><Relationship Id="rId2" Type="http://schemas.microsoft.com/office/2011/relationships/chartStyle" Target="style1.xml"/><Relationship Id="rId1" Type="http://schemas.openxmlformats.org/officeDocument/2006/relationships/oleObject" Target="file:///C:\Users\tjjwl\Desktop\Book1.xlsx" TargetMode="External"/></Relationships>
</file>

<file path=word/charts/_rels/chart2.xml.rels><?xml version="1.0" encoding="UTF-8" standalone="yes"?>
<Relationships xmlns="http://schemas.openxmlformats.org/package/2006/relationships"><Relationship Id="rId3" Type="http://schemas.microsoft.com/office/2011/relationships/chartColorStyle" Target="colors2.xml"/><Relationship Id="rId2" Type="http://schemas.microsoft.com/office/2011/relationships/chartStyle" Target="style2.xml"/><Relationship Id="rId1" Type="http://schemas.openxmlformats.org/officeDocument/2006/relationships/oleObject" Target="file:///C:\Users\tjjwl\Desktop\Book1.xlsx" TargetMode="External"/></Relationships>
</file>

<file path=word/charts/_rels/chart3.xml.rels><?xml version="1.0" encoding="UTF-8" standalone="yes"?>
<Relationships xmlns="http://schemas.openxmlformats.org/package/2006/relationships"><Relationship Id="rId3" Type="http://schemas.microsoft.com/office/2011/relationships/chartColorStyle" Target="colors3.xml"/><Relationship Id="rId2" Type="http://schemas.microsoft.com/office/2011/relationships/chartStyle" Target="style3.xml"/><Relationship Id="rId1" Type="http://schemas.openxmlformats.org/officeDocument/2006/relationships/oleObject" Target="file:///C:\Users\tjjwl\Desktop\Book1.xlsx" TargetMode="External"/></Relationships>
</file>

<file path=word/charts/_rels/chart4.xml.rels><?xml version="1.0" encoding="UTF-8" standalone="yes"?>
<Relationships xmlns="http://schemas.openxmlformats.org/package/2006/relationships"><Relationship Id="rId3" Type="http://schemas.microsoft.com/office/2011/relationships/chartColorStyle" Target="colors4.xml"/><Relationship Id="rId2" Type="http://schemas.microsoft.com/office/2011/relationships/chartStyle" Target="style4.xml"/><Relationship Id="rId1" Type="http://schemas.openxmlformats.org/officeDocument/2006/relationships/oleObject" Target="file:///C:\Users\tjjwl\Desktop\Book1.xlsx" TargetMode="External"/></Relationships>
</file>

<file path=word/charts/_rels/chart5.xml.rels><?xml version="1.0" encoding="UTF-8" standalone="yes"?>
<Relationships xmlns="http://schemas.openxmlformats.org/package/2006/relationships"><Relationship Id="rId3" Type="http://schemas.microsoft.com/office/2011/relationships/chartColorStyle" Target="colors5.xml"/><Relationship Id="rId2" Type="http://schemas.microsoft.com/office/2011/relationships/chartStyle" Target="style5.xml"/><Relationship Id="rId1" Type="http://schemas.openxmlformats.org/officeDocument/2006/relationships/oleObject" Target="Book1" TargetMode="External"/></Relationships>
</file>

<file path=word/charts/_rels/chart6.xml.rels><?xml version="1.0" encoding="UTF-8" standalone="yes"?>
<Relationships xmlns="http://schemas.openxmlformats.org/package/2006/relationships"><Relationship Id="rId3" Type="http://schemas.microsoft.com/office/2011/relationships/chartColorStyle" Target="colors6.xml"/><Relationship Id="rId2" Type="http://schemas.microsoft.com/office/2011/relationships/chartStyle" Target="style6.xml"/><Relationship Id="rId1" Type="http://schemas.openxmlformats.org/officeDocument/2006/relationships/oleObject" Target="file:///C:\Users\tjjwl\Desktop\Book1.xlsx" TargetMode="External"/></Relationships>
</file>

<file path=word/charts/_rels/chart7.xml.rels><?xml version="1.0" encoding="UTF-8" standalone="yes"?>
<Relationships xmlns="http://schemas.openxmlformats.org/package/2006/relationships"><Relationship Id="rId3" Type="http://schemas.microsoft.com/office/2011/relationships/chartColorStyle" Target="colors7.xml"/><Relationship Id="rId2" Type="http://schemas.microsoft.com/office/2011/relationships/chartStyle" Target="style7.xml"/><Relationship Id="rId1" Type="http://schemas.openxmlformats.org/officeDocument/2006/relationships/oleObject" Target="file:///C:\Users\tjjwl\Desktop\Book1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zh-CN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0" vertOverflow="ellipsis" vert="horz" wrap="square" anchor="ctr" anchorCtr="1"/>
          <a:lstStyle/>
          <a:p>
            <a:pPr defTabSz="914400">
              <a:defRPr lang="zh-CN"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altLang="zh-CN"/>
              <a:t>2018-2022</a:t>
            </a:r>
            <a:r>
              <a:rPr altLang="en-US"/>
              <a:t>年服务业走势图</a:t>
            </a:r>
            <a:endParaRPr altLang="en-US"/>
          </a:p>
        </c:rich>
      </c:tx>
      <c:layout/>
      <c:overlay val="0"/>
      <c:spPr>
        <a:noFill/>
        <a:ln>
          <a:noFill/>
        </a:ln>
        <a:effectLst/>
      </c:sp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[Book1.xlsx]Sheet1!$D$1</c:f>
              <c:strCache>
                <c:ptCount val="1"/>
                <c:pt idx="0">
                  <c:v>三产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dLbls>
            <c:delete val="1"/>
          </c:dLbls>
          <c:cat>
            <c:numRef>
              <c:f>[Book1.xlsx]Sheet1!$A$2:$A$6</c:f>
              <c:numCache>
                <c:formatCode>General</c:formatCode>
                <c:ptCount val="5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  <c:pt idx="3">
                  <c:v>2021</c:v>
                </c:pt>
                <c:pt idx="4">
                  <c:v>2022</c:v>
                </c:pt>
              </c:numCache>
            </c:numRef>
          </c:cat>
          <c:val>
            <c:numRef>
              <c:f>[Book1.xlsx]Sheet1!$D$2:$D$6</c:f>
              <c:numCache>
                <c:formatCode>General</c:formatCode>
                <c:ptCount val="5"/>
                <c:pt idx="0">
                  <c:v>556.4</c:v>
                </c:pt>
                <c:pt idx="1">
                  <c:v>663.2</c:v>
                </c:pt>
                <c:pt idx="2">
                  <c:v>677.7</c:v>
                </c:pt>
                <c:pt idx="3">
                  <c:v>708.3</c:v>
                </c:pt>
                <c:pt idx="4">
                  <c:v>763.1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0"/>
        <c:axId val="929683997"/>
        <c:axId val="201764172"/>
      </c:barChart>
      <c:lineChart>
        <c:grouping val="standard"/>
        <c:varyColors val="0"/>
        <c:ser>
          <c:idx val="1"/>
          <c:order val="1"/>
          <c:tx>
            <c:strRef>
              <c:f>[Book1.xlsx]Sheet1!$E$1</c:f>
              <c:strCache>
                <c:ptCount val="1"/>
                <c:pt idx="0">
                  <c:v>增速</c:v>
                </c:pt>
              </c:strCache>
            </c:strRef>
          </c:tx>
          <c:spPr>
            <a:ln w="28575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dLbls>
            <c:delete val="1"/>
          </c:dLbls>
          <c:val>
            <c:numRef>
              <c:f>[Book1.xlsx]Sheet1!$E$2:$E$6</c:f>
              <c:numCache>
                <c:formatCode>General</c:formatCode>
                <c:ptCount val="5"/>
                <c:pt idx="0">
                  <c:v>10.1</c:v>
                </c:pt>
                <c:pt idx="1">
                  <c:v>9.6</c:v>
                </c:pt>
                <c:pt idx="2">
                  <c:v>2.3</c:v>
                </c:pt>
                <c:pt idx="3">
                  <c:v>7.9</c:v>
                </c:pt>
                <c:pt idx="4">
                  <c:v>5.5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0"/>
        <c:smooth val="0"/>
        <c:axId val="799369656"/>
        <c:axId val="209255301"/>
      </c:lineChart>
      <c:catAx>
        <c:axId val="929683997"/>
        <c:scaling>
          <c:orientation val="minMax"/>
        </c:scaling>
        <c:delete val="0"/>
        <c:axPos val="b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0" vertOverflow="ellipsis" vert="horz" wrap="square" anchor="ctr" anchorCtr="1"/>
          <a:lstStyle/>
          <a:p>
            <a:pPr>
              <a:defRPr lang="zh-CN"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</a:p>
        </c:txPr>
        <c:crossAx val="201764172"/>
        <c:crosses val="autoZero"/>
        <c:auto val="1"/>
        <c:lblAlgn val="ctr"/>
        <c:lblOffset val="100"/>
        <c:noMultiLvlLbl val="0"/>
      </c:catAx>
      <c:valAx>
        <c:axId val="201764172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0" vertOverflow="ellipsis" vert="horz" wrap="square" anchor="ctr" anchorCtr="1"/>
          <a:lstStyle/>
          <a:p>
            <a:pPr>
              <a:defRPr lang="zh-CN"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</a:p>
        </c:txPr>
        <c:crossAx val="929683997"/>
        <c:crosses val="autoZero"/>
        <c:crossBetween val="between"/>
      </c:valAx>
      <c:catAx>
        <c:axId val="799369656"/>
        <c:scaling>
          <c:orientation val="minMax"/>
        </c:scaling>
        <c:delete val="1"/>
        <c:axPos val="b"/>
        <c:majorTickMark val="out"/>
        <c:minorTickMark val="none"/>
        <c:tickLblPos val="nextTo"/>
        <c:txPr>
          <a:bodyPr rot="-60000000" spcFirstLastPara="0" vertOverflow="ellipsis" vert="horz" wrap="square" anchor="ctr" anchorCtr="1"/>
          <a:lstStyle/>
          <a:p>
            <a:pPr>
              <a:defRPr lang="zh-CN"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</a:p>
        </c:txPr>
        <c:crossAx val="209255301"/>
        <c:crosses val="autoZero"/>
        <c:auto val="1"/>
        <c:lblAlgn val="ctr"/>
        <c:lblOffset val="100"/>
        <c:noMultiLvlLbl val="0"/>
      </c:catAx>
      <c:valAx>
        <c:axId val="209255301"/>
        <c:scaling>
          <c:orientation val="minMax"/>
        </c:scaling>
        <c:delete val="0"/>
        <c:axPos val="r"/>
        <c:numFmt formatCode="General" sourceLinked="1"/>
        <c:majorTickMark val="out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0" vertOverflow="ellipsis" vert="horz" wrap="square" anchor="ctr" anchorCtr="1"/>
          <a:lstStyle/>
          <a:p>
            <a:pPr>
              <a:defRPr lang="zh-CN"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</a:p>
        </c:txPr>
        <c:crossAx val="799369656"/>
        <c:crosses val="max"/>
        <c:crossBetween val="between"/>
      </c:valAx>
      <c:spPr>
        <a:noFill/>
        <a:ln>
          <a:noFill/>
        </a:ln>
        <a:effectLst/>
      </c:spPr>
    </c:plotArea>
    <c:legend>
      <c:legendPos val="b"/>
      <c:layout/>
      <c:overlay val="0"/>
      <c:spPr>
        <a:noFill/>
        <a:ln>
          <a:noFill/>
        </a:ln>
        <a:effectLst/>
      </c:spPr>
      <c:txPr>
        <a:bodyPr rot="0" spcFirstLastPara="0" vertOverflow="ellipsis" vert="horz" wrap="square" anchor="ctr" anchorCtr="1"/>
        <a:lstStyle/>
        <a:p>
          <a:pPr>
            <a:defRPr lang="zh-CN"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lang="zh-CN"/>
      </a:pPr>
    </a:p>
  </c:tx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zh-CN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0" vertOverflow="ellipsis" vert="horz" wrap="square" anchor="ctr" anchorCtr="1"/>
          <a:lstStyle/>
          <a:p>
            <a:pPr defTabSz="914400">
              <a:defRPr lang="zh-CN"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altLang="zh-CN"/>
              <a:t>2018-2022</a:t>
            </a:r>
            <a:r>
              <a:rPr altLang="en-US"/>
              <a:t>年</a:t>
            </a:r>
            <a:r>
              <a:rPr lang="en-US" altLang="zh-CN"/>
              <a:t>GDP</a:t>
            </a:r>
            <a:r>
              <a:rPr altLang="en-US"/>
              <a:t>走势图</a:t>
            </a:r>
            <a:endParaRPr altLang="en-US"/>
          </a:p>
        </c:rich>
      </c:tx>
      <c:layout/>
      <c:overlay val="0"/>
      <c:spPr>
        <a:noFill/>
        <a:ln>
          <a:noFill/>
        </a:ln>
        <a:effectLst/>
      </c:sp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[Book1.xlsx]Sheet1!$B$1</c:f>
              <c:strCache>
                <c:ptCount val="1"/>
                <c:pt idx="0">
                  <c:v>GDP总量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dLbls>
            <c:delete val="1"/>
          </c:dLbls>
          <c:cat>
            <c:numRef>
              <c:f>[Book1.xlsx]Sheet1!$A$2:$A$6</c:f>
              <c:numCache>
                <c:formatCode>General</c:formatCode>
                <c:ptCount val="5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  <c:pt idx="3">
                  <c:v>2021</c:v>
                </c:pt>
                <c:pt idx="4">
                  <c:v>2022</c:v>
                </c:pt>
              </c:numCache>
            </c:numRef>
          </c:cat>
          <c:val>
            <c:numRef>
              <c:f>[Book1.xlsx]Sheet1!$B$2:$B$6</c:f>
              <c:numCache>
                <c:formatCode>General</c:formatCode>
                <c:ptCount val="5"/>
                <c:pt idx="0">
                  <c:v>614</c:v>
                </c:pt>
                <c:pt idx="1">
                  <c:v>737</c:v>
                </c:pt>
                <c:pt idx="2">
                  <c:v>743.1</c:v>
                </c:pt>
                <c:pt idx="3">
                  <c:v>775.9</c:v>
                </c:pt>
                <c:pt idx="4">
                  <c:v>916.4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0"/>
        <c:axId val="63412183"/>
        <c:axId val="916305038"/>
      </c:barChart>
      <c:lineChart>
        <c:grouping val="standard"/>
        <c:varyColors val="0"/>
        <c:ser>
          <c:idx val="1"/>
          <c:order val="1"/>
          <c:tx>
            <c:strRef>
              <c:f>[Book1.xlsx]Sheet1!$C$1</c:f>
              <c:strCache>
                <c:ptCount val="1"/>
                <c:pt idx="0">
                  <c:v>增速</c:v>
                </c:pt>
              </c:strCache>
            </c:strRef>
          </c:tx>
          <c:spPr>
            <a:ln w="28575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dLbls>
            <c:delete val="1"/>
          </c:dLbls>
          <c:val>
            <c:numRef>
              <c:f>[Book1.xlsx]Sheet1!$C$2:$C$6</c:f>
              <c:numCache>
                <c:formatCode>General</c:formatCode>
                <c:ptCount val="5"/>
                <c:pt idx="0">
                  <c:v>8.7</c:v>
                </c:pt>
                <c:pt idx="1">
                  <c:v>8.9</c:v>
                </c:pt>
                <c:pt idx="2">
                  <c:v>2.3</c:v>
                </c:pt>
                <c:pt idx="3">
                  <c:v>6.1</c:v>
                </c:pt>
                <c:pt idx="4">
                  <c:v>7.7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0"/>
        <c:smooth val="0"/>
        <c:axId val="886392684"/>
        <c:axId val="56548979"/>
      </c:lineChart>
      <c:catAx>
        <c:axId val="63412183"/>
        <c:scaling>
          <c:orientation val="minMax"/>
        </c:scaling>
        <c:delete val="0"/>
        <c:axPos val="b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0" vertOverflow="ellipsis" vert="horz" wrap="square" anchor="ctr" anchorCtr="1"/>
          <a:lstStyle/>
          <a:p>
            <a:pPr>
              <a:defRPr lang="zh-CN"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</a:p>
        </c:txPr>
        <c:crossAx val="916305038"/>
        <c:crosses val="autoZero"/>
        <c:auto val="1"/>
        <c:lblAlgn val="ctr"/>
        <c:lblOffset val="100"/>
        <c:noMultiLvlLbl val="0"/>
      </c:catAx>
      <c:valAx>
        <c:axId val="916305038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0" vertOverflow="ellipsis" vert="horz" wrap="square" anchor="ctr" anchorCtr="1"/>
          <a:lstStyle/>
          <a:p>
            <a:pPr>
              <a:defRPr lang="zh-CN"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</a:p>
        </c:txPr>
        <c:crossAx val="63412183"/>
        <c:crosses val="autoZero"/>
        <c:crossBetween val="between"/>
      </c:valAx>
      <c:catAx>
        <c:axId val="886392684"/>
        <c:scaling>
          <c:orientation val="minMax"/>
        </c:scaling>
        <c:delete val="1"/>
        <c:axPos val="b"/>
        <c:majorTickMark val="out"/>
        <c:minorTickMark val="none"/>
        <c:tickLblPos val="nextTo"/>
        <c:txPr>
          <a:bodyPr rot="-60000000" spcFirstLastPara="0" vertOverflow="ellipsis" vert="horz" wrap="square" anchor="ctr" anchorCtr="1"/>
          <a:lstStyle/>
          <a:p>
            <a:pPr>
              <a:defRPr lang="zh-CN"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</a:p>
        </c:txPr>
        <c:crossAx val="56548979"/>
        <c:crosses val="autoZero"/>
        <c:auto val="1"/>
        <c:lblAlgn val="ctr"/>
        <c:lblOffset val="100"/>
        <c:noMultiLvlLbl val="0"/>
      </c:catAx>
      <c:valAx>
        <c:axId val="56548979"/>
        <c:scaling>
          <c:orientation val="minMax"/>
        </c:scaling>
        <c:delete val="0"/>
        <c:axPos val="r"/>
        <c:numFmt formatCode="General" sourceLinked="1"/>
        <c:majorTickMark val="out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0" vertOverflow="ellipsis" vert="horz" wrap="square" anchor="ctr" anchorCtr="1"/>
          <a:lstStyle/>
          <a:p>
            <a:pPr>
              <a:defRPr lang="zh-CN"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</a:p>
        </c:txPr>
        <c:crossAx val="886392684"/>
        <c:crosses val="max"/>
        <c:crossBetween val="between"/>
      </c:valAx>
      <c:spPr>
        <a:noFill/>
        <a:ln>
          <a:noFill/>
        </a:ln>
        <a:effectLst/>
      </c:spPr>
    </c:plotArea>
    <c:legend>
      <c:legendPos val="b"/>
      <c:layout/>
      <c:overlay val="0"/>
      <c:spPr>
        <a:noFill/>
        <a:ln>
          <a:noFill/>
        </a:ln>
        <a:effectLst/>
      </c:spPr>
      <c:txPr>
        <a:bodyPr rot="0" spcFirstLastPara="0" vertOverflow="ellipsis" vert="horz" wrap="square" anchor="ctr" anchorCtr="1"/>
        <a:lstStyle/>
        <a:p>
          <a:pPr>
            <a:defRPr lang="zh-CN"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lang="zh-CN"/>
      </a:pPr>
    </a:p>
  </c:txPr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zh-CN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0" vertOverflow="ellipsis" vert="horz" wrap="square" anchor="ctr" anchorCtr="1"/>
          <a:lstStyle/>
          <a:p>
            <a:pPr defTabSz="914400">
              <a:defRPr lang="zh-CN"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altLang="zh-CN"/>
              <a:t>2018-2022</a:t>
            </a:r>
            <a:r>
              <a:rPr altLang="en-US"/>
              <a:t>年外资利用情况</a:t>
            </a:r>
            <a:endParaRPr altLang="en-US"/>
          </a:p>
        </c:rich>
      </c:tx>
      <c:layout/>
      <c:overlay val="0"/>
      <c:spPr>
        <a:noFill/>
        <a:ln>
          <a:noFill/>
        </a:ln>
        <a:effectLst/>
      </c:spPr>
    </c:title>
    <c:autoTitleDeleted val="0"/>
    <c:plotArea>
      <c:layout/>
      <c:lineChart>
        <c:grouping val="standard"/>
        <c:varyColors val="0"/>
        <c:ser>
          <c:idx val="0"/>
          <c:order val="0"/>
          <c:spPr>
            <a:ln w="28575" cap="rnd">
              <a:solidFill>
                <a:schemeClr val="accent1"/>
              </a:solidFill>
              <a:round/>
            </a:ln>
            <a:effectLst/>
          </c:spPr>
          <c:marker>
            <c:symbol val="none"/>
          </c:marker>
          <c:dLbls>
            <c:delete val="1"/>
          </c:dLbls>
          <c:cat>
            <c:numRef>
              <c:f>[Book1.xlsx]Sheet1!$A$2:$A$6</c:f>
              <c:numCache>
                <c:formatCode>General</c:formatCode>
                <c:ptCount val="5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  <c:pt idx="3">
                  <c:v>2021</c:v>
                </c:pt>
                <c:pt idx="4">
                  <c:v>2022</c:v>
                </c:pt>
              </c:numCache>
            </c:numRef>
          </c:cat>
          <c:val>
            <c:numRef>
              <c:f>[Book1.xlsx]Sheet1!$F$2:$F$6</c:f>
              <c:numCache>
                <c:formatCode>General</c:formatCode>
                <c:ptCount val="5"/>
                <c:pt idx="0">
                  <c:v>8987</c:v>
                </c:pt>
                <c:pt idx="1">
                  <c:v>220000</c:v>
                </c:pt>
                <c:pt idx="2">
                  <c:v>4621</c:v>
                </c:pt>
                <c:pt idx="3">
                  <c:v>1870</c:v>
                </c:pt>
                <c:pt idx="4">
                  <c:v>1483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0"/>
        <c:smooth val="0"/>
        <c:axId val="899210944"/>
        <c:axId val="682693099"/>
      </c:lineChart>
      <c:catAx>
        <c:axId val="899210944"/>
        <c:scaling>
          <c:orientation val="minMax"/>
        </c:scaling>
        <c:delete val="0"/>
        <c:axPos val="b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0" vertOverflow="ellipsis" vert="horz" wrap="square" anchor="ctr" anchorCtr="1"/>
          <a:lstStyle/>
          <a:p>
            <a:pPr>
              <a:defRPr lang="zh-CN"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</a:p>
        </c:txPr>
        <c:crossAx val="682693099"/>
        <c:crosses val="autoZero"/>
        <c:auto val="1"/>
        <c:lblAlgn val="ctr"/>
        <c:lblOffset val="100"/>
        <c:noMultiLvlLbl val="0"/>
      </c:catAx>
      <c:valAx>
        <c:axId val="682693099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0" vertOverflow="ellipsis" vert="horz" wrap="square" anchor="ctr" anchorCtr="1"/>
          <a:lstStyle/>
          <a:p>
            <a:pPr>
              <a:defRPr lang="zh-CN"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</a:p>
        </c:txPr>
        <c:crossAx val="899210944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lang="zh-CN"/>
      </a:pPr>
    </a:p>
  </c:txPr>
  <c:externalData r:id="rId1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zh-CN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0" vertOverflow="ellipsis" vert="horz" wrap="square" anchor="ctr" anchorCtr="1"/>
          <a:lstStyle/>
          <a:p>
            <a:pPr defTabSz="914400">
              <a:defRPr lang="zh-CN"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altLang="zh-CN"/>
              <a:t>2018-2022</a:t>
            </a:r>
            <a:r>
              <a:rPr altLang="en-US"/>
              <a:t>年固定资产投资走势图</a:t>
            </a:r>
            <a:endParaRPr altLang="en-US"/>
          </a:p>
        </c:rich>
      </c:tx>
      <c:layout/>
      <c:overlay val="0"/>
      <c:spPr>
        <a:noFill/>
        <a:ln>
          <a:noFill/>
        </a:ln>
        <a:effectLst/>
      </c:spPr>
    </c:title>
    <c:autoTitleDeleted val="0"/>
    <c:plotArea>
      <c:layout/>
      <c:lineChart>
        <c:grouping val="standard"/>
        <c:varyColors val="0"/>
        <c:ser>
          <c:idx val="0"/>
          <c:order val="0"/>
          <c:spPr>
            <a:ln w="28575" cap="rnd">
              <a:solidFill>
                <a:schemeClr val="accent1"/>
              </a:solidFill>
              <a:round/>
            </a:ln>
            <a:effectLst/>
          </c:spPr>
          <c:marker>
            <c:symbol val="none"/>
          </c:marker>
          <c:dLbls>
            <c:delete val="1"/>
          </c:dLbls>
          <c:cat>
            <c:numRef>
              <c:f>[Book1.xlsx]Sheet1!$A$2:$A$6</c:f>
              <c:numCache>
                <c:formatCode>General</c:formatCode>
                <c:ptCount val="5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  <c:pt idx="3">
                  <c:v>2021</c:v>
                </c:pt>
                <c:pt idx="4">
                  <c:v>2022</c:v>
                </c:pt>
              </c:numCache>
            </c:numRef>
          </c:cat>
          <c:val>
            <c:numRef>
              <c:f>[Book1.xlsx]Sheet1!$G$2:$G$6</c:f>
              <c:numCache>
                <c:formatCode>General</c:formatCode>
                <c:ptCount val="5"/>
                <c:pt idx="0">
                  <c:v>-19.7</c:v>
                </c:pt>
                <c:pt idx="1">
                  <c:v>5.5</c:v>
                </c:pt>
                <c:pt idx="2">
                  <c:v>-25.3</c:v>
                </c:pt>
                <c:pt idx="3">
                  <c:v>-10.8</c:v>
                </c:pt>
                <c:pt idx="4">
                  <c:v>13.1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0"/>
        <c:smooth val="0"/>
        <c:axId val="165370802"/>
        <c:axId val="578172267"/>
      </c:lineChart>
      <c:catAx>
        <c:axId val="165370802"/>
        <c:scaling>
          <c:orientation val="minMax"/>
        </c:scaling>
        <c:delete val="0"/>
        <c:axPos val="b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0" vertOverflow="ellipsis" vert="horz" wrap="square" anchor="ctr" anchorCtr="1"/>
          <a:lstStyle/>
          <a:p>
            <a:pPr>
              <a:defRPr lang="zh-CN"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</a:p>
        </c:txPr>
        <c:crossAx val="578172267"/>
        <c:crosses val="autoZero"/>
        <c:auto val="1"/>
        <c:lblAlgn val="ctr"/>
        <c:lblOffset val="100"/>
        <c:noMultiLvlLbl val="0"/>
      </c:catAx>
      <c:valAx>
        <c:axId val="578172267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0" vertOverflow="ellipsis" vert="horz" wrap="square" anchor="ctr" anchorCtr="1"/>
          <a:lstStyle/>
          <a:p>
            <a:pPr>
              <a:defRPr lang="zh-CN"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</a:p>
        </c:txPr>
        <c:crossAx val="165370802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lang="zh-CN"/>
      </a:pPr>
    </a:p>
  </c:txPr>
  <c:externalData r:id="rId1">
    <c:autoUpdate val="0"/>
  </c:externalData>
</c:chartSpace>
</file>

<file path=word/charts/chart5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zh-CN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0" vertOverflow="ellipsis" vert="horz" wrap="square" anchor="ctr" anchorCtr="1"/>
          <a:lstStyle/>
          <a:p>
            <a:pPr defTabSz="914400">
              <a:defRPr lang="zh-CN"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t>2017—2022年规模以上工业增加值增速</a:t>
            </a:r>
          </a:p>
        </c:rich>
      </c:tx>
      <c:layout/>
      <c:overlay val="0"/>
      <c:spPr>
        <a:noFill/>
        <a:ln>
          <a:noFill/>
        </a:ln>
        <a:effectLst/>
      </c:spPr>
    </c:title>
    <c:autoTitleDeleted val="0"/>
    <c:plotArea>
      <c:layout/>
      <c:lineChart>
        <c:grouping val="standard"/>
        <c:varyColors val="0"/>
        <c:ser>
          <c:idx val="0"/>
          <c:order val="0"/>
          <c:spPr>
            <a:ln w="28575" cap="rnd">
              <a:solidFill>
                <a:schemeClr val="accent1"/>
              </a:solidFill>
              <a:round/>
            </a:ln>
            <a:effectLst/>
          </c:spPr>
          <c:marker>
            <c:symbol val="none"/>
          </c:marker>
          <c:dLbls>
            <c:delete val="1"/>
          </c:dLbls>
          <c:cat>
            <c:numRef>
              <c:f>[Book1]Sheet1!$A$1:$A$6</c:f>
              <c:numCache>
                <c:formatCode>General</c:formatCode>
                <c:ptCount val="6"/>
                <c:pt idx="0">
                  <c:v>2017</c:v>
                </c:pt>
                <c:pt idx="1">
                  <c:v>2018</c:v>
                </c:pt>
                <c:pt idx="2">
                  <c:v>2019</c:v>
                </c:pt>
                <c:pt idx="3">
                  <c:v>2020</c:v>
                </c:pt>
                <c:pt idx="4">
                  <c:v>2021</c:v>
                </c:pt>
                <c:pt idx="5">
                  <c:v>2022</c:v>
                </c:pt>
              </c:numCache>
            </c:numRef>
          </c:cat>
          <c:val>
            <c:numRef>
              <c:f>[Book1]Sheet1!$B$1:$B$6</c:f>
              <c:numCache>
                <c:formatCode>General</c:formatCode>
                <c:ptCount val="6"/>
                <c:pt idx="0">
                  <c:v>9.7</c:v>
                </c:pt>
                <c:pt idx="1">
                  <c:v>6.9</c:v>
                </c:pt>
                <c:pt idx="2">
                  <c:v>12.1</c:v>
                </c:pt>
                <c:pt idx="3">
                  <c:v>2.1</c:v>
                </c:pt>
                <c:pt idx="4">
                  <c:v>12.3</c:v>
                </c:pt>
                <c:pt idx="5">
                  <c:v>10.6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0"/>
        <c:smooth val="0"/>
        <c:axId val="272216495"/>
        <c:axId val="511463163"/>
      </c:lineChart>
      <c:catAx>
        <c:axId val="272216495"/>
        <c:scaling>
          <c:orientation val="minMax"/>
        </c:scaling>
        <c:delete val="0"/>
        <c:axPos val="b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0" vertOverflow="ellipsis" vert="horz" wrap="square" anchor="ctr" anchorCtr="1"/>
          <a:lstStyle/>
          <a:p>
            <a:pPr>
              <a:defRPr lang="zh-CN"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</a:p>
        </c:txPr>
        <c:crossAx val="511463163"/>
        <c:crosses val="autoZero"/>
        <c:auto val="1"/>
        <c:lblAlgn val="ctr"/>
        <c:lblOffset val="100"/>
        <c:noMultiLvlLbl val="0"/>
      </c:catAx>
      <c:valAx>
        <c:axId val="511463163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0" vertOverflow="ellipsis" vert="horz" wrap="square" anchor="ctr" anchorCtr="1"/>
          <a:lstStyle/>
          <a:p>
            <a:pPr>
              <a:defRPr lang="zh-CN"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</a:p>
        </c:txPr>
        <c:crossAx val="272216495"/>
        <c:crosses val="autoZero"/>
        <c:crossBetween val="between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lang="zh-CN"/>
      </a:pPr>
    </a:p>
  </c:txPr>
  <c:externalData r:id="rId1">
    <c:autoUpdate val="0"/>
  </c:externalData>
</c:chartSpace>
</file>

<file path=word/charts/chart6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zh-CN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0" vertOverflow="ellipsis" vert="horz" wrap="square" anchor="ctr" anchorCtr="1"/>
          <a:lstStyle/>
          <a:p>
            <a:pPr defTabSz="914400">
              <a:defRPr lang="zh-CN"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altLang="zh-CN"/>
              <a:t>2018-2022</a:t>
            </a:r>
            <a:r>
              <a:rPr altLang="en-US"/>
              <a:t>年社零额走势图</a:t>
            </a:r>
            <a:endParaRPr altLang="en-US"/>
          </a:p>
        </c:rich>
      </c:tx>
      <c:layout/>
      <c:overlay val="0"/>
      <c:spPr>
        <a:noFill/>
        <a:ln>
          <a:noFill/>
        </a:ln>
        <a:effectLst/>
      </c:sp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[Book1.xlsx]Sheet1!$H$1</c:f>
              <c:strCache>
                <c:ptCount val="1"/>
                <c:pt idx="0">
                  <c:v>社零额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dLbls>
            <c:delete val="1"/>
          </c:dLbls>
          <c:cat>
            <c:numRef>
              <c:f>[Book1.xlsx]Sheet1!$A$2:$A$6</c:f>
              <c:numCache>
                <c:formatCode>General</c:formatCode>
                <c:ptCount val="5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  <c:pt idx="3">
                  <c:v>2021</c:v>
                </c:pt>
                <c:pt idx="4">
                  <c:v>2022</c:v>
                </c:pt>
              </c:numCache>
            </c:numRef>
          </c:cat>
          <c:val>
            <c:numRef>
              <c:f>[Book1.xlsx]Sheet1!$H$2:$H$6</c:f>
              <c:numCache>
                <c:formatCode>General</c:formatCode>
                <c:ptCount val="5"/>
                <c:pt idx="0">
                  <c:v>450.1</c:v>
                </c:pt>
                <c:pt idx="1">
                  <c:v>486.6</c:v>
                </c:pt>
                <c:pt idx="2">
                  <c:v>451.4</c:v>
                </c:pt>
                <c:pt idx="3">
                  <c:v>471.2</c:v>
                </c:pt>
                <c:pt idx="4">
                  <c:v>472.9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0"/>
        <c:axId val="694892164"/>
        <c:axId val="999467309"/>
      </c:barChart>
      <c:lineChart>
        <c:grouping val="standard"/>
        <c:varyColors val="0"/>
        <c:ser>
          <c:idx val="1"/>
          <c:order val="1"/>
          <c:tx>
            <c:strRef>
              <c:f>[Book1.xlsx]Sheet1!$I$1</c:f>
              <c:strCache>
                <c:ptCount val="1"/>
                <c:pt idx="0">
                  <c:v>增速</c:v>
                </c:pt>
              </c:strCache>
            </c:strRef>
          </c:tx>
          <c:spPr>
            <a:ln w="28575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dLbls>
            <c:delete val="1"/>
          </c:dLbls>
          <c:val>
            <c:numRef>
              <c:f>[Book1.xlsx]Sheet1!$I$2:$I$6</c:f>
              <c:numCache>
                <c:formatCode>General</c:formatCode>
                <c:ptCount val="5"/>
                <c:pt idx="0">
                  <c:v>8.1</c:v>
                </c:pt>
                <c:pt idx="1">
                  <c:v>8.1</c:v>
                </c:pt>
                <c:pt idx="2">
                  <c:v>-3.1</c:v>
                </c:pt>
                <c:pt idx="3">
                  <c:v>4.4</c:v>
                </c:pt>
                <c:pt idx="4">
                  <c:v>0.4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0"/>
        <c:smooth val="0"/>
        <c:axId val="39653478"/>
        <c:axId val="648773179"/>
      </c:lineChart>
      <c:catAx>
        <c:axId val="694892164"/>
        <c:scaling>
          <c:orientation val="minMax"/>
        </c:scaling>
        <c:delete val="0"/>
        <c:axPos val="b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0" vertOverflow="ellipsis" vert="horz" wrap="square" anchor="ctr" anchorCtr="1"/>
          <a:lstStyle/>
          <a:p>
            <a:pPr>
              <a:defRPr lang="zh-CN"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</a:p>
        </c:txPr>
        <c:crossAx val="999467309"/>
        <c:crosses val="autoZero"/>
        <c:auto val="1"/>
        <c:lblAlgn val="ctr"/>
        <c:lblOffset val="100"/>
        <c:noMultiLvlLbl val="0"/>
      </c:catAx>
      <c:valAx>
        <c:axId val="999467309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0" vertOverflow="ellipsis" vert="horz" wrap="square" anchor="ctr" anchorCtr="1"/>
          <a:lstStyle/>
          <a:p>
            <a:pPr>
              <a:defRPr lang="zh-CN"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</a:p>
        </c:txPr>
        <c:crossAx val="694892164"/>
        <c:crosses val="autoZero"/>
        <c:crossBetween val="between"/>
      </c:valAx>
      <c:catAx>
        <c:axId val="39653478"/>
        <c:scaling>
          <c:orientation val="minMax"/>
        </c:scaling>
        <c:delete val="1"/>
        <c:axPos val="b"/>
        <c:majorTickMark val="out"/>
        <c:minorTickMark val="none"/>
        <c:tickLblPos val="nextTo"/>
        <c:txPr>
          <a:bodyPr rot="-60000000" spcFirstLastPara="0" vertOverflow="ellipsis" vert="horz" wrap="square" anchor="ctr" anchorCtr="1"/>
          <a:lstStyle/>
          <a:p>
            <a:pPr>
              <a:defRPr lang="zh-CN"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</a:p>
        </c:txPr>
        <c:crossAx val="648773179"/>
        <c:crosses val="autoZero"/>
        <c:auto val="1"/>
        <c:lblAlgn val="ctr"/>
        <c:lblOffset val="100"/>
        <c:noMultiLvlLbl val="0"/>
      </c:catAx>
      <c:valAx>
        <c:axId val="648773179"/>
        <c:scaling>
          <c:orientation val="minMax"/>
        </c:scaling>
        <c:delete val="0"/>
        <c:axPos val="r"/>
        <c:numFmt formatCode="General" sourceLinked="1"/>
        <c:majorTickMark val="out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0" vertOverflow="ellipsis" vert="horz" wrap="square" anchor="ctr" anchorCtr="1"/>
          <a:lstStyle/>
          <a:p>
            <a:pPr>
              <a:defRPr lang="zh-CN"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</a:p>
        </c:txPr>
        <c:crossAx val="39653478"/>
        <c:crosses val="max"/>
        <c:crossBetween val="between"/>
      </c:valAx>
      <c:spPr>
        <a:noFill/>
        <a:ln>
          <a:noFill/>
        </a:ln>
        <a:effectLst/>
      </c:spPr>
    </c:plotArea>
    <c:legend>
      <c:legendPos val="b"/>
      <c:layout/>
      <c:overlay val="0"/>
      <c:spPr>
        <a:noFill/>
        <a:ln>
          <a:noFill/>
        </a:ln>
        <a:effectLst/>
      </c:spPr>
      <c:txPr>
        <a:bodyPr rot="0" spcFirstLastPara="0" vertOverflow="ellipsis" vert="horz" wrap="square" anchor="ctr" anchorCtr="1"/>
        <a:lstStyle/>
        <a:p>
          <a:pPr>
            <a:defRPr lang="zh-CN"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lang="zh-CN"/>
      </a:pPr>
    </a:p>
  </c:txPr>
  <c:externalData r:id="rId1">
    <c:autoUpdate val="0"/>
  </c:externalData>
</c:chartSpace>
</file>

<file path=word/charts/chart7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zh-CN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0" vertOverflow="ellipsis" vert="horz" wrap="square" anchor="ctr" anchorCtr="1"/>
          <a:lstStyle/>
          <a:p>
            <a:pPr defTabSz="914400">
              <a:defRPr lang="zh-CN" sz="1400" b="0" i="0" u="none" strike="noStrike" kern="1200" spc="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en-US" altLang="zh-CN"/>
              <a:t>2018-2022</a:t>
            </a:r>
            <a:r>
              <a:rPr altLang="en-US"/>
              <a:t>年限上企业零售额走势图</a:t>
            </a:r>
            <a:endParaRPr altLang="en-US"/>
          </a:p>
        </c:rich>
      </c:tx>
      <c:layout/>
      <c:overlay val="0"/>
      <c:spPr>
        <a:noFill/>
        <a:ln>
          <a:noFill/>
        </a:ln>
        <a:effectLst/>
      </c:spPr>
    </c:title>
    <c:autoTitleDeleted val="0"/>
    <c:plotArea>
      <c:layout/>
      <c:barChart>
        <c:barDir val="col"/>
        <c:grouping val="clustered"/>
        <c:varyColors val="0"/>
        <c:ser>
          <c:idx val="0"/>
          <c:order val="0"/>
          <c:tx>
            <c:strRef>
              <c:f>[Book1.xlsx]Sheet1!$J$1</c:f>
              <c:strCache>
                <c:ptCount val="1"/>
                <c:pt idx="0">
                  <c:v>限上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dLbls>
            <c:delete val="1"/>
          </c:dLbls>
          <c:cat>
            <c:numRef>
              <c:f>[Book1.xlsx]Sheet1!$A$2:$A$6</c:f>
              <c:numCache>
                <c:formatCode>General</c:formatCode>
                <c:ptCount val="5"/>
                <c:pt idx="0">
                  <c:v>2018</c:v>
                </c:pt>
                <c:pt idx="1">
                  <c:v>2019</c:v>
                </c:pt>
                <c:pt idx="2">
                  <c:v>2020</c:v>
                </c:pt>
                <c:pt idx="3">
                  <c:v>2021</c:v>
                </c:pt>
                <c:pt idx="4">
                  <c:v>2022</c:v>
                </c:pt>
              </c:numCache>
            </c:numRef>
          </c:cat>
          <c:val>
            <c:numRef>
              <c:f>[Book1.xlsx]Sheet1!$J$2:$J$6</c:f>
              <c:numCache>
                <c:formatCode>General</c:formatCode>
                <c:ptCount val="5"/>
                <c:pt idx="0">
                  <c:v>221.5</c:v>
                </c:pt>
                <c:pt idx="1">
                  <c:v>234.3</c:v>
                </c:pt>
                <c:pt idx="2">
                  <c:v>203.7</c:v>
                </c:pt>
                <c:pt idx="3">
                  <c:v>212.8</c:v>
                </c:pt>
                <c:pt idx="4">
                  <c:v>209.2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overlap val="0"/>
        <c:axId val="743210150"/>
        <c:axId val="421490854"/>
      </c:barChart>
      <c:lineChart>
        <c:grouping val="standard"/>
        <c:varyColors val="0"/>
        <c:ser>
          <c:idx val="1"/>
          <c:order val="1"/>
          <c:tx>
            <c:strRef>
              <c:f>[Book1.xlsx]Sheet1!$K$1</c:f>
              <c:strCache>
                <c:ptCount val="1"/>
                <c:pt idx="0">
                  <c:v>增速</c:v>
                </c:pt>
              </c:strCache>
            </c:strRef>
          </c:tx>
          <c:spPr>
            <a:ln w="28575" cap="rnd">
              <a:solidFill>
                <a:schemeClr val="accent2"/>
              </a:solidFill>
              <a:round/>
            </a:ln>
            <a:effectLst/>
          </c:spPr>
          <c:marker>
            <c:symbol val="none"/>
          </c:marker>
          <c:dLbls>
            <c:delete val="1"/>
          </c:dLbls>
          <c:val>
            <c:numRef>
              <c:f>[Book1.xlsx]Sheet1!$K$2:$K$6</c:f>
              <c:numCache>
                <c:formatCode>General</c:formatCode>
                <c:ptCount val="5"/>
                <c:pt idx="0">
                  <c:v>2</c:v>
                </c:pt>
                <c:pt idx="1">
                  <c:v>2.1</c:v>
                </c:pt>
                <c:pt idx="2">
                  <c:v>-6</c:v>
                </c:pt>
                <c:pt idx="3">
                  <c:v>-0.4</c:v>
                </c:pt>
                <c:pt idx="4">
                  <c:v>-2.1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0"/>
        <c:smooth val="0"/>
        <c:axId val="137066120"/>
        <c:axId val="868106109"/>
      </c:lineChart>
      <c:catAx>
        <c:axId val="743210150"/>
        <c:scaling>
          <c:orientation val="minMax"/>
        </c:scaling>
        <c:delete val="0"/>
        <c:axPos val="b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0" vertOverflow="ellipsis" vert="horz" wrap="square" anchor="ctr" anchorCtr="1"/>
          <a:lstStyle/>
          <a:p>
            <a:pPr>
              <a:defRPr lang="zh-CN"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</a:p>
        </c:txPr>
        <c:crossAx val="421490854"/>
        <c:crosses val="autoZero"/>
        <c:auto val="1"/>
        <c:lblAlgn val="ctr"/>
        <c:lblOffset val="100"/>
        <c:noMultiLvlLbl val="0"/>
      </c:catAx>
      <c:valAx>
        <c:axId val="421490854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0" vertOverflow="ellipsis" vert="horz" wrap="square" anchor="ctr" anchorCtr="1"/>
          <a:lstStyle/>
          <a:p>
            <a:pPr>
              <a:defRPr lang="zh-CN"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</a:p>
        </c:txPr>
        <c:crossAx val="743210150"/>
        <c:crosses val="autoZero"/>
        <c:crossBetween val="between"/>
      </c:valAx>
      <c:catAx>
        <c:axId val="137066120"/>
        <c:scaling>
          <c:orientation val="minMax"/>
        </c:scaling>
        <c:delete val="1"/>
        <c:axPos val="b"/>
        <c:majorTickMark val="out"/>
        <c:minorTickMark val="none"/>
        <c:tickLblPos val="nextTo"/>
        <c:txPr>
          <a:bodyPr rot="-60000000" spcFirstLastPara="0" vertOverflow="ellipsis" vert="horz" wrap="square" anchor="ctr" anchorCtr="1"/>
          <a:lstStyle/>
          <a:p>
            <a:pPr>
              <a:defRPr lang="zh-CN"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</a:p>
        </c:txPr>
        <c:crossAx val="868106109"/>
        <c:crosses val="autoZero"/>
        <c:auto val="1"/>
        <c:lblAlgn val="ctr"/>
        <c:lblOffset val="100"/>
        <c:noMultiLvlLbl val="0"/>
      </c:catAx>
      <c:valAx>
        <c:axId val="868106109"/>
        <c:scaling>
          <c:orientation val="minMax"/>
        </c:scaling>
        <c:delete val="0"/>
        <c:axPos val="r"/>
        <c:numFmt formatCode="General" sourceLinked="1"/>
        <c:majorTickMark val="out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0" vertOverflow="ellipsis" vert="horz" wrap="square" anchor="ctr" anchorCtr="1"/>
          <a:lstStyle/>
          <a:p>
            <a:pPr>
              <a:defRPr lang="zh-CN"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</a:p>
        </c:txPr>
        <c:crossAx val="137066120"/>
        <c:crosses val="max"/>
        <c:crossBetween val="between"/>
      </c:valAx>
      <c:spPr>
        <a:noFill/>
        <a:ln>
          <a:noFill/>
        </a:ln>
        <a:effectLst/>
      </c:spPr>
    </c:plotArea>
    <c:legend>
      <c:legendPos val="b"/>
      <c:layout/>
      <c:overlay val="0"/>
      <c:spPr>
        <a:noFill/>
        <a:ln>
          <a:noFill/>
        </a:ln>
        <a:effectLst/>
      </c:spPr>
      <c:txPr>
        <a:bodyPr rot="0" spcFirstLastPara="0" vertOverflow="ellipsis" vert="horz" wrap="square" anchor="ctr" anchorCtr="1"/>
        <a:lstStyle/>
        <a:p>
          <a:pPr>
            <a:defRPr lang="zh-CN"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 lang="zh-CN"/>
      </a:pPr>
    </a:p>
  </c:txPr>
  <c:externalData r:id="rId1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4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5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6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7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322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2.xml><?xml version="1.0" encoding="utf-8"?>
<cs:chartStyle xmlns:cs="http://schemas.microsoft.com/office/drawing/2012/chartStyle" xmlns:a="http://schemas.openxmlformats.org/drawingml/2006/main" id="322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.xml><?xml version="1.0" encoding="utf-8"?>
<cs:chartStyle xmlns:cs="http://schemas.microsoft.com/office/drawing/2012/chartStyle" xmlns:a="http://schemas.openxmlformats.org/drawingml/2006/main" id="227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solidFill>
        <a:schemeClr val="phClr"/>
      </a:solidFill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solidFill>
        <a:schemeClr val="phClr"/>
      </a:solidFill>
    </cs:spPr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solidFill>
        <a:schemeClr val="phClr"/>
      </a:solidFill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4.xml><?xml version="1.0" encoding="utf-8"?>
<cs:chartStyle xmlns:cs="http://schemas.microsoft.com/office/drawing/2012/chartStyle" xmlns:a="http://schemas.openxmlformats.org/drawingml/2006/main" id="227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solidFill>
        <a:schemeClr val="phClr"/>
      </a:solidFill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solidFill>
        <a:schemeClr val="phClr"/>
      </a:solidFill>
    </cs:spPr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solidFill>
        <a:schemeClr val="phClr"/>
      </a:solidFill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5.xml><?xml version="1.0" encoding="utf-8"?>
<cs:chartStyle xmlns:cs="http://schemas.microsoft.com/office/drawing/2012/chartStyle" xmlns:a="http://schemas.openxmlformats.org/drawingml/2006/main" id="227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  <cs:spPr>
      <a:solidFill>
        <a:schemeClr val="phClr"/>
      </a:solidFill>
    </cs:spPr>
  </cs:dataPoint>
  <cs:dataPoint3D>
    <cs:lnRef idx="0"/>
    <cs:fillRef idx="1">
      <cs:styleClr val="auto"/>
    </cs:fillRef>
    <cs:effectRef idx="0"/>
    <cs:fontRef idx="minor">
      <a:schemeClr val="tx1"/>
    </cs:fontRef>
    <cs:spPr>
      <a:solidFill>
        <a:schemeClr val="phClr"/>
      </a:solidFill>
    </cs:spPr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solidFill>
        <a:schemeClr val="phClr"/>
      </a:solidFill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6.xml><?xml version="1.0" encoding="utf-8"?>
<cs:chartStyle xmlns:cs="http://schemas.microsoft.com/office/drawing/2012/chartStyle" xmlns:a="http://schemas.openxmlformats.org/drawingml/2006/main" id="322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7.xml><?xml version="1.0" encoding="utf-8"?>
<cs:chartStyle xmlns:cs="http://schemas.microsoft.com/office/drawing/2012/chartStyle" xmlns:a="http://schemas.openxmlformats.org/drawingml/2006/main" id="322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13</TotalTime>
  <ScaleCrop>false</ScaleCrop>
  <LinksUpToDate>false</LinksUpToDate>
  <CharactersWithSpaces>0</CharactersWithSpaces>
  <Application>WPS Office_11.8.2.8696_F1E327BC-269C-435d-A152-05C5408002CA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tjjwl</dc:creator>
  <cp:lastModifiedBy>统计局</cp:lastModifiedBy>
  <cp:lastPrinted>2021-03-31T09:00:00Z</cp:lastPrinted>
  <dcterms:modified xsi:type="dcterms:W3CDTF">2024-03-22T01:48:01Z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2052-11.8.2.8696</vt:lpwstr>
  </property>
</Properties>
</file>