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480" w:lineRule="auto"/>
        <w:ind w:left="0" w:right="0" w:firstLine="883" w:firstLineChars="200"/>
        <w:jc w:val="center"/>
        <w:textAlignment w:val="auto"/>
        <w:rPr>
          <w:rFonts w:hint="eastAsia" w:ascii="方正小标宋简体" w:hAnsi="方正小标宋简体" w:eastAsia="方正小标宋简体" w:cs="方正小标宋简体"/>
          <w:b/>
          <w:kern w:val="0"/>
          <w:sz w:val="44"/>
          <w:szCs w:val="44"/>
          <w:shd w:val="clear" w:fill="FFFFFF"/>
          <w:lang w:val="en-US" w:eastAsia="zh-CN" w:bidi="ar"/>
        </w:rPr>
      </w:pPr>
      <w:r>
        <w:rPr>
          <w:rFonts w:hint="eastAsia" w:ascii="方正小标宋简体" w:hAnsi="方正小标宋简体" w:eastAsia="方正小标宋简体" w:cs="方正小标宋简体"/>
          <w:b/>
          <w:kern w:val="0"/>
          <w:sz w:val="44"/>
          <w:szCs w:val="44"/>
          <w:shd w:val="clear" w:fill="FFFFFF"/>
          <w:lang w:val="en-US" w:eastAsia="zh-CN" w:bidi="ar"/>
        </w:rPr>
        <w:t>石家庄市桥西区</w:t>
      </w:r>
    </w:p>
    <w:p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480" w:lineRule="auto"/>
        <w:ind w:left="0" w:right="0" w:firstLine="883" w:firstLineChars="200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b/>
          <w:kern w:val="0"/>
          <w:sz w:val="44"/>
          <w:szCs w:val="44"/>
          <w:shd w:val="clear" w:fill="FFFFFF"/>
          <w:lang w:val="en-US" w:eastAsia="zh-CN" w:bidi="ar"/>
        </w:rPr>
        <w:t>2023年国民经济和社会发展统计公报</w:t>
      </w:r>
    </w:p>
    <w:p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480" w:lineRule="auto"/>
        <w:ind w:left="0" w:right="0" w:firstLine="640" w:firstLineChars="200"/>
        <w:jc w:val="center"/>
        <w:textAlignment w:val="auto"/>
        <w:rPr>
          <w:rFonts w:hint="eastAsia"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kern w:val="0"/>
          <w:sz w:val="32"/>
          <w:szCs w:val="32"/>
          <w:shd w:val="clear" w:fill="FFFFFF"/>
          <w:lang w:val="en-US" w:eastAsia="zh-CN" w:bidi="ar"/>
        </w:rPr>
        <w:t> </w:t>
      </w:r>
      <w:r>
        <w:rPr>
          <w:rFonts w:hint="eastAsia" w:ascii="仿宋_GB2312" w:hAnsi="仿宋_GB2312" w:eastAsia="仿宋_GB2312" w:cs="仿宋_GB2312"/>
          <w:kern w:val="0"/>
          <w:sz w:val="30"/>
          <w:szCs w:val="30"/>
          <w:shd w:val="clear" w:fill="FFFFFF"/>
          <w:lang w:val="en-US" w:eastAsia="zh-CN" w:bidi="ar"/>
        </w:rPr>
        <w:t>2024年 3月30日</w:t>
      </w:r>
    </w:p>
    <w:p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480" w:lineRule="auto"/>
        <w:ind w:left="0" w:right="0" w:firstLine="640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</w:p>
    <w:p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79" w:lineRule="exact"/>
        <w:ind w:left="0" w:right="0" w:firstLine="640" w:firstLineChars="200"/>
        <w:jc w:val="left"/>
        <w:textAlignment w:val="auto"/>
        <w:rPr>
          <w:rFonts w:hint="eastAsia" w:ascii="仿宋_GB2312" w:hAnsi="仿宋_GB2312" w:eastAsia="仿宋_GB2312" w:cs="仿宋_GB2312"/>
          <w:spacing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pacing w:val="0"/>
          <w:sz w:val="32"/>
          <w:szCs w:val="32"/>
          <w:lang w:val="en-US" w:eastAsia="zh-CN"/>
        </w:rPr>
        <w:t>2023年，全区上下坚持以习近平新时代中国特色社会主义思想为指导，把坚持高质量发展作为新时代的硬道理，完整、准确、全面贯彻新发展理念，锚定推动经济总量破千亿的任务目标，解放思想、奋发进取，全区经济实现稳快增长，各项社会事业发展呈现良好态势，充分展示了经济社会高质量发展的新气象。</w:t>
      </w:r>
    </w:p>
    <w:p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79" w:lineRule="exact"/>
        <w:ind w:left="0" w:right="0" w:firstLine="643" w:firstLineChars="200"/>
        <w:jc w:val="center"/>
        <w:textAlignment w:val="auto"/>
        <w:rPr>
          <w:rFonts w:hint="eastAsia" w:ascii="楷体_GB2312" w:hAnsi="楷体_GB2312" w:eastAsia="楷体_GB2312" w:cs="楷体_GB2312"/>
          <w:b/>
          <w:bCs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eastAsia" w:ascii="楷体_GB2312" w:hAnsi="楷体_GB2312" w:eastAsia="楷体_GB2312" w:cs="楷体_GB2312"/>
          <w:b/>
          <w:bCs/>
          <w:spacing w:val="0"/>
          <w:kern w:val="0"/>
          <w:sz w:val="32"/>
          <w:szCs w:val="32"/>
          <w:shd w:val="clear" w:fill="FFFFFF"/>
          <w:lang w:val="en-US" w:eastAsia="zh-CN" w:bidi="ar"/>
        </w:rPr>
        <w:t>一、综    合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79" w:lineRule="exact"/>
        <w:ind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spacing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pacing w:val="0"/>
          <w:sz w:val="32"/>
          <w:szCs w:val="32"/>
          <w:lang w:val="en-US" w:eastAsia="zh-CN"/>
        </w:rPr>
        <w:t>初步核算，全年全区生产总值990.3亿元，比上年增长6%。其中，第一产业增加值0.06亿元，下降25.8%；第二产业增加值162.6亿元，上涨11.2%；第三产业增加值827.7亿元，增长5.1%。第一产业增加值占生产总值比重为0.01%；第二产业增加值比重为16.4%；第三产业增加值比重为83.6%。</w:t>
      </w:r>
    </w:p>
    <w:p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79" w:lineRule="exact"/>
        <w:ind w:left="0" w:right="0" w:firstLine="643" w:firstLineChars="200"/>
        <w:jc w:val="center"/>
        <w:textAlignment w:val="auto"/>
        <w:rPr>
          <w:rFonts w:hint="eastAsia" w:ascii="楷体_GB2312" w:hAnsi="楷体_GB2312" w:eastAsia="楷体_GB2312" w:cs="楷体_GB2312"/>
          <w:b/>
          <w:bCs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eastAsia" w:ascii="楷体_GB2312" w:hAnsi="楷体_GB2312" w:eastAsia="楷体_GB2312" w:cs="楷体_GB2312"/>
          <w:b/>
          <w:bCs/>
          <w:spacing w:val="0"/>
          <w:kern w:val="0"/>
          <w:sz w:val="32"/>
          <w:szCs w:val="32"/>
          <w:shd w:val="clear" w:fill="FFFFFF"/>
          <w:lang w:val="en-US" w:eastAsia="zh-CN" w:bidi="ar"/>
        </w:rPr>
        <w:t>二、固定资产投资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79" w:lineRule="exact"/>
        <w:ind w:firstLine="560" w:firstLineChars="200"/>
        <w:jc w:val="both"/>
        <w:textAlignment w:val="auto"/>
        <w:rPr>
          <w:rFonts w:hint="eastAsia" w:ascii="仿宋_GB2312" w:hAnsi="仿宋_GB2312" w:eastAsia="仿宋_GB2312" w:cs="仿宋_GB2312"/>
          <w:color w:val="auto"/>
          <w:spacing w:val="-2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pacing w:val="-20"/>
          <w:sz w:val="32"/>
          <w:szCs w:val="32"/>
          <w:lang w:val="en-US" w:eastAsia="zh-CN"/>
        </w:rPr>
        <w:t>全年城镇固定资产投资比上年上涨10.4%。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79" w:lineRule="exact"/>
        <w:ind w:firstLine="563" w:firstLineChars="200"/>
        <w:jc w:val="both"/>
        <w:textAlignment w:val="auto"/>
        <w:rPr>
          <w:rFonts w:hint="eastAsia" w:ascii="仿宋_GB2312" w:hAnsi="仿宋_GB2312" w:eastAsia="仿宋_GB2312" w:cs="仿宋_GB2312"/>
          <w:color w:val="auto"/>
          <w:spacing w:val="-20"/>
          <w:kern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color w:val="auto"/>
          <w:spacing w:val="-20"/>
          <w:kern w:val="0"/>
          <w:sz w:val="32"/>
          <w:szCs w:val="32"/>
          <w:lang w:val="en-US" w:eastAsia="zh-CN"/>
        </w:rPr>
        <w:t>从产业结构上看</w:t>
      </w:r>
      <w:r>
        <w:rPr>
          <w:rFonts w:hint="eastAsia" w:ascii="仿宋_GB2312" w:hAnsi="仿宋_GB2312" w:eastAsia="仿宋_GB2312" w:cs="仿宋_GB2312"/>
          <w:color w:val="auto"/>
          <w:spacing w:val="-20"/>
          <w:kern w:val="0"/>
          <w:sz w:val="32"/>
          <w:szCs w:val="32"/>
          <w:lang w:val="en-US" w:eastAsia="zh-CN"/>
        </w:rPr>
        <w:t>，三产占比仍然较高。第二产业完成投资5.3亿元，同比增长18.3%，占固定资产比重4.0%，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pacing w:val="-20"/>
          <w:sz w:val="32"/>
          <w:szCs w:val="32"/>
          <w:lang w:val="en-US" w:eastAsia="zh-CN"/>
        </w:rPr>
        <w:t>在库工业项目共9个，完成投资5.3亿元，同比增长18.3%；占固定资产投资比重为4.0%，较去年同期增长0.3个百分点；其中，工业技改项目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val="en-US" w:eastAsia="zh-CN"/>
        </w:rPr>
        <w:t>6个（比上年同期减少1个）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pacing w:val="-20"/>
          <w:sz w:val="32"/>
          <w:szCs w:val="32"/>
          <w:lang w:val="en-US" w:eastAsia="zh-CN"/>
        </w:rPr>
        <w:t>，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val="en-US" w:eastAsia="zh-CN"/>
        </w:rPr>
        <w:t>完成投资4.9亿元，同比增长77.5%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pacing w:val="-20"/>
          <w:sz w:val="32"/>
          <w:szCs w:val="32"/>
          <w:lang w:val="en-US" w:eastAsia="zh-CN"/>
        </w:rPr>
        <w:t>。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val="en-US" w:eastAsia="zh-CN"/>
        </w:rPr>
        <w:t>第三产业完成投资126.5亿元，同比增长10.1%，占固定资产比重96%。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79" w:lineRule="exact"/>
        <w:ind w:firstLine="563" w:firstLineChars="200"/>
        <w:jc w:val="left"/>
        <w:textAlignment w:val="baseline"/>
        <w:rPr>
          <w:rFonts w:hint="eastAsia" w:ascii="仿宋_GB2312" w:hAnsi="仿宋_GB2312" w:eastAsia="仿宋_GB2312" w:cs="仿宋_GB2312"/>
          <w:color w:val="auto"/>
          <w:spacing w:val="-20"/>
          <w:kern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color w:val="auto"/>
          <w:spacing w:val="-20"/>
          <w:kern w:val="0"/>
          <w:sz w:val="32"/>
          <w:szCs w:val="32"/>
          <w:lang w:val="en-US" w:eastAsia="zh-CN"/>
        </w:rPr>
        <w:t>从投资结构看，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val="en-US" w:eastAsia="zh-CN"/>
        </w:rPr>
        <w:t>1-12月桥西区建安工程投资完成84.5亿元，同比增长54.5%（其中，建设项目建安投资50.5亿元，同比增长84.3%，房地产项目建安投资34亿元，同比增长24.5%），占固定资产投资比重64.2%；设备购置完成投资2.8亿元，同比下降79.7%，占固定资产比重2.1%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9" w:lineRule="exact"/>
        <w:ind w:firstLine="563" w:firstLineChars="200"/>
        <w:textAlignment w:val="auto"/>
        <w:rPr>
          <w:rFonts w:hint="default"/>
          <w:color w:val="auto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color w:val="auto"/>
          <w:spacing w:val="-20"/>
          <w:sz w:val="32"/>
          <w:szCs w:val="32"/>
          <w:lang w:val="en-US" w:eastAsia="zh-CN"/>
        </w:rPr>
        <w:t>从产业项目上看，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1-12月，在库产业项目23个（较去年同期减少6个），产业项目本年完成投资25.9亿元，同比增长354.4%；累计完成投资94.9亿元，累计完成率76.3%。</w:t>
      </w:r>
    </w:p>
    <w:p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79" w:lineRule="exact"/>
        <w:ind w:left="0" w:right="0" w:firstLine="643" w:firstLineChars="200"/>
        <w:jc w:val="center"/>
        <w:textAlignment w:val="auto"/>
        <w:rPr>
          <w:rFonts w:hint="eastAsia" w:ascii="楷体_GB2312" w:hAnsi="楷体_GB2312" w:eastAsia="楷体_GB2312" w:cs="楷体_GB2312"/>
          <w:b/>
          <w:bCs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eastAsia" w:ascii="楷体_GB2312" w:hAnsi="楷体_GB2312" w:eastAsia="楷体_GB2312" w:cs="楷体_GB2312"/>
          <w:b/>
          <w:bCs/>
          <w:spacing w:val="0"/>
          <w:kern w:val="0"/>
          <w:sz w:val="32"/>
          <w:szCs w:val="32"/>
          <w:shd w:val="clear" w:fill="FFFFFF"/>
          <w:lang w:val="en-US" w:eastAsia="zh-CN" w:bidi="ar"/>
        </w:rPr>
        <w:t>三、农    业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79" w:lineRule="exact"/>
        <w:ind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spacing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pacing w:val="0"/>
          <w:sz w:val="32"/>
          <w:szCs w:val="32"/>
          <w:lang w:val="en-US" w:eastAsia="zh-CN"/>
        </w:rPr>
        <w:t>全年粮食播种面积54.4公顷。粮食总产量304.5吨，同比增长0.2%。其中，夏粮产量168吨，增长5%；秋粮产量136.5吨，下降5.2%。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79" w:lineRule="exact"/>
        <w:ind w:firstLine="640" w:firstLineChars="200"/>
        <w:jc w:val="both"/>
        <w:textAlignment w:val="auto"/>
        <w:outlineLvl w:val="9"/>
        <w:rPr>
          <w:rFonts w:hint="eastAsia"/>
          <w:lang w:val="en-US" w:eastAsia="zh-CN"/>
        </w:rPr>
      </w:pPr>
      <w:r>
        <w:rPr>
          <w:rFonts w:hint="eastAsia" w:ascii="仿宋_GB2312" w:hAnsi="仿宋_GB2312" w:eastAsia="仿宋_GB2312" w:cs="仿宋_GB2312"/>
          <w:spacing w:val="0"/>
          <w:sz w:val="32"/>
          <w:szCs w:val="32"/>
          <w:lang w:val="en-US" w:eastAsia="zh-CN"/>
        </w:rPr>
        <w:t>全年蔬菜播种面积12.4公顷，同比增长77.1%；总产量204.6吨，同比增长30.2%。</w:t>
      </w:r>
    </w:p>
    <w:tbl>
      <w:tblPr>
        <w:tblStyle w:val="8"/>
        <w:tblpPr w:leftFromText="180" w:rightFromText="180" w:vertAnchor="text" w:horzAnchor="page" w:tblpXSpec="center" w:tblpY="380"/>
        <w:tblOverlap w:val="never"/>
        <w:tblW w:w="8522" w:type="dxa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31"/>
        <w:gridCol w:w="2130"/>
        <w:gridCol w:w="2131"/>
        <w:gridCol w:w="2130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8522" w:type="dxa"/>
            <w:gridSpan w:val="4"/>
            <w:tcBorders>
              <w:top w:val="nil"/>
              <w:left w:val="nil"/>
              <w:bottom w:val="single" w:color="auto" w:sz="8" w:space="0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79" w:lineRule="exact"/>
              <w:ind w:left="0" w:leftChars="0" w:right="0" w:rightChars="0" w:firstLine="640" w:firstLineChars="200"/>
              <w:jc w:val="center"/>
              <w:textAlignment w:val="auto"/>
              <w:rPr>
                <w:rFonts w:hint="eastAsia" w:ascii="仿宋_GB2312" w:hAnsi="仿宋_GB2312" w:eastAsia="仿宋_GB2312" w:cs="仿宋_GB2312"/>
                <w:spacing w:val="0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spacing w:val="0"/>
                <w:sz w:val="32"/>
                <w:szCs w:val="32"/>
                <w:lang w:val="en-US" w:eastAsia="zh-CN"/>
              </w:rPr>
              <w:t>表1  2023年主要农产品产量及其增长速度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0" w:hRule="atLeast"/>
        </w:trPr>
        <w:tc>
          <w:tcPr>
            <w:tcW w:w="213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79" w:lineRule="exact"/>
              <w:ind w:left="0" w:leftChars="0" w:right="0" w:rightChars="0" w:firstLine="640" w:firstLineChars="200"/>
              <w:jc w:val="left"/>
              <w:textAlignment w:val="auto"/>
              <w:rPr>
                <w:rFonts w:hint="eastAsia" w:ascii="仿宋_GB2312" w:hAnsi="仿宋_GB2312" w:eastAsia="仿宋_GB2312" w:cs="仿宋_GB2312"/>
                <w:spacing w:val="0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pacing w:val="0"/>
                <w:sz w:val="32"/>
                <w:szCs w:val="32"/>
                <w:lang w:val="en-US" w:eastAsia="zh-CN"/>
              </w:rPr>
              <w:t>产品名称</w:t>
            </w:r>
          </w:p>
        </w:tc>
        <w:tc>
          <w:tcPr>
            <w:tcW w:w="213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79" w:lineRule="exact"/>
              <w:ind w:left="0" w:leftChars="0" w:right="0" w:rightChars="0" w:firstLine="640" w:firstLineChars="200"/>
              <w:jc w:val="both"/>
              <w:textAlignment w:val="auto"/>
              <w:rPr>
                <w:rFonts w:hint="eastAsia" w:ascii="仿宋_GB2312" w:hAnsi="仿宋_GB2312" w:eastAsia="仿宋_GB2312" w:cs="仿宋_GB2312"/>
                <w:spacing w:val="0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pacing w:val="0"/>
                <w:sz w:val="32"/>
                <w:szCs w:val="32"/>
                <w:lang w:val="en-US" w:eastAsia="zh-CN"/>
              </w:rPr>
              <w:t>单位</w:t>
            </w:r>
          </w:p>
        </w:tc>
        <w:tc>
          <w:tcPr>
            <w:tcW w:w="213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79" w:lineRule="exact"/>
              <w:ind w:left="0" w:leftChars="0" w:right="0" w:rightChars="0" w:firstLine="640" w:firstLineChars="200"/>
              <w:jc w:val="both"/>
              <w:textAlignment w:val="auto"/>
              <w:rPr>
                <w:rFonts w:hint="eastAsia" w:ascii="仿宋_GB2312" w:hAnsi="仿宋_GB2312" w:eastAsia="仿宋_GB2312" w:cs="仿宋_GB2312"/>
                <w:spacing w:val="0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pacing w:val="0"/>
                <w:sz w:val="32"/>
                <w:szCs w:val="32"/>
                <w:lang w:val="en-US" w:eastAsia="zh-CN"/>
              </w:rPr>
              <w:t>2023年</w:t>
            </w:r>
          </w:p>
        </w:tc>
        <w:tc>
          <w:tcPr>
            <w:tcW w:w="2130" w:type="dxa"/>
            <w:tcBorders>
              <w:top w:val="nil"/>
              <w:left w:val="nil"/>
              <w:bottom w:val="single" w:color="auto" w:sz="8" w:space="0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79" w:lineRule="exact"/>
              <w:ind w:right="0" w:rightChars="0"/>
              <w:jc w:val="center"/>
              <w:textAlignment w:val="auto"/>
              <w:rPr>
                <w:rFonts w:hint="eastAsia" w:ascii="仿宋_GB2312" w:hAnsi="仿宋_GB2312" w:eastAsia="仿宋_GB2312" w:cs="仿宋_GB2312"/>
                <w:spacing w:val="0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pacing w:val="0"/>
                <w:sz w:val="32"/>
                <w:szCs w:val="32"/>
                <w:lang w:val="en-US" w:eastAsia="zh-CN"/>
              </w:rPr>
              <w:t>比上年增长（%）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0" w:hRule="atLeast"/>
        </w:trPr>
        <w:tc>
          <w:tcPr>
            <w:tcW w:w="2131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79" w:lineRule="exact"/>
              <w:ind w:left="0" w:leftChars="0" w:right="0" w:rightChars="0" w:firstLine="640" w:firstLineChars="200"/>
              <w:jc w:val="left"/>
              <w:textAlignment w:val="auto"/>
              <w:rPr>
                <w:rFonts w:hint="eastAsia" w:ascii="仿宋_GB2312" w:hAnsi="仿宋_GB2312" w:eastAsia="仿宋_GB2312" w:cs="仿宋_GB2312"/>
                <w:spacing w:val="0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pacing w:val="0"/>
                <w:sz w:val="32"/>
                <w:szCs w:val="32"/>
                <w:lang w:val="en-US" w:eastAsia="zh-CN"/>
              </w:rPr>
              <w:t>粮食</w:t>
            </w:r>
          </w:p>
        </w:tc>
        <w:tc>
          <w:tcPr>
            <w:tcW w:w="213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79" w:lineRule="exact"/>
              <w:ind w:left="0" w:leftChars="0" w:right="0" w:rightChars="0" w:firstLine="640" w:firstLineChars="200"/>
              <w:jc w:val="both"/>
              <w:textAlignment w:val="auto"/>
              <w:rPr>
                <w:rFonts w:hint="eastAsia" w:ascii="仿宋_GB2312" w:hAnsi="仿宋_GB2312" w:eastAsia="仿宋_GB2312" w:cs="仿宋_GB2312"/>
                <w:spacing w:val="0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pacing w:val="0"/>
                <w:sz w:val="32"/>
                <w:szCs w:val="32"/>
                <w:lang w:val="en-US" w:eastAsia="zh-CN"/>
              </w:rPr>
              <w:t>吨</w:t>
            </w:r>
          </w:p>
        </w:tc>
        <w:tc>
          <w:tcPr>
            <w:tcW w:w="2131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79" w:lineRule="exact"/>
              <w:ind w:left="0" w:leftChars="0" w:right="0" w:rightChars="0" w:firstLine="640" w:firstLineChars="200"/>
              <w:jc w:val="both"/>
              <w:textAlignment w:val="auto"/>
              <w:rPr>
                <w:rFonts w:hint="default" w:ascii="仿宋_GB2312" w:hAnsi="仿宋_GB2312" w:eastAsia="仿宋_GB2312" w:cs="仿宋_GB2312"/>
                <w:spacing w:val="0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pacing w:val="0"/>
                <w:sz w:val="32"/>
                <w:szCs w:val="32"/>
                <w:lang w:val="en-US" w:eastAsia="zh-CN"/>
              </w:rPr>
              <w:t>304.5</w:t>
            </w:r>
          </w:p>
        </w:tc>
        <w:tc>
          <w:tcPr>
            <w:tcW w:w="2130" w:type="dxa"/>
            <w:tcBorders>
              <w:bottom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79" w:lineRule="exact"/>
              <w:ind w:left="0" w:leftChars="0" w:right="0" w:rightChars="0" w:firstLine="640" w:firstLineChars="200"/>
              <w:jc w:val="both"/>
              <w:textAlignment w:val="auto"/>
              <w:rPr>
                <w:rFonts w:hint="default" w:ascii="仿宋_GB2312" w:hAnsi="仿宋_GB2312" w:eastAsia="仿宋_GB2312" w:cs="仿宋_GB2312"/>
                <w:spacing w:val="0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pacing w:val="0"/>
                <w:sz w:val="32"/>
                <w:szCs w:val="32"/>
                <w:lang w:val="en-US" w:eastAsia="zh-CN"/>
              </w:rPr>
              <w:t>0.2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0" w:hRule="atLeast"/>
        </w:trPr>
        <w:tc>
          <w:tcPr>
            <w:tcW w:w="213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79" w:lineRule="exact"/>
              <w:ind w:left="0" w:leftChars="0" w:right="0" w:rightChars="0" w:firstLine="640" w:firstLineChars="200"/>
              <w:jc w:val="left"/>
              <w:textAlignment w:val="auto"/>
              <w:rPr>
                <w:rFonts w:hint="eastAsia" w:ascii="仿宋_GB2312" w:hAnsi="仿宋_GB2312" w:eastAsia="仿宋_GB2312" w:cs="仿宋_GB2312"/>
                <w:spacing w:val="0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pacing w:val="0"/>
                <w:sz w:val="32"/>
                <w:szCs w:val="32"/>
                <w:lang w:val="en-US" w:eastAsia="zh-CN"/>
              </w:rPr>
              <w:t>蔬菜</w:t>
            </w:r>
          </w:p>
        </w:tc>
        <w:tc>
          <w:tcPr>
            <w:tcW w:w="213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79" w:lineRule="exact"/>
              <w:ind w:left="0" w:leftChars="0" w:right="0" w:rightChars="0" w:firstLine="640" w:firstLineChars="200"/>
              <w:jc w:val="both"/>
              <w:textAlignment w:val="auto"/>
              <w:rPr>
                <w:rFonts w:hint="eastAsia" w:ascii="仿宋_GB2312" w:hAnsi="仿宋_GB2312" w:eastAsia="仿宋_GB2312" w:cs="仿宋_GB2312"/>
                <w:spacing w:val="0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pacing w:val="0"/>
                <w:sz w:val="32"/>
                <w:szCs w:val="32"/>
                <w:lang w:val="en-US" w:eastAsia="zh-CN"/>
              </w:rPr>
              <w:t>吨</w:t>
            </w:r>
          </w:p>
        </w:tc>
        <w:tc>
          <w:tcPr>
            <w:tcW w:w="213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79" w:lineRule="exact"/>
              <w:ind w:left="0" w:leftChars="0" w:right="0" w:rightChars="0" w:firstLine="640" w:firstLineChars="200"/>
              <w:jc w:val="both"/>
              <w:textAlignment w:val="auto"/>
              <w:rPr>
                <w:rFonts w:hint="default" w:ascii="仿宋_GB2312" w:hAnsi="仿宋_GB2312" w:eastAsia="仿宋_GB2312" w:cs="仿宋_GB2312"/>
                <w:spacing w:val="0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pacing w:val="0"/>
                <w:sz w:val="32"/>
                <w:szCs w:val="32"/>
                <w:lang w:val="en-US" w:eastAsia="zh-CN"/>
              </w:rPr>
              <w:t>204.6</w:t>
            </w:r>
          </w:p>
        </w:tc>
        <w:tc>
          <w:tcPr>
            <w:tcW w:w="2130" w:type="dxa"/>
            <w:tcBorders>
              <w:top w:val="single" w:color="auto" w:sz="4" w:space="0"/>
              <w:bottom w:val="single" w:color="auto" w:sz="4" w:space="0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79" w:lineRule="exact"/>
              <w:ind w:left="0" w:leftChars="0" w:right="0" w:rightChars="0" w:firstLine="640" w:firstLineChars="200"/>
              <w:jc w:val="both"/>
              <w:textAlignment w:val="auto"/>
              <w:rPr>
                <w:rFonts w:hint="default" w:ascii="仿宋_GB2312" w:hAnsi="仿宋_GB2312" w:eastAsia="仿宋_GB2312" w:cs="仿宋_GB2312"/>
                <w:spacing w:val="0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pacing w:val="0"/>
                <w:sz w:val="32"/>
                <w:szCs w:val="32"/>
                <w:lang w:val="en-US" w:eastAsia="zh-CN"/>
              </w:rPr>
              <w:t>30.2</w:t>
            </w:r>
          </w:p>
        </w:tc>
      </w:tr>
    </w:tbl>
    <w:p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79" w:lineRule="exact"/>
        <w:ind w:left="0" w:right="0" w:firstLine="643" w:firstLineChars="200"/>
        <w:jc w:val="center"/>
        <w:textAlignment w:val="auto"/>
        <w:rPr>
          <w:rFonts w:hint="eastAsia" w:ascii="楷体_GB2312" w:hAnsi="楷体_GB2312" w:eastAsia="楷体_GB2312" w:cs="楷体_GB2312"/>
          <w:b/>
          <w:bCs/>
          <w:spacing w:val="0"/>
          <w:sz w:val="32"/>
          <w:szCs w:val="32"/>
        </w:rPr>
      </w:pPr>
      <w:r>
        <w:rPr>
          <w:rFonts w:hint="eastAsia" w:ascii="楷体_GB2312" w:hAnsi="楷体_GB2312" w:eastAsia="楷体_GB2312" w:cs="楷体_GB2312"/>
          <w:b/>
          <w:bCs/>
          <w:spacing w:val="0"/>
          <w:kern w:val="0"/>
          <w:sz w:val="32"/>
          <w:szCs w:val="32"/>
          <w:shd w:val="clear" w:fill="FFFFFF"/>
          <w:lang w:val="en-US" w:eastAsia="zh-CN" w:bidi="ar"/>
        </w:rPr>
        <w:t>四、工业</w:t>
      </w:r>
    </w:p>
    <w:p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79" w:lineRule="exact"/>
        <w:ind w:left="0" w:right="0" w:firstLine="640" w:firstLineChars="200"/>
        <w:jc w:val="left"/>
        <w:textAlignment w:val="auto"/>
        <w:rPr>
          <w:rFonts w:hint="eastAsia" w:ascii="仿宋_GB2312" w:hAnsi="仿宋_GB2312" w:eastAsia="仿宋_GB2312" w:cs="仿宋_GB2312"/>
          <w:spacing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pacing w:val="0"/>
          <w:sz w:val="32"/>
          <w:szCs w:val="32"/>
          <w:lang w:val="en-US" w:eastAsia="zh-CN"/>
        </w:rPr>
        <w:t>全年规模以上工业增加值同比增长11.56%。从经济类型看，内资企业增长12.85%，有限责任公司增长-4.9%，私营企业增长45.1%，外商投资企业增长3.9%。</w:t>
      </w:r>
    </w:p>
    <w:p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79" w:lineRule="exact"/>
        <w:ind w:left="0" w:right="0" w:firstLine="640" w:firstLineChars="200"/>
        <w:jc w:val="left"/>
        <w:textAlignment w:val="auto"/>
        <w:rPr>
          <w:rFonts w:hint="eastAsia" w:ascii="仿宋_GB2312" w:hAnsi="仿宋_GB2312" w:eastAsia="仿宋_GB2312" w:cs="仿宋_GB2312"/>
          <w:spacing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pacing w:val="0"/>
          <w:sz w:val="32"/>
          <w:szCs w:val="32"/>
          <w:lang w:val="en-US" w:eastAsia="zh-CN"/>
        </w:rPr>
        <w:t>分行业看，装备制造业增加值增长174.7%。六大高耗能行业增加值增长12.78%。非金属矿物制品业增加值增长8.6%，电力、热力生产和供应业增长12.8%。    </w:t>
      </w:r>
    </w:p>
    <w:p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79" w:lineRule="exact"/>
        <w:ind w:left="0" w:right="0" w:firstLine="643" w:firstLineChars="200"/>
        <w:jc w:val="center"/>
        <w:textAlignment w:val="auto"/>
        <w:rPr>
          <w:rFonts w:hint="eastAsia" w:ascii="楷体_GB2312" w:hAnsi="楷体_GB2312" w:eastAsia="楷体_GB2312" w:cs="楷体_GB2312"/>
          <w:b/>
          <w:bCs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eastAsia" w:ascii="楷体_GB2312" w:hAnsi="楷体_GB2312" w:eastAsia="楷体_GB2312" w:cs="楷体_GB2312"/>
          <w:b/>
          <w:bCs/>
          <w:spacing w:val="0"/>
          <w:kern w:val="0"/>
          <w:sz w:val="32"/>
          <w:szCs w:val="32"/>
          <w:shd w:val="clear" w:fill="FFFFFF"/>
          <w:lang w:val="en-US" w:eastAsia="zh-CN" w:bidi="ar"/>
        </w:rPr>
        <w:t>五、国内贸易</w:t>
      </w:r>
    </w:p>
    <w:p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79" w:lineRule="exact"/>
        <w:ind w:left="0" w:right="0" w:firstLine="640" w:firstLineChars="200"/>
        <w:jc w:val="left"/>
        <w:textAlignment w:val="auto"/>
        <w:rPr>
          <w:rFonts w:hint="eastAsia" w:ascii="仿宋_GB2312" w:hAnsi="仿宋_GB2312" w:eastAsia="仿宋_GB2312" w:cs="仿宋_GB2312"/>
          <w:spacing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pacing w:val="0"/>
          <w:sz w:val="32"/>
          <w:szCs w:val="32"/>
          <w:lang w:val="en-US" w:eastAsia="zh-CN"/>
        </w:rPr>
        <w:t>全年社会消费品零售总额533.8亿元，同比增速12.9%。 限上企业（单位）消费品零售额为236.9亿元，比上年增长16.2%。</w:t>
      </w:r>
    </w:p>
    <w:p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79" w:lineRule="exact"/>
        <w:ind w:left="0" w:right="0" w:firstLine="640" w:firstLineChars="200"/>
        <w:jc w:val="left"/>
        <w:textAlignment w:val="auto"/>
        <w:rPr>
          <w:rFonts w:hint="eastAsia" w:ascii="仿宋_GB2312" w:hAnsi="仿宋_GB2312" w:eastAsia="仿宋_GB2312" w:cs="仿宋_GB2312"/>
          <w:lang w:val="en-US" w:eastAsia="zh-CN"/>
        </w:rPr>
      </w:pPr>
      <w:r>
        <w:rPr>
          <w:rFonts w:hint="eastAsia" w:ascii="仿宋_GB2312" w:hAnsi="仿宋_GB2312" w:eastAsia="仿宋_GB2312" w:cs="仿宋_GB2312"/>
          <w:spacing w:val="0"/>
          <w:sz w:val="32"/>
          <w:szCs w:val="32"/>
          <w:lang w:val="en-US" w:eastAsia="zh-CN"/>
        </w:rPr>
        <w:t>在限额以上批发和零售企业(单位)商品零售额中，粮油食品类下降4.1%；饮料类增长22.4%；烟酒类增长5.2%；服装鞋帽针纺织品类增长27.2%；化妆品类增长3.3%；金银珠宝类增长21.9%；日用品类增长11.3%；家用电器及音像器材类增长19.1%；中西药品类增长10%；建筑及装潢材料类下降14%;石油及制品类增长10.9%；汽车类增加42.6%。  </w:t>
      </w:r>
    </w:p>
    <w:p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79" w:lineRule="exact"/>
        <w:ind w:left="0" w:right="0" w:firstLine="643" w:firstLineChars="200"/>
        <w:jc w:val="center"/>
        <w:textAlignment w:val="auto"/>
        <w:rPr>
          <w:rFonts w:hint="eastAsia" w:ascii="楷体_GB2312" w:hAnsi="楷体_GB2312" w:eastAsia="楷体_GB2312" w:cs="楷体_GB2312"/>
          <w:b/>
          <w:bCs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eastAsia" w:ascii="楷体_GB2312" w:hAnsi="楷体_GB2312" w:eastAsia="楷体_GB2312" w:cs="楷体_GB2312"/>
          <w:b/>
          <w:bCs/>
          <w:spacing w:val="0"/>
          <w:kern w:val="0"/>
          <w:sz w:val="32"/>
          <w:szCs w:val="32"/>
          <w:shd w:val="clear" w:fill="FFFFFF"/>
          <w:lang w:val="en-US" w:eastAsia="zh-CN" w:bidi="ar"/>
        </w:rPr>
        <w:t>六、财政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79" w:lineRule="exact"/>
        <w:ind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spacing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pacing w:val="0"/>
          <w:sz w:val="32"/>
          <w:szCs w:val="32"/>
          <w:lang w:val="en-US" w:eastAsia="zh-CN"/>
        </w:rPr>
        <w:t>2023</w:t>
      </w:r>
      <w:bookmarkStart w:id="0" w:name="_GoBack"/>
      <w:bookmarkEnd w:id="0"/>
      <w:r>
        <w:rPr>
          <w:rFonts w:hint="eastAsia" w:ascii="仿宋_GB2312" w:hAnsi="仿宋_GB2312" w:eastAsia="仿宋_GB2312" w:cs="仿宋_GB2312"/>
          <w:spacing w:val="0"/>
          <w:sz w:val="32"/>
          <w:szCs w:val="32"/>
          <w:lang w:val="en-US" w:eastAsia="zh-CN"/>
        </w:rPr>
        <w:t>年全年一般公共预算收入70.9亿元，比上年增长14.03%。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79" w:lineRule="exact"/>
        <w:ind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eastAsia" w:ascii="仿宋_GB2312" w:hAnsi="仿宋_GB2312" w:eastAsia="仿宋_GB2312" w:cs="仿宋_GB2312"/>
          <w:spacing w:val="0"/>
          <w:sz w:val="32"/>
          <w:szCs w:val="32"/>
          <w:lang w:val="en-US" w:eastAsia="zh-CN"/>
        </w:rPr>
        <w:t>全年一般公共预算支出41.4亿元，比上年下降10.9%。其中一般公共服务支出6.5亿元，比上年下降45.9%；公共安全支出0.1亿元，比上年下降83.6%；教育支出16.3亿元，比上年增长3.7%；科学技术支出0.7亿元，比上年增长29.7%；社会保障就业支出7.4亿元，比上年增长9.5%；卫生健康支出3.4亿元，比上年下降16.4%；节能环保支出0.3亿元，比上年增长35.04%；城乡社区事务支出3.6亿元，比上年增长42.5%。</w:t>
      </w:r>
    </w:p>
    <w:p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79" w:lineRule="exact"/>
        <w:ind w:left="0" w:right="0" w:firstLine="643" w:firstLineChars="200"/>
        <w:jc w:val="center"/>
        <w:textAlignment w:val="auto"/>
        <w:rPr>
          <w:rFonts w:hint="eastAsia" w:ascii="楷体_GB2312" w:hAnsi="楷体_GB2312" w:eastAsia="楷体_GB2312" w:cs="楷体_GB2312"/>
          <w:b/>
          <w:bCs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eastAsia" w:ascii="楷体_GB2312" w:hAnsi="楷体_GB2312" w:eastAsia="楷体_GB2312" w:cs="楷体_GB2312"/>
          <w:b/>
          <w:bCs/>
          <w:spacing w:val="0"/>
          <w:kern w:val="0"/>
          <w:sz w:val="32"/>
          <w:szCs w:val="32"/>
          <w:shd w:val="clear" w:fill="FFFFFF"/>
          <w:lang w:val="en-US" w:eastAsia="zh-CN" w:bidi="ar"/>
        </w:rPr>
        <w:t>七、教育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79" w:lineRule="exact"/>
        <w:ind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eastAsia" w:ascii="仿宋_GB2312" w:hAnsi="仿宋_GB2312" w:eastAsia="仿宋_GB2312" w:cs="仿宋_GB2312"/>
          <w:spacing w:val="0"/>
          <w:sz w:val="32"/>
          <w:szCs w:val="32"/>
          <w:lang w:val="en-US" w:eastAsia="zh-CN"/>
        </w:rPr>
        <w:t>普通中学招生17632人，在校生47349人，毕业生14071人。中等职业学校招生9629人，在校生29834人，毕业生12912人。小学招生17677人，在校生90612人，毕业生11062人。特殊教育学校招生4人，在校生144人，毕业生4人。幼儿园招生人数5663人，在园人数21083人，毕业生11374人。九年义务教育巩固率为100%，高中阶段毛入学率为98.7%。</w:t>
      </w:r>
    </w:p>
    <w:p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79" w:lineRule="exact"/>
        <w:ind w:left="0" w:right="0" w:firstLine="643" w:firstLineChars="200"/>
        <w:jc w:val="center"/>
        <w:textAlignment w:val="auto"/>
        <w:rPr>
          <w:rFonts w:hint="eastAsia" w:ascii="楷体_GB2312" w:hAnsi="楷体_GB2312" w:eastAsia="楷体_GB2312" w:cs="楷体_GB2312"/>
          <w:b/>
          <w:bCs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eastAsia" w:ascii="楷体_GB2312" w:hAnsi="楷体_GB2312" w:eastAsia="楷体_GB2312" w:cs="楷体_GB2312"/>
          <w:b/>
          <w:bCs/>
          <w:spacing w:val="0"/>
          <w:kern w:val="0"/>
          <w:sz w:val="32"/>
          <w:szCs w:val="32"/>
          <w:shd w:val="clear" w:fill="FFFFFF"/>
          <w:lang w:val="en-US" w:eastAsia="zh-CN" w:bidi="ar"/>
        </w:rPr>
        <w:t>八、卫生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79" w:lineRule="exact"/>
        <w:ind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eastAsia" w:ascii="仿宋_GB2312" w:hAnsi="仿宋_GB2312" w:eastAsia="仿宋_GB2312" w:cs="仿宋_GB2312"/>
          <w:spacing w:val="0"/>
          <w:sz w:val="32"/>
          <w:szCs w:val="32"/>
          <w:lang w:val="en-US" w:eastAsia="zh-CN"/>
        </w:rPr>
        <w:t>辖区共有社区卫生服务机构48家，其中，社区卫生服务中心11家，社区卫生服务站37家；辖区内部队医院2家；省级公立医院1家、私营3家；市级公立医院3家；市级委托管理的医院41家、门诊部66家；诊所502家；医务室33家；村卫生所18家。 </w:t>
      </w:r>
    </w:p>
    <w:p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79" w:lineRule="exact"/>
        <w:ind w:left="0" w:right="0" w:firstLine="643" w:firstLineChars="200"/>
        <w:jc w:val="center"/>
        <w:textAlignment w:val="auto"/>
        <w:rPr>
          <w:rFonts w:hint="eastAsia" w:ascii="楷体_GB2312" w:hAnsi="楷体_GB2312" w:eastAsia="楷体_GB2312" w:cs="楷体_GB2312"/>
          <w:b/>
          <w:bCs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eastAsia" w:ascii="楷体_GB2312" w:hAnsi="楷体_GB2312" w:eastAsia="楷体_GB2312" w:cs="楷体_GB2312"/>
          <w:b/>
          <w:bCs/>
          <w:spacing w:val="0"/>
          <w:kern w:val="0"/>
          <w:sz w:val="32"/>
          <w:szCs w:val="32"/>
          <w:shd w:val="clear" w:fill="FFFFFF"/>
          <w:lang w:val="en-US" w:eastAsia="zh-CN" w:bidi="ar"/>
        </w:rPr>
        <w:t>九、居民消费收入和社会保障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79" w:lineRule="exact"/>
        <w:ind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spacing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pacing w:val="0"/>
          <w:sz w:val="32"/>
          <w:szCs w:val="32"/>
          <w:lang w:val="en-US" w:eastAsia="zh-CN"/>
        </w:rPr>
        <w:t>全年居民人均可支配收入53981元，比上年增长6.3%。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79" w:lineRule="exact"/>
        <w:ind w:firstLine="640" w:firstLineChars="200"/>
        <w:jc w:val="both"/>
        <w:textAlignment w:val="auto"/>
        <w:outlineLvl w:val="9"/>
        <w:rPr>
          <w:rFonts w:hint="default" w:ascii="仿宋_GB2312" w:hAnsi="仿宋_GB2312" w:eastAsia="仿宋_GB2312" w:cs="仿宋_GB2312"/>
          <w:spacing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pacing w:val="0"/>
          <w:sz w:val="32"/>
          <w:szCs w:val="32"/>
          <w:lang w:val="en-US" w:eastAsia="zh-CN"/>
        </w:rPr>
        <w:t>2023年12月底城乡居民参加养老保险人数19124人，2022年12月底城乡居民参加养老保险人数19192人，比上年末减少68人。2023年12月底城镇职工参加养老保险人数20.92万人，其中在岗职工参保人数为20.92万人，离退休人员参保人数为41043人。参加城乡居民基本医疗保险人数27.6万人，比上年末增加0.2万人。其中参加城镇职工基本医疗保险人数14.3万人，比上年末增加0.2万人。参加生育保险人数14.3万人，比上年末增加0.2万人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79" w:lineRule="exact"/>
        <w:ind w:firstLine="640" w:firstLineChars="200"/>
        <w:jc w:val="both"/>
        <w:textAlignment w:val="auto"/>
        <w:outlineLvl w:val="9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_GB2312" w:hAnsi="仿宋_GB2312" w:eastAsia="仿宋_GB2312" w:cs="仿宋_GB2312"/>
          <w:spacing w:val="0"/>
          <w:sz w:val="32"/>
          <w:szCs w:val="32"/>
          <w:lang w:val="en-US" w:eastAsia="zh-CN"/>
        </w:rPr>
        <w:t>参加失业保险的人数13.8万人，增加0.4万人。2023年12月年参加工伤保险的人数16.9万人，增加0.8万人。其中，2022年参加工伤保险农民工5.3万人。</w:t>
      </w:r>
    </w:p>
    <w:sectPr>
      <w:footerReference r:id="rId3" w:type="default"/>
      <w:pgSz w:w="11906" w:h="16838"/>
      <w:pgMar w:top="1417" w:right="1417" w:bottom="1417" w:left="141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</w:pPr>
    <w:r>
      <w:rPr>
        <w:sz w:val="18"/>
      </w:rPr>
      <mc:AlternateContent>
        <mc:Choice Requires="wps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5"/>
                            <w:rPr>
                              <w:rFonts w:hint="eastAsia" w:eastAsiaTheme="minorEastAsia"/>
                              <w:lang w:eastAsia="zh-CN"/>
                            </w:rPr>
                          </w:pP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separate"/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t>1</w:t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8240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5"/>
                      <w:rPr>
                        <w:rFonts w:hint="eastAsia" w:eastAsiaTheme="minorEastAsia"/>
                        <w:lang w:eastAsia="zh-CN"/>
                      </w:rPr>
                    </w:pPr>
                    <w:r>
                      <w:rPr>
                        <w:rFonts w:hint="eastAsia"/>
                        <w:lang w:eastAsia="zh-CN"/>
                      </w:rPr>
                      <w:fldChar w:fldCharType="begin"/>
                    </w:r>
                    <w:r>
                      <w:rPr>
                        <w:rFonts w:hint="eastAsia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lang w:eastAsia="zh-CN"/>
                      </w:rPr>
                      <w:fldChar w:fldCharType="separate"/>
                    </w:r>
                    <w:r>
                      <w:rPr>
                        <w:rFonts w:hint="eastAsia"/>
                        <w:lang w:eastAsia="zh-CN"/>
                      </w:rPr>
                      <w:t>1</w:t>
                    </w:r>
                    <w:r>
                      <w:rPr>
                        <w:rFonts w:hint="eastAsia"/>
                        <w:lang w:eastAsia="zh-CN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 w:val="1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26C2810"/>
    <w:rsid w:val="02ED3311"/>
    <w:rsid w:val="044820D8"/>
    <w:rsid w:val="05990CE6"/>
    <w:rsid w:val="06BE60F1"/>
    <w:rsid w:val="074B5B6D"/>
    <w:rsid w:val="086F2366"/>
    <w:rsid w:val="0AC07BE8"/>
    <w:rsid w:val="0FEB4656"/>
    <w:rsid w:val="10860987"/>
    <w:rsid w:val="117C462F"/>
    <w:rsid w:val="128C7BF7"/>
    <w:rsid w:val="13E17819"/>
    <w:rsid w:val="15385929"/>
    <w:rsid w:val="153B77D8"/>
    <w:rsid w:val="1781240F"/>
    <w:rsid w:val="1989110D"/>
    <w:rsid w:val="1B9A26B1"/>
    <w:rsid w:val="23EB2E76"/>
    <w:rsid w:val="253037F3"/>
    <w:rsid w:val="25804E2E"/>
    <w:rsid w:val="288803AF"/>
    <w:rsid w:val="28EB7495"/>
    <w:rsid w:val="2B101A31"/>
    <w:rsid w:val="2CA84C7A"/>
    <w:rsid w:val="2D61521F"/>
    <w:rsid w:val="3370671E"/>
    <w:rsid w:val="345153B2"/>
    <w:rsid w:val="3498424D"/>
    <w:rsid w:val="3668110D"/>
    <w:rsid w:val="38987768"/>
    <w:rsid w:val="39BD663D"/>
    <w:rsid w:val="39C034AC"/>
    <w:rsid w:val="3EF561F6"/>
    <w:rsid w:val="3F703810"/>
    <w:rsid w:val="415B6DAB"/>
    <w:rsid w:val="41AF4DA7"/>
    <w:rsid w:val="41F666DC"/>
    <w:rsid w:val="452077EC"/>
    <w:rsid w:val="490A01C5"/>
    <w:rsid w:val="49BA3342"/>
    <w:rsid w:val="4D225054"/>
    <w:rsid w:val="4DD013C7"/>
    <w:rsid w:val="4F1F5B32"/>
    <w:rsid w:val="53C61233"/>
    <w:rsid w:val="55126D79"/>
    <w:rsid w:val="58B77536"/>
    <w:rsid w:val="60EB5B62"/>
    <w:rsid w:val="62333530"/>
    <w:rsid w:val="63792AA8"/>
    <w:rsid w:val="6588564B"/>
    <w:rsid w:val="65DC2FF2"/>
    <w:rsid w:val="6671177F"/>
    <w:rsid w:val="698C1794"/>
    <w:rsid w:val="6F363FA9"/>
    <w:rsid w:val="7168763E"/>
    <w:rsid w:val="72BD4408"/>
    <w:rsid w:val="743067AF"/>
    <w:rsid w:val="74CF3D85"/>
    <w:rsid w:val="75227FD1"/>
    <w:rsid w:val="7C8016CD"/>
    <w:rsid w:val="7FC712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qFormat="1"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qFormat="1"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9">
    <w:name w:val="Default Paragraph Font"/>
    <w:semiHidden/>
    <w:qFormat/>
    <w:uiPriority w:val="0"/>
  </w:style>
  <w:style w:type="table" w:default="1" w:styleId="8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First Indent 2"/>
    <w:basedOn w:val="3"/>
    <w:next w:val="1"/>
    <w:qFormat/>
    <w:uiPriority w:val="0"/>
    <w:pPr>
      <w:ind w:firstLine="200" w:firstLineChars="200"/>
    </w:pPr>
    <w:rPr>
      <w:rFonts w:ascii="Calibri" w:hAnsi="Calibri" w:eastAsia="宋体" w:cs="Times New Roman"/>
    </w:rPr>
  </w:style>
  <w:style w:type="paragraph" w:styleId="3">
    <w:name w:val="Body Text Indent"/>
    <w:basedOn w:val="1"/>
    <w:next w:val="4"/>
    <w:qFormat/>
    <w:uiPriority w:val="0"/>
    <w:pPr>
      <w:ind w:firstLine="630"/>
    </w:pPr>
    <w:rPr>
      <w:rFonts w:ascii="Calibri" w:hAnsi="Calibri" w:eastAsia="仿宋_GB2312" w:cs="Times New Roman"/>
      <w:kern w:val="2"/>
      <w:sz w:val="32"/>
    </w:rPr>
  </w:style>
  <w:style w:type="paragraph" w:styleId="4">
    <w:name w:val="Subtitle"/>
    <w:basedOn w:val="1"/>
    <w:next w:val="1"/>
    <w:qFormat/>
    <w:uiPriority w:val="0"/>
    <w:pPr>
      <w:wordWrap w:val="0"/>
      <w:spacing w:after="60"/>
      <w:jc w:val="center"/>
    </w:pPr>
    <w:rPr>
      <w:rFonts w:ascii="Calibri" w:hAnsi="Calibri" w:eastAsia="宋体" w:cs="Times New Roman"/>
      <w:sz w:val="24"/>
      <w:szCs w:val="22"/>
      <w:lang w:val="en-US" w:eastAsia="zh-CN" w:bidi="ar-SA"/>
    </w:rPr>
  </w:style>
  <w:style w:type="paragraph" w:styleId="5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6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7">
    <w:name w:val="Normal (Web)"/>
    <w:basedOn w:val="1"/>
    <w:qFormat/>
    <w:uiPriority w:val="0"/>
    <w:rPr>
      <w:sz w:val="24"/>
    </w:rPr>
  </w:style>
  <w:style w:type="character" w:styleId="10">
    <w:name w:val="FollowedHyperlink"/>
    <w:basedOn w:val="9"/>
    <w:qFormat/>
    <w:uiPriority w:val="0"/>
    <w:rPr>
      <w:color w:val="333333"/>
      <w:u w:val="none"/>
    </w:rPr>
  </w:style>
  <w:style w:type="character" w:styleId="11">
    <w:name w:val="Hyperlink"/>
    <w:basedOn w:val="9"/>
    <w:qFormat/>
    <w:uiPriority w:val="0"/>
    <w:rPr>
      <w:color w:val="333333"/>
      <w:u w:val="none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399</TotalTime>
  <ScaleCrop>false</ScaleCrop>
  <LinksUpToDate>false</LinksUpToDate>
  <CharactersWithSpaces>0</CharactersWithSpaces>
  <Application>WPS Office_11.8.2.8696_F1E327BC-269C-435d-A152-05C5408002CA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tjjwl</dc:creator>
  <cp:lastModifiedBy>Administrator</cp:lastModifiedBy>
  <cp:lastPrinted>2021-03-31T09:00:00Z</cp:lastPrinted>
  <dcterms:modified xsi:type="dcterms:W3CDTF">2024-05-17T09:44:32Z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2052-11.8.2.8696</vt:lpwstr>
  </property>
</Properties>
</file>