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1FA17A">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361842FE">
      <w:pPr>
        <w:spacing w:line="560" w:lineRule="exact"/>
        <w:jc w:val="center"/>
        <w:rPr>
          <w:rFonts w:ascii="宋体" w:hAnsi="宋体" w:cs="宋体"/>
          <w:b/>
          <w:bCs/>
          <w:sz w:val="44"/>
          <w:szCs w:val="44"/>
        </w:rPr>
      </w:pPr>
    </w:p>
    <w:p w14:paraId="22EFCE94">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石家庄市桥西区房屋征收中心</w:t>
      </w:r>
    </w:p>
    <w:p w14:paraId="11BA7BAA">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61571A5">
      <w:pPr>
        <w:spacing w:line="560" w:lineRule="exact"/>
        <w:jc w:val="center"/>
        <w:rPr>
          <w:rFonts w:ascii="华文楷体" w:eastAsia="华文楷体"/>
          <w:sz w:val="32"/>
          <w:szCs w:val="32"/>
        </w:rPr>
      </w:pPr>
    </w:p>
    <w:p w14:paraId="38D7E30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贯彻落实中共石家庄市桥西区委办公室</w:t>
      </w:r>
      <w:r>
        <w:rPr>
          <w:rFonts w:hint="eastAsia" w:ascii="仿宋" w:hAnsi="仿宋" w:eastAsia="仿宋"/>
          <w:sz w:val="32"/>
          <w:szCs w:val="32"/>
          <w:lang w:eastAsia="zh-CN"/>
        </w:rPr>
        <w:t>、</w:t>
      </w:r>
      <w:r>
        <w:rPr>
          <w:rFonts w:hint="eastAsia" w:ascii="仿宋" w:hAnsi="仿宋" w:eastAsia="仿宋"/>
          <w:sz w:val="32"/>
          <w:szCs w:val="32"/>
        </w:rPr>
        <w:t>石家庄市桥西区人民政府《关于全面落实预算绩效管理的实施意见》（西发〔2019〕5号）文件精神，遵循“科学性、规范性、客观性和公正性”的原则，对</w:t>
      </w:r>
      <w:r>
        <w:rPr>
          <w:rFonts w:hint="eastAsia" w:ascii="仿宋" w:hAnsi="仿宋" w:eastAsia="仿宋"/>
          <w:sz w:val="32"/>
          <w:szCs w:val="32"/>
          <w:lang w:eastAsia="zh-CN"/>
        </w:rPr>
        <w:t>石家庄市桥西区房屋征收中心</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5D5F9E4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AFC5BF8">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6C10CC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1．主要职能</w:t>
      </w:r>
    </w:p>
    <w:p w14:paraId="1E33D81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一、为了促进我区房屋征收工作规范有序顺利推进，提高居民对征收政策的了解，使工作人员掌握房屋征收的政策要点、关键环节。</w:t>
      </w:r>
    </w:p>
    <w:p w14:paraId="0A71A78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二、严格执行法律、法规及政策规定，依法规范实施征地和房屋征收拆迁工作，全面落实“公开、公平、公正”制度和举报监管；严格履行征地规定程序，依法慎重进行行政强行申请，确保征收工作和谐推进。</w:t>
      </w:r>
    </w:p>
    <w:p w14:paraId="3C600DE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三、规范房屋征收工作的有效管理，确保房屋征收档案的完整、准确和有效利用，保证档案整理及移交工作的顺利进行，确保征收工作正常发展，机关基础设施运行良好。</w:t>
      </w:r>
    </w:p>
    <w:p w14:paraId="7C2AE11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四、化解矛盾和问题，从源头上预防和减少信访问题的发生，维护人民群众的合法权益。</w:t>
      </w:r>
    </w:p>
    <w:p w14:paraId="561220C9">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2．机构情况</w:t>
      </w:r>
      <w:r>
        <w:rPr>
          <w:rFonts w:hint="eastAsia" w:ascii="仿宋" w:hAnsi="仿宋" w:eastAsia="仿宋"/>
          <w:sz w:val="32"/>
          <w:szCs w:val="32"/>
          <w:lang w:eastAsia="zh-CN"/>
        </w:rPr>
        <w:t>：</w:t>
      </w:r>
    </w:p>
    <w:p w14:paraId="0AD908D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E4A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14:paraId="6BE67EC5">
            <w:pPr>
              <w:keepNext w:val="0"/>
              <w:keepLines w:val="0"/>
              <w:pageBreakBefore w:val="0"/>
              <w:widowControl w:val="0"/>
              <w:kinsoku/>
              <w:wordWrap/>
              <w:overflowPunct/>
              <w:topLinePunct w:val="0"/>
              <w:autoSpaceDE/>
              <w:bidi w:val="0"/>
              <w:adjustRightInd/>
              <w:snapToGrid/>
              <w:spacing w:line="360" w:lineRule="auto"/>
              <w:jc w:val="center"/>
              <w:textAlignment w:val="auto"/>
              <w:rPr>
                <w:rFonts w:hint="eastAsia" w:ascii="仿宋" w:hAnsi="仿宋" w:eastAsia="仿宋" w:cs="仿宋"/>
                <w:b/>
                <w:sz w:val="24"/>
                <w:szCs w:val="24"/>
              </w:rPr>
            </w:pPr>
            <w:r>
              <w:rPr>
                <w:rFonts w:hint="eastAsia" w:ascii="仿宋" w:hAnsi="仿宋" w:eastAsia="仿宋" w:cs="仿宋"/>
                <w:b/>
                <w:sz w:val="24"/>
                <w:szCs w:val="24"/>
              </w:rPr>
              <w:t>单位名称</w:t>
            </w:r>
          </w:p>
        </w:tc>
        <w:tc>
          <w:tcPr>
            <w:tcW w:w="1134" w:type="dxa"/>
            <w:vMerge w:val="restart"/>
            <w:noWrap w:val="0"/>
            <w:vAlign w:val="center"/>
          </w:tcPr>
          <w:p w14:paraId="15CC11AA">
            <w:pPr>
              <w:keepNext w:val="0"/>
              <w:keepLines w:val="0"/>
              <w:pageBreakBefore w:val="0"/>
              <w:widowControl w:val="0"/>
              <w:kinsoku/>
              <w:wordWrap/>
              <w:overflowPunct/>
              <w:topLinePunct w:val="0"/>
              <w:autoSpaceDE/>
              <w:bidi w:val="0"/>
              <w:adjustRightInd/>
              <w:snapToGrid/>
              <w:spacing w:line="360" w:lineRule="auto"/>
              <w:jc w:val="center"/>
              <w:textAlignment w:val="auto"/>
              <w:rPr>
                <w:rFonts w:hint="eastAsia" w:ascii="仿宋" w:hAnsi="仿宋" w:eastAsia="仿宋" w:cs="仿宋"/>
                <w:b/>
                <w:sz w:val="24"/>
                <w:szCs w:val="24"/>
              </w:rPr>
            </w:pPr>
            <w:r>
              <w:rPr>
                <w:rFonts w:hint="eastAsia" w:ascii="仿宋" w:hAnsi="仿宋" w:eastAsia="仿宋" w:cs="仿宋"/>
                <w:b/>
                <w:sz w:val="24"/>
                <w:szCs w:val="24"/>
              </w:rPr>
              <w:t>单位性质</w:t>
            </w:r>
          </w:p>
        </w:tc>
        <w:tc>
          <w:tcPr>
            <w:tcW w:w="1276" w:type="dxa"/>
            <w:vMerge w:val="restart"/>
            <w:noWrap w:val="0"/>
            <w:vAlign w:val="center"/>
          </w:tcPr>
          <w:p w14:paraId="0504B48E">
            <w:pPr>
              <w:keepNext w:val="0"/>
              <w:keepLines w:val="0"/>
              <w:pageBreakBefore w:val="0"/>
              <w:widowControl w:val="0"/>
              <w:kinsoku/>
              <w:wordWrap/>
              <w:overflowPunct/>
              <w:topLinePunct w:val="0"/>
              <w:autoSpaceDE/>
              <w:bidi w:val="0"/>
              <w:adjustRightInd/>
              <w:snapToGrid/>
              <w:spacing w:line="360" w:lineRule="auto"/>
              <w:jc w:val="center"/>
              <w:textAlignment w:val="auto"/>
              <w:rPr>
                <w:rFonts w:hint="eastAsia" w:ascii="仿宋" w:hAnsi="仿宋" w:eastAsia="仿宋" w:cs="仿宋"/>
                <w:b/>
                <w:sz w:val="24"/>
                <w:szCs w:val="24"/>
              </w:rPr>
            </w:pPr>
            <w:r>
              <w:rPr>
                <w:rFonts w:hint="eastAsia" w:ascii="仿宋" w:hAnsi="仿宋" w:eastAsia="仿宋" w:cs="仿宋"/>
                <w:b/>
                <w:sz w:val="24"/>
                <w:szCs w:val="24"/>
              </w:rPr>
              <w:t>单位规格</w:t>
            </w:r>
          </w:p>
        </w:tc>
        <w:tc>
          <w:tcPr>
            <w:tcW w:w="2902" w:type="dxa"/>
            <w:vMerge w:val="restart"/>
            <w:noWrap w:val="0"/>
            <w:vAlign w:val="center"/>
          </w:tcPr>
          <w:p w14:paraId="5A8225B6">
            <w:pPr>
              <w:keepNext w:val="0"/>
              <w:keepLines w:val="0"/>
              <w:pageBreakBefore w:val="0"/>
              <w:widowControl w:val="0"/>
              <w:kinsoku/>
              <w:wordWrap/>
              <w:overflowPunct/>
              <w:topLinePunct w:val="0"/>
              <w:autoSpaceDE/>
              <w:bidi w:val="0"/>
              <w:adjustRightInd/>
              <w:snapToGrid/>
              <w:spacing w:line="360" w:lineRule="auto"/>
              <w:jc w:val="center"/>
              <w:textAlignment w:val="auto"/>
              <w:rPr>
                <w:rFonts w:hint="eastAsia" w:ascii="仿宋" w:hAnsi="仿宋" w:eastAsia="仿宋" w:cs="仿宋"/>
                <w:b/>
                <w:sz w:val="24"/>
                <w:szCs w:val="24"/>
              </w:rPr>
            </w:pPr>
            <w:r>
              <w:rPr>
                <w:rFonts w:hint="eastAsia" w:ascii="仿宋" w:hAnsi="仿宋" w:eastAsia="仿宋" w:cs="仿宋"/>
                <w:b/>
                <w:sz w:val="24"/>
                <w:szCs w:val="24"/>
              </w:rPr>
              <w:t>经费保障形式</w:t>
            </w:r>
          </w:p>
        </w:tc>
      </w:tr>
      <w:tr w14:paraId="30FA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14:paraId="162320F7">
            <w:pPr>
              <w:keepNext w:val="0"/>
              <w:keepLines w:val="0"/>
              <w:pageBreakBefore w:val="0"/>
              <w:widowControl w:val="0"/>
              <w:kinsoku/>
              <w:wordWrap/>
              <w:overflowPunct/>
              <w:topLinePunct w:val="0"/>
              <w:autoSpaceDE/>
              <w:bidi w:val="0"/>
              <w:adjustRightInd/>
              <w:snapToGrid/>
              <w:spacing w:line="360" w:lineRule="auto"/>
              <w:jc w:val="left"/>
              <w:textAlignment w:val="auto"/>
              <w:outlineLvl w:val="0"/>
              <w:rPr>
                <w:rFonts w:hint="eastAsia" w:ascii="仿宋" w:hAnsi="仿宋" w:eastAsia="仿宋" w:cs="仿宋"/>
                <w:sz w:val="24"/>
                <w:szCs w:val="24"/>
              </w:rPr>
            </w:pPr>
          </w:p>
        </w:tc>
        <w:tc>
          <w:tcPr>
            <w:tcW w:w="1134" w:type="dxa"/>
            <w:vMerge w:val="continue"/>
            <w:noWrap w:val="0"/>
            <w:vAlign w:val="center"/>
          </w:tcPr>
          <w:p w14:paraId="227BDF29">
            <w:pPr>
              <w:keepNext w:val="0"/>
              <w:keepLines w:val="0"/>
              <w:pageBreakBefore w:val="0"/>
              <w:widowControl w:val="0"/>
              <w:kinsoku/>
              <w:wordWrap/>
              <w:overflowPunct/>
              <w:topLinePunct w:val="0"/>
              <w:autoSpaceDE/>
              <w:bidi w:val="0"/>
              <w:adjustRightInd/>
              <w:snapToGrid/>
              <w:spacing w:line="360" w:lineRule="auto"/>
              <w:jc w:val="left"/>
              <w:textAlignment w:val="auto"/>
              <w:outlineLvl w:val="0"/>
              <w:rPr>
                <w:rFonts w:hint="eastAsia" w:ascii="仿宋" w:hAnsi="仿宋" w:eastAsia="仿宋" w:cs="仿宋"/>
                <w:sz w:val="24"/>
                <w:szCs w:val="24"/>
              </w:rPr>
            </w:pPr>
          </w:p>
        </w:tc>
        <w:tc>
          <w:tcPr>
            <w:tcW w:w="1276" w:type="dxa"/>
            <w:vMerge w:val="continue"/>
            <w:noWrap w:val="0"/>
            <w:vAlign w:val="center"/>
          </w:tcPr>
          <w:p w14:paraId="0D3F0B1F">
            <w:pPr>
              <w:keepNext w:val="0"/>
              <w:keepLines w:val="0"/>
              <w:pageBreakBefore w:val="0"/>
              <w:widowControl w:val="0"/>
              <w:kinsoku/>
              <w:wordWrap/>
              <w:overflowPunct/>
              <w:topLinePunct w:val="0"/>
              <w:autoSpaceDE/>
              <w:bidi w:val="0"/>
              <w:adjustRightInd/>
              <w:snapToGrid/>
              <w:spacing w:line="360" w:lineRule="auto"/>
              <w:jc w:val="left"/>
              <w:textAlignment w:val="auto"/>
              <w:outlineLvl w:val="0"/>
              <w:rPr>
                <w:rFonts w:hint="eastAsia" w:ascii="仿宋" w:hAnsi="仿宋" w:eastAsia="仿宋" w:cs="仿宋"/>
                <w:sz w:val="24"/>
                <w:szCs w:val="24"/>
              </w:rPr>
            </w:pPr>
          </w:p>
        </w:tc>
        <w:tc>
          <w:tcPr>
            <w:tcW w:w="2902" w:type="dxa"/>
            <w:vMerge w:val="continue"/>
            <w:noWrap w:val="0"/>
            <w:vAlign w:val="center"/>
          </w:tcPr>
          <w:p w14:paraId="75DC69BE">
            <w:pPr>
              <w:keepNext w:val="0"/>
              <w:keepLines w:val="0"/>
              <w:pageBreakBefore w:val="0"/>
              <w:widowControl w:val="0"/>
              <w:kinsoku/>
              <w:wordWrap/>
              <w:overflowPunct/>
              <w:topLinePunct w:val="0"/>
              <w:autoSpaceDE/>
              <w:bidi w:val="0"/>
              <w:adjustRightInd/>
              <w:snapToGrid/>
              <w:spacing w:line="360" w:lineRule="auto"/>
              <w:jc w:val="left"/>
              <w:textAlignment w:val="auto"/>
              <w:outlineLvl w:val="0"/>
              <w:rPr>
                <w:rFonts w:hint="eastAsia" w:ascii="仿宋" w:hAnsi="仿宋" w:eastAsia="仿宋" w:cs="仿宋"/>
                <w:sz w:val="24"/>
                <w:szCs w:val="24"/>
              </w:rPr>
            </w:pPr>
          </w:p>
        </w:tc>
      </w:tr>
      <w:tr w14:paraId="4493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14:paraId="13E9A7EF">
            <w:pPr>
              <w:keepNext w:val="0"/>
              <w:keepLines w:val="0"/>
              <w:pageBreakBefore w:val="0"/>
              <w:widowControl w:val="0"/>
              <w:kinsoku/>
              <w:wordWrap/>
              <w:overflowPunct/>
              <w:topLinePunct w:val="0"/>
              <w:autoSpaceDE/>
              <w:bidi w:val="0"/>
              <w:adjustRightInd/>
              <w:snapToGrid/>
              <w:spacing w:line="360" w:lineRule="auto"/>
              <w:jc w:val="left"/>
              <w:textAlignment w:val="auto"/>
              <w:rPr>
                <w:rFonts w:hint="eastAsia" w:ascii="仿宋" w:hAnsi="仿宋" w:eastAsia="仿宋" w:cs="仿宋"/>
                <w:sz w:val="24"/>
                <w:szCs w:val="24"/>
              </w:rPr>
            </w:pPr>
            <w:r>
              <w:rPr>
                <w:rFonts w:hint="eastAsia" w:ascii="仿宋" w:hAnsi="仿宋" w:eastAsia="仿宋" w:cs="仿宋"/>
                <w:sz w:val="24"/>
                <w:szCs w:val="24"/>
              </w:rPr>
              <w:t>石家庄市桥西区房屋征收</w:t>
            </w:r>
            <w:r>
              <w:rPr>
                <w:rFonts w:hint="eastAsia" w:ascii="仿宋" w:hAnsi="仿宋" w:eastAsia="仿宋" w:cs="仿宋"/>
                <w:sz w:val="24"/>
                <w:szCs w:val="24"/>
                <w:lang w:eastAsia="zh-CN"/>
              </w:rPr>
              <w:t>中心</w:t>
            </w:r>
          </w:p>
        </w:tc>
        <w:tc>
          <w:tcPr>
            <w:tcW w:w="1134" w:type="dxa"/>
            <w:noWrap w:val="0"/>
            <w:vAlign w:val="center"/>
          </w:tcPr>
          <w:p w14:paraId="64DABF5B">
            <w:pPr>
              <w:keepNext w:val="0"/>
              <w:keepLines w:val="0"/>
              <w:pageBreakBefore w:val="0"/>
              <w:widowControl w:val="0"/>
              <w:kinsoku/>
              <w:wordWrap/>
              <w:overflowPunct/>
              <w:topLinePunct w:val="0"/>
              <w:autoSpaceDE/>
              <w:bidi w:val="0"/>
              <w:adjustRightInd/>
              <w:snapToGrid/>
              <w:spacing w:line="360" w:lineRule="auto"/>
              <w:jc w:val="center"/>
              <w:textAlignment w:val="auto"/>
              <w:rPr>
                <w:rFonts w:hint="eastAsia" w:ascii="仿宋" w:hAnsi="仿宋" w:eastAsia="仿宋" w:cs="仿宋"/>
                <w:sz w:val="24"/>
                <w:szCs w:val="24"/>
              </w:rPr>
            </w:pPr>
            <w:r>
              <w:rPr>
                <w:rFonts w:hint="eastAsia" w:ascii="仿宋" w:hAnsi="仿宋" w:eastAsia="仿宋" w:cs="仿宋"/>
                <w:sz w:val="24"/>
                <w:szCs w:val="24"/>
              </w:rPr>
              <w:t>事业</w:t>
            </w:r>
          </w:p>
        </w:tc>
        <w:tc>
          <w:tcPr>
            <w:tcW w:w="1276" w:type="dxa"/>
            <w:noWrap w:val="0"/>
            <w:vAlign w:val="center"/>
          </w:tcPr>
          <w:p w14:paraId="6F675483">
            <w:pPr>
              <w:keepNext w:val="0"/>
              <w:keepLines w:val="0"/>
              <w:pageBreakBefore w:val="0"/>
              <w:widowControl w:val="0"/>
              <w:kinsoku/>
              <w:wordWrap/>
              <w:overflowPunct/>
              <w:topLinePunct w:val="0"/>
              <w:autoSpaceDE/>
              <w:bidi w:val="0"/>
              <w:adjustRightInd/>
              <w:snapToGrid/>
              <w:spacing w:line="360" w:lineRule="auto"/>
              <w:jc w:val="center"/>
              <w:textAlignment w:val="auto"/>
              <w:rPr>
                <w:rFonts w:hint="eastAsia" w:ascii="仿宋" w:hAnsi="仿宋" w:eastAsia="仿宋" w:cs="仿宋"/>
                <w:sz w:val="24"/>
                <w:szCs w:val="24"/>
              </w:rPr>
            </w:pPr>
            <w:r>
              <w:rPr>
                <w:rFonts w:hint="eastAsia" w:ascii="仿宋" w:hAnsi="仿宋" w:eastAsia="仿宋" w:cs="仿宋"/>
                <w:sz w:val="24"/>
                <w:szCs w:val="24"/>
              </w:rPr>
              <w:t>正科级</w:t>
            </w:r>
          </w:p>
        </w:tc>
        <w:tc>
          <w:tcPr>
            <w:tcW w:w="2902" w:type="dxa"/>
            <w:noWrap w:val="0"/>
            <w:vAlign w:val="center"/>
          </w:tcPr>
          <w:p w14:paraId="421D5EAA">
            <w:pPr>
              <w:keepNext w:val="0"/>
              <w:keepLines w:val="0"/>
              <w:pageBreakBefore w:val="0"/>
              <w:widowControl w:val="0"/>
              <w:kinsoku/>
              <w:wordWrap/>
              <w:overflowPunct/>
              <w:topLinePunct w:val="0"/>
              <w:autoSpaceDE/>
              <w:bidi w:val="0"/>
              <w:adjustRightInd/>
              <w:snapToGrid/>
              <w:spacing w:line="360" w:lineRule="auto"/>
              <w:jc w:val="center"/>
              <w:textAlignment w:val="auto"/>
              <w:rPr>
                <w:rFonts w:hint="eastAsia" w:ascii="仿宋" w:hAnsi="仿宋" w:eastAsia="仿宋" w:cs="仿宋"/>
                <w:sz w:val="24"/>
                <w:szCs w:val="24"/>
              </w:rPr>
            </w:pPr>
            <w:r>
              <w:rPr>
                <w:rFonts w:hint="eastAsia" w:ascii="仿宋" w:hAnsi="仿宋" w:eastAsia="仿宋" w:cs="仿宋"/>
                <w:sz w:val="24"/>
                <w:szCs w:val="24"/>
              </w:rPr>
              <w:t>财政性资金基本保证</w:t>
            </w:r>
          </w:p>
        </w:tc>
      </w:tr>
    </w:tbl>
    <w:p w14:paraId="7D3063D5">
      <w:pPr>
        <w:pStyle w:val="2"/>
        <w:ind w:left="0" w:leftChars="0" w:firstLine="0" w:firstLineChars="0"/>
        <w:rPr>
          <w:rFonts w:hint="eastAsia" w:ascii="仿宋" w:hAnsi="仿宋" w:eastAsia="仿宋"/>
          <w:sz w:val="32"/>
          <w:szCs w:val="32"/>
        </w:rPr>
      </w:pPr>
    </w:p>
    <w:p w14:paraId="547D7842">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F183B48">
      <w:pPr>
        <w:pStyle w:val="2"/>
        <w:widowControl w:val="0"/>
        <w:numPr>
          <w:ilvl w:val="0"/>
          <w:numId w:val="0"/>
        </w:numPr>
        <w:jc w:val="both"/>
      </w:pPr>
    </w:p>
    <w:p w14:paraId="7A9D47AE">
      <w:pPr>
        <w:keepNext w:val="0"/>
        <w:keepLines w:val="0"/>
        <w:pageBreakBefore w:val="0"/>
        <w:kinsoku/>
        <w:wordWrap/>
        <w:overflowPunct/>
        <w:topLinePunct w:val="0"/>
        <w:autoSpaceDE/>
        <w:autoSpaceDN w:val="0"/>
        <w:bidi w:val="0"/>
        <w:adjustRightInd/>
        <w:snapToGrid/>
        <w:spacing w:line="360" w:lineRule="auto"/>
        <w:ind w:firstLine="640" w:firstLineChars="200"/>
        <w:jc w:val="both"/>
        <w:textAlignment w:val="auto"/>
        <w:rPr>
          <w:rFonts w:hint="eastAsia" w:ascii="楷体" w:hAnsi="楷体" w:eastAsia="楷体" w:cs="楷体"/>
          <w:b w:val="0"/>
          <w:i w:val="0"/>
          <w:snapToGrid/>
          <w:color w:val="000000"/>
          <w:sz w:val="32"/>
          <w:szCs w:val="28"/>
          <w:highlight w:val="none"/>
        </w:rPr>
      </w:pPr>
      <w:r>
        <w:rPr>
          <w:rFonts w:hint="eastAsia" w:ascii="楷体" w:hAnsi="楷体" w:eastAsia="楷体" w:cs="楷体"/>
          <w:b w:val="0"/>
          <w:i w:val="0"/>
          <w:snapToGrid/>
          <w:color w:val="000000"/>
          <w:sz w:val="32"/>
          <w:szCs w:val="28"/>
          <w:highlight w:val="none"/>
        </w:rPr>
        <w:t>（1）预、决算差异情况</w:t>
      </w:r>
    </w:p>
    <w:tbl>
      <w:tblPr>
        <w:tblStyle w:val="6"/>
        <w:tblpPr w:leftFromText="180" w:rightFromText="180" w:vertAnchor="text" w:horzAnchor="page" w:tblpX="1755" w:tblpY="46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0"/>
        <w:gridCol w:w="959"/>
        <w:gridCol w:w="1216"/>
        <w:gridCol w:w="1365"/>
        <w:gridCol w:w="1319"/>
        <w:gridCol w:w="1171"/>
      </w:tblGrid>
      <w:tr w14:paraId="7AFBD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2290" w:type="dxa"/>
            <w:noWrap w:val="0"/>
            <w:vAlign w:val="center"/>
          </w:tcPr>
          <w:p w14:paraId="6313754E">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项目（按功能分类）</w:t>
            </w:r>
          </w:p>
        </w:tc>
        <w:tc>
          <w:tcPr>
            <w:tcW w:w="959" w:type="dxa"/>
            <w:noWrap w:val="0"/>
            <w:vAlign w:val="center"/>
          </w:tcPr>
          <w:p w14:paraId="099349B0">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预算数</w:t>
            </w:r>
          </w:p>
        </w:tc>
        <w:tc>
          <w:tcPr>
            <w:tcW w:w="1216" w:type="dxa"/>
            <w:noWrap w:val="0"/>
            <w:vAlign w:val="center"/>
          </w:tcPr>
          <w:p w14:paraId="7309FDE3">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highlight w:val="none"/>
                <w:vertAlign w:val="baseline"/>
                <w:lang w:eastAsia="zh-CN"/>
              </w:rPr>
              <w:t>本年收入决算</w:t>
            </w:r>
          </w:p>
        </w:tc>
        <w:tc>
          <w:tcPr>
            <w:tcW w:w="1365" w:type="dxa"/>
            <w:noWrap w:val="0"/>
            <w:vAlign w:val="center"/>
          </w:tcPr>
          <w:p w14:paraId="3E695532">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highlight w:val="none"/>
                <w:vertAlign w:val="baseline"/>
                <w:lang w:eastAsia="zh-CN"/>
              </w:rPr>
              <w:t>本年收入与预算差异</w:t>
            </w:r>
          </w:p>
        </w:tc>
        <w:tc>
          <w:tcPr>
            <w:tcW w:w="1319" w:type="dxa"/>
            <w:noWrap w:val="0"/>
            <w:vAlign w:val="center"/>
          </w:tcPr>
          <w:p w14:paraId="37277F2C">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highlight w:val="none"/>
                <w:vertAlign w:val="baseline"/>
                <w:lang w:eastAsia="zh-CN"/>
              </w:rPr>
              <w:t>本年支出决算</w:t>
            </w:r>
          </w:p>
        </w:tc>
        <w:tc>
          <w:tcPr>
            <w:tcW w:w="1171" w:type="dxa"/>
            <w:noWrap w:val="0"/>
            <w:vAlign w:val="center"/>
          </w:tcPr>
          <w:p w14:paraId="1A5423E7">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highlight w:val="none"/>
                <w:vertAlign w:val="baseline"/>
                <w:lang w:eastAsia="zh-CN"/>
              </w:rPr>
              <w:t>本年支出与预算差异</w:t>
            </w:r>
          </w:p>
        </w:tc>
      </w:tr>
      <w:tr w14:paraId="3A45D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2290" w:type="dxa"/>
            <w:noWrap w:val="0"/>
            <w:vAlign w:val="center"/>
          </w:tcPr>
          <w:p w14:paraId="3FD4C787">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一、城乡社区支出</w:t>
            </w:r>
          </w:p>
        </w:tc>
        <w:tc>
          <w:tcPr>
            <w:tcW w:w="959" w:type="dxa"/>
            <w:noWrap w:val="0"/>
            <w:vAlign w:val="center"/>
          </w:tcPr>
          <w:p w14:paraId="6B918288">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348.08</w:t>
            </w:r>
          </w:p>
        </w:tc>
        <w:tc>
          <w:tcPr>
            <w:tcW w:w="1216" w:type="dxa"/>
            <w:noWrap w:val="0"/>
            <w:vAlign w:val="center"/>
          </w:tcPr>
          <w:p w14:paraId="7FBE8636">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21530.22</w:t>
            </w:r>
          </w:p>
        </w:tc>
        <w:tc>
          <w:tcPr>
            <w:tcW w:w="1365" w:type="dxa"/>
            <w:noWrap w:val="0"/>
            <w:vAlign w:val="center"/>
          </w:tcPr>
          <w:p w14:paraId="1704C347">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21182.14</w:t>
            </w:r>
          </w:p>
        </w:tc>
        <w:tc>
          <w:tcPr>
            <w:tcW w:w="1319" w:type="dxa"/>
            <w:noWrap w:val="0"/>
            <w:vAlign w:val="center"/>
          </w:tcPr>
          <w:p w14:paraId="0E394686">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default" w:ascii="仿宋" w:hAnsi="仿宋" w:eastAsia="仿宋" w:cs="仿宋"/>
                <w:sz w:val="21"/>
                <w:szCs w:val="21"/>
                <w:highlight w:val="none"/>
                <w:vertAlign w:val="baseline"/>
                <w:lang w:val="en-US" w:eastAsia="zh-CN"/>
              </w:rPr>
              <w:t>21844.46</w:t>
            </w:r>
          </w:p>
        </w:tc>
        <w:tc>
          <w:tcPr>
            <w:tcW w:w="1171" w:type="dxa"/>
            <w:noWrap w:val="0"/>
            <w:vAlign w:val="center"/>
          </w:tcPr>
          <w:p w14:paraId="5AB66F9E">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21496.38</w:t>
            </w:r>
          </w:p>
        </w:tc>
      </w:tr>
      <w:tr w14:paraId="28461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290" w:type="dxa"/>
            <w:noWrap w:val="0"/>
            <w:vAlign w:val="center"/>
          </w:tcPr>
          <w:p w14:paraId="5A44C9CB">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二、社会保障和就业支出</w:t>
            </w:r>
          </w:p>
        </w:tc>
        <w:tc>
          <w:tcPr>
            <w:tcW w:w="959" w:type="dxa"/>
            <w:noWrap w:val="0"/>
            <w:vAlign w:val="center"/>
          </w:tcPr>
          <w:p w14:paraId="4342EC2C">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101.5</w:t>
            </w:r>
          </w:p>
        </w:tc>
        <w:tc>
          <w:tcPr>
            <w:tcW w:w="1216" w:type="dxa"/>
            <w:noWrap w:val="0"/>
            <w:vAlign w:val="center"/>
          </w:tcPr>
          <w:p w14:paraId="757B120B">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default" w:ascii="仿宋" w:hAnsi="仿宋" w:eastAsia="仿宋" w:cs="仿宋"/>
                <w:sz w:val="21"/>
                <w:szCs w:val="21"/>
                <w:highlight w:val="none"/>
                <w:vertAlign w:val="baseline"/>
                <w:lang w:val="en-US" w:eastAsia="zh-CN"/>
              </w:rPr>
              <w:t>99.08</w:t>
            </w:r>
          </w:p>
        </w:tc>
        <w:tc>
          <w:tcPr>
            <w:tcW w:w="1365" w:type="dxa"/>
            <w:noWrap w:val="0"/>
            <w:vAlign w:val="center"/>
          </w:tcPr>
          <w:p w14:paraId="7057BF03">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-2.42</w:t>
            </w:r>
          </w:p>
        </w:tc>
        <w:tc>
          <w:tcPr>
            <w:tcW w:w="1319" w:type="dxa"/>
            <w:noWrap w:val="0"/>
            <w:vAlign w:val="center"/>
          </w:tcPr>
          <w:p w14:paraId="0E00EDD7">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default" w:ascii="仿宋" w:hAnsi="仿宋" w:eastAsia="仿宋" w:cs="仿宋"/>
                <w:sz w:val="21"/>
                <w:szCs w:val="21"/>
                <w:highlight w:val="none"/>
                <w:vertAlign w:val="baseline"/>
                <w:lang w:val="en-US" w:eastAsia="zh-CN"/>
              </w:rPr>
              <w:t>99.08</w:t>
            </w:r>
          </w:p>
        </w:tc>
        <w:tc>
          <w:tcPr>
            <w:tcW w:w="1171" w:type="dxa"/>
            <w:noWrap w:val="0"/>
            <w:vAlign w:val="center"/>
          </w:tcPr>
          <w:p w14:paraId="671185F5">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-2.42</w:t>
            </w:r>
          </w:p>
        </w:tc>
      </w:tr>
      <w:tr w14:paraId="468C4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0" w:type="dxa"/>
            <w:noWrap w:val="0"/>
            <w:vAlign w:val="center"/>
          </w:tcPr>
          <w:p w14:paraId="5825A90B">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三、卫生健康支出</w:t>
            </w:r>
          </w:p>
        </w:tc>
        <w:tc>
          <w:tcPr>
            <w:tcW w:w="959" w:type="dxa"/>
            <w:noWrap w:val="0"/>
            <w:vAlign w:val="center"/>
          </w:tcPr>
          <w:p w14:paraId="145CEDB7">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26.4</w:t>
            </w:r>
          </w:p>
        </w:tc>
        <w:tc>
          <w:tcPr>
            <w:tcW w:w="1216" w:type="dxa"/>
            <w:noWrap w:val="0"/>
            <w:vAlign w:val="center"/>
          </w:tcPr>
          <w:p w14:paraId="6D7E8FC7">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default" w:ascii="仿宋" w:hAnsi="仿宋" w:eastAsia="仿宋" w:cs="仿宋"/>
                <w:sz w:val="21"/>
                <w:szCs w:val="21"/>
                <w:highlight w:val="none"/>
                <w:vertAlign w:val="baseline"/>
                <w:lang w:val="en-US" w:eastAsia="zh-CN"/>
              </w:rPr>
              <w:t>17.54</w:t>
            </w:r>
          </w:p>
        </w:tc>
        <w:tc>
          <w:tcPr>
            <w:tcW w:w="1365" w:type="dxa"/>
            <w:noWrap w:val="0"/>
            <w:vAlign w:val="center"/>
          </w:tcPr>
          <w:p w14:paraId="4F4B09B8">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-8.86</w:t>
            </w:r>
          </w:p>
        </w:tc>
        <w:tc>
          <w:tcPr>
            <w:tcW w:w="1319" w:type="dxa"/>
            <w:noWrap w:val="0"/>
            <w:vAlign w:val="center"/>
          </w:tcPr>
          <w:p w14:paraId="463CEF8B">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default" w:ascii="仿宋" w:hAnsi="仿宋" w:eastAsia="仿宋" w:cs="仿宋"/>
                <w:sz w:val="21"/>
                <w:szCs w:val="21"/>
                <w:highlight w:val="none"/>
                <w:vertAlign w:val="baseline"/>
                <w:lang w:val="en-US" w:eastAsia="zh-CN"/>
              </w:rPr>
              <w:t>17.54</w:t>
            </w:r>
          </w:p>
        </w:tc>
        <w:tc>
          <w:tcPr>
            <w:tcW w:w="1171" w:type="dxa"/>
            <w:noWrap w:val="0"/>
            <w:vAlign w:val="center"/>
          </w:tcPr>
          <w:p w14:paraId="7E5B78ED">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-8.86</w:t>
            </w:r>
          </w:p>
        </w:tc>
      </w:tr>
      <w:tr w14:paraId="4CAF1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2290" w:type="dxa"/>
            <w:noWrap w:val="0"/>
            <w:vAlign w:val="center"/>
          </w:tcPr>
          <w:p w14:paraId="7B913EF3">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四、住房保障支出</w:t>
            </w:r>
          </w:p>
        </w:tc>
        <w:tc>
          <w:tcPr>
            <w:tcW w:w="959" w:type="dxa"/>
            <w:noWrap w:val="0"/>
            <w:vAlign w:val="center"/>
          </w:tcPr>
          <w:p w14:paraId="522D4E40">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31.54</w:t>
            </w:r>
          </w:p>
        </w:tc>
        <w:tc>
          <w:tcPr>
            <w:tcW w:w="1216" w:type="dxa"/>
            <w:noWrap w:val="0"/>
            <w:vAlign w:val="center"/>
          </w:tcPr>
          <w:p w14:paraId="6129CA05">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default" w:ascii="仿宋" w:hAnsi="仿宋" w:eastAsia="仿宋" w:cs="仿宋"/>
                <w:sz w:val="21"/>
                <w:szCs w:val="21"/>
                <w:highlight w:val="none"/>
                <w:vertAlign w:val="baseline"/>
                <w:lang w:val="en-US" w:eastAsia="zh-CN"/>
              </w:rPr>
              <w:t>28.94</w:t>
            </w:r>
          </w:p>
        </w:tc>
        <w:tc>
          <w:tcPr>
            <w:tcW w:w="1365" w:type="dxa"/>
            <w:noWrap w:val="0"/>
            <w:vAlign w:val="center"/>
          </w:tcPr>
          <w:p w14:paraId="37E1FD41">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-2.6</w:t>
            </w:r>
          </w:p>
        </w:tc>
        <w:tc>
          <w:tcPr>
            <w:tcW w:w="1319" w:type="dxa"/>
            <w:noWrap w:val="0"/>
            <w:vAlign w:val="center"/>
          </w:tcPr>
          <w:p w14:paraId="467DF282">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default" w:ascii="仿宋" w:hAnsi="仿宋" w:eastAsia="仿宋" w:cs="仿宋"/>
                <w:sz w:val="21"/>
                <w:szCs w:val="21"/>
                <w:highlight w:val="none"/>
                <w:vertAlign w:val="baseline"/>
                <w:lang w:val="en-US" w:eastAsia="zh-CN"/>
              </w:rPr>
              <w:t>28.94</w:t>
            </w:r>
          </w:p>
        </w:tc>
        <w:tc>
          <w:tcPr>
            <w:tcW w:w="1171" w:type="dxa"/>
            <w:noWrap w:val="0"/>
            <w:vAlign w:val="center"/>
          </w:tcPr>
          <w:p w14:paraId="4E2BF46D">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-2.6</w:t>
            </w:r>
          </w:p>
        </w:tc>
      </w:tr>
      <w:tr w14:paraId="5CB33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2290" w:type="dxa"/>
            <w:noWrap w:val="0"/>
            <w:vAlign w:val="center"/>
          </w:tcPr>
          <w:p w14:paraId="4E17D40A">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五、其他支出</w:t>
            </w:r>
          </w:p>
        </w:tc>
        <w:tc>
          <w:tcPr>
            <w:tcW w:w="959" w:type="dxa"/>
            <w:noWrap w:val="0"/>
            <w:vAlign w:val="center"/>
          </w:tcPr>
          <w:p w14:paraId="6E6BA527">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0</w:t>
            </w:r>
          </w:p>
        </w:tc>
        <w:tc>
          <w:tcPr>
            <w:tcW w:w="1216" w:type="dxa"/>
            <w:noWrap w:val="0"/>
            <w:vAlign w:val="center"/>
          </w:tcPr>
          <w:p w14:paraId="61261949">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239.74</w:t>
            </w:r>
          </w:p>
        </w:tc>
        <w:tc>
          <w:tcPr>
            <w:tcW w:w="1365" w:type="dxa"/>
            <w:noWrap w:val="0"/>
            <w:vAlign w:val="center"/>
          </w:tcPr>
          <w:p w14:paraId="14286D4D">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239.74</w:t>
            </w:r>
          </w:p>
        </w:tc>
        <w:tc>
          <w:tcPr>
            <w:tcW w:w="1319" w:type="dxa"/>
            <w:noWrap w:val="0"/>
            <w:vAlign w:val="center"/>
          </w:tcPr>
          <w:p w14:paraId="604E7286">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239.74</w:t>
            </w:r>
          </w:p>
        </w:tc>
        <w:tc>
          <w:tcPr>
            <w:tcW w:w="1171" w:type="dxa"/>
            <w:noWrap w:val="0"/>
            <w:vAlign w:val="center"/>
          </w:tcPr>
          <w:p w14:paraId="7FF8061D">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highlight w:val="none"/>
                <w:vertAlign w:val="baseline"/>
                <w:lang w:val="en-US" w:eastAsia="zh-CN"/>
              </w:rPr>
              <w:t>239.74</w:t>
            </w:r>
          </w:p>
        </w:tc>
      </w:tr>
      <w:tr w14:paraId="66B62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trPr>
        <w:tc>
          <w:tcPr>
            <w:tcW w:w="2290" w:type="dxa"/>
            <w:noWrap w:val="0"/>
            <w:vAlign w:val="center"/>
          </w:tcPr>
          <w:p w14:paraId="5B386404">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eastAsia" w:ascii="仿宋" w:hAnsi="仿宋" w:eastAsia="仿宋" w:cs="仿宋"/>
                <w:sz w:val="21"/>
                <w:szCs w:val="21"/>
                <w:vertAlign w:val="baseline"/>
                <w:lang w:eastAsia="zh-CN"/>
              </w:rPr>
            </w:pPr>
            <w:r>
              <w:rPr>
                <w:rFonts w:hint="eastAsia" w:ascii="仿宋" w:hAnsi="仿宋" w:eastAsia="仿宋" w:cs="仿宋"/>
                <w:sz w:val="21"/>
                <w:szCs w:val="21"/>
                <w:vertAlign w:val="baseline"/>
                <w:lang w:eastAsia="zh-CN"/>
              </w:rPr>
              <w:t>合计</w:t>
            </w:r>
          </w:p>
        </w:tc>
        <w:tc>
          <w:tcPr>
            <w:tcW w:w="959" w:type="dxa"/>
            <w:noWrap w:val="0"/>
            <w:vAlign w:val="center"/>
          </w:tcPr>
          <w:p w14:paraId="3EE71FB3">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507.52</w:t>
            </w:r>
          </w:p>
        </w:tc>
        <w:tc>
          <w:tcPr>
            <w:tcW w:w="1216" w:type="dxa"/>
            <w:noWrap w:val="0"/>
            <w:vAlign w:val="center"/>
          </w:tcPr>
          <w:p w14:paraId="5062F9A5">
            <w:pPr>
              <w:pStyle w:val="8"/>
              <w:keepNext w:val="0"/>
              <w:keepLines w:val="0"/>
              <w:pageBreakBefore w:val="0"/>
              <w:kinsoku/>
              <w:wordWrap/>
              <w:overflowPunct/>
              <w:topLinePunct w:val="0"/>
              <w:autoSpaceDE/>
              <w:bidi w:val="0"/>
              <w:adjustRightInd/>
              <w:snapToGrid/>
              <w:spacing w:line="360" w:lineRule="auto"/>
              <w:ind w:left="0" w:leftChars="0" w:firstLine="0" w:firstLineChars="0"/>
              <w:jc w:val="both"/>
              <w:textAlignment w:val="auto"/>
              <w:rPr>
                <w:rFonts w:hint="default" w:ascii="仿宋" w:hAnsi="仿宋" w:eastAsia="仿宋" w:cs="仿宋"/>
                <w:sz w:val="21"/>
                <w:szCs w:val="21"/>
                <w:vertAlign w:val="baseline"/>
                <w:lang w:val="en-US" w:eastAsia="zh-CN"/>
              </w:rPr>
            </w:pPr>
            <w:r>
              <w:rPr>
                <w:rFonts w:hint="default" w:ascii="仿宋" w:hAnsi="仿宋" w:eastAsia="仿宋" w:cs="仿宋"/>
                <w:sz w:val="21"/>
                <w:szCs w:val="21"/>
                <w:vertAlign w:val="baseline"/>
                <w:lang w:val="en-US" w:eastAsia="zh-CN"/>
              </w:rPr>
              <w:t>21915.53</w:t>
            </w:r>
          </w:p>
        </w:tc>
        <w:tc>
          <w:tcPr>
            <w:tcW w:w="1365" w:type="dxa"/>
            <w:noWrap w:val="0"/>
            <w:vAlign w:val="center"/>
          </w:tcPr>
          <w:p w14:paraId="2D246921">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highlight w:val="none"/>
                <w:vertAlign w:val="baseline"/>
                <w:lang w:val="en-US" w:eastAsia="zh-CN"/>
              </w:rPr>
            </w:pPr>
            <w:r>
              <w:rPr>
                <w:rFonts w:hint="eastAsia" w:ascii="仿宋" w:hAnsi="仿宋" w:eastAsia="仿宋" w:cs="仿宋"/>
                <w:sz w:val="21"/>
                <w:szCs w:val="21"/>
                <w:highlight w:val="none"/>
                <w:vertAlign w:val="baseline"/>
                <w:lang w:val="en-US" w:eastAsia="zh-CN"/>
              </w:rPr>
              <w:t>---</w:t>
            </w:r>
          </w:p>
        </w:tc>
        <w:tc>
          <w:tcPr>
            <w:tcW w:w="1319" w:type="dxa"/>
            <w:noWrap w:val="0"/>
            <w:vAlign w:val="center"/>
          </w:tcPr>
          <w:p w14:paraId="07713551">
            <w:pPr>
              <w:pStyle w:val="8"/>
              <w:keepNext w:val="0"/>
              <w:keepLines w:val="0"/>
              <w:pageBreakBefore w:val="0"/>
              <w:kinsoku/>
              <w:wordWrap/>
              <w:overflowPunct/>
              <w:topLinePunct w:val="0"/>
              <w:autoSpaceDE/>
              <w:bidi w:val="0"/>
              <w:adjustRightInd/>
              <w:snapToGrid/>
              <w:spacing w:line="360" w:lineRule="auto"/>
              <w:ind w:left="0" w:leftChars="0" w:firstLine="0" w:firstLineChars="0"/>
              <w:jc w:val="both"/>
              <w:textAlignment w:val="auto"/>
              <w:rPr>
                <w:rFonts w:hint="default" w:ascii="仿宋" w:hAnsi="仿宋" w:eastAsia="仿宋" w:cs="仿宋"/>
                <w:sz w:val="18"/>
                <w:szCs w:val="18"/>
                <w:highlight w:val="none"/>
                <w:vertAlign w:val="baseline"/>
                <w:lang w:val="en-US" w:eastAsia="zh-CN"/>
              </w:rPr>
            </w:pPr>
            <w:r>
              <w:rPr>
                <w:rFonts w:hint="eastAsia" w:ascii="仿宋" w:hAnsi="仿宋" w:eastAsia="仿宋" w:cs="仿宋"/>
                <w:sz w:val="21"/>
                <w:szCs w:val="21"/>
                <w:highlight w:val="none"/>
                <w:vertAlign w:val="baseline"/>
                <w:lang w:val="en-US" w:eastAsia="zh-CN"/>
              </w:rPr>
              <w:t>22229.76</w:t>
            </w:r>
          </w:p>
        </w:tc>
        <w:tc>
          <w:tcPr>
            <w:tcW w:w="1171" w:type="dxa"/>
            <w:noWrap w:val="0"/>
            <w:vAlign w:val="center"/>
          </w:tcPr>
          <w:p w14:paraId="5A6088FB">
            <w:pPr>
              <w:pStyle w:val="8"/>
              <w:keepNext w:val="0"/>
              <w:keepLines w:val="0"/>
              <w:pageBreakBefore w:val="0"/>
              <w:kinsoku/>
              <w:wordWrap/>
              <w:overflowPunct/>
              <w:topLinePunct w:val="0"/>
              <w:autoSpaceDE/>
              <w:bidi w:val="0"/>
              <w:adjustRightInd/>
              <w:snapToGrid/>
              <w:spacing w:line="360" w:lineRule="auto"/>
              <w:ind w:left="0" w:leftChars="0" w:firstLine="0" w:firstLineChars="0"/>
              <w:jc w:val="center"/>
              <w:textAlignment w:val="auto"/>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r>
    </w:tbl>
    <w:p w14:paraId="162E345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0"/>
        <w:jc w:val="both"/>
        <w:textAlignment w:val="auto"/>
        <w:outlineLvl w:val="9"/>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 xml:space="preserve">                                               单位：万元</w:t>
      </w:r>
    </w:p>
    <w:p w14:paraId="78F5FA5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0"/>
        <w:jc w:val="both"/>
        <w:textAlignment w:val="auto"/>
        <w:outlineLvl w:val="9"/>
        <w:rPr>
          <w:rFonts w:hint="eastAsia" w:ascii="楷体" w:hAnsi="楷体" w:eastAsia="楷体" w:cs="楷体"/>
          <w:sz w:val="32"/>
          <w:szCs w:val="32"/>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2）</w:t>
      </w:r>
      <w:r>
        <w:rPr>
          <w:rFonts w:hint="eastAsia" w:ascii="楷体" w:hAnsi="楷体" w:eastAsia="楷体" w:cs="楷体"/>
          <w:sz w:val="32"/>
          <w:szCs w:val="32"/>
        </w:rPr>
        <w:t>差异原因分析</w:t>
      </w:r>
    </w:p>
    <w:p w14:paraId="59AD938B">
      <w:pPr>
        <w:pStyle w:val="8"/>
        <w:keepNext w:val="0"/>
        <w:keepLines w:val="0"/>
        <w:pageBreakBefore w:val="0"/>
        <w:widowControl w:val="0"/>
        <w:kinsoku/>
        <w:wordWrap/>
        <w:overflowPunct/>
        <w:topLinePunct w:val="0"/>
        <w:autoSpaceDE/>
        <w:bidi w:val="0"/>
        <w:adjustRightInd/>
        <w:snapToGrid/>
        <w:spacing w:line="360" w:lineRule="auto"/>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城乡社区支出：本年收入比预算增加21182.14万元，本年支出比预算增加21496.38万元。主要原因是：年度执行中，增加了省文印宿舍项目居民补偿款、增加了保晋南街棚户区改造项目7号地块征收成本返还等项目资金。</w:t>
      </w:r>
    </w:p>
    <w:p w14:paraId="357AA12D">
      <w:pPr>
        <w:pStyle w:val="8"/>
        <w:keepNext w:val="0"/>
        <w:keepLines w:val="0"/>
        <w:pageBreakBefore w:val="0"/>
        <w:widowControl w:val="0"/>
        <w:kinsoku/>
        <w:wordWrap/>
        <w:overflowPunct/>
        <w:topLinePunct w:val="0"/>
        <w:autoSpaceDE/>
        <w:bidi w:val="0"/>
        <w:adjustRightInd/>
        <w:snapToGrid/>
        <w:spacing w:line="360" w:lineRule="auto"/>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社会保障和就业支出：本年收入比预算减少2.42万元，本年支出比预算减少2.42万元，原因是：本年退休一名职工。</w:t>
      </w:r>
    </w:p>
    <w:p w14:paraId="1B0FFE5B">
      <w:pPr>
        <w:pStyle w:val="8"/>
        <w:keepNext w:val="0"/>
        <w:keepLines w:val="0"/>
        <w:pageBreakBefore w:val="0"/>
        <w:widowControl w:val="0"/>
        <w:kinsoku/>
        <w:wordWrap/>
        <w:overflowPunct/>
        <w:topLinePunct w:val="0"/>
        <w:autoSpaceDE/>
        <w:bidi w:val="0"/>
        <w:adjustRightInd/>
        <w:snapToGrid/>
        <w:spacing w:line="360" w:lineRule="auto"/>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卫生健康支出：本年收入比预算减少8.86万元，本年收入比预算减少8.86万元。主要原因是：本年退休一名职工，调走一名职工。</w:t>
      </w:r>
    </w:p>
    <w:p w14:paraId="2B29B815">
      <w:pPr>
        <w:pStyle w:val="8"/>
        <w:keepNext w:val="0"/>
        <w:keepLines w:val="0"/>
        <w:pageBreakBefore w:val="0"/>
        <w:widowControl w:val="0"/>
        <w:kinsoku/>
        <w:wordWrap/>
        <w:overflowPunct/>
        <w:topLinePunct w:val="0"/>
        <w:autoSpaceDE/>
        <w:bidi w:val="0"/>
        <w:adjustRightInd/>
        <w:snapToGrid/>
        <w:spacing w:line="360" w:lineRule="auto"/>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住房保障支出：本年收入比预算减少2.6万元，本年支出比预算减少2.6万元，原因是：本年退休一名职工，调走一名职工。</w:t>
      </w:r>
    </w:p>
    <w:p w14:paraId="5A9111E9">
      <w:pPr>
        <w:pStyle w:val="8"/>
        <w:keepNext w:val="0"/>
        <w:keepLines w:val="0"/>
        <w:pageBreakBefore w:val="0"/>
        <w:widowControl w:val="0"/>
        <w:kinsoku/>
        <w:wordWrap/>
        <w:overflowPunct/>
        <w:topLinePunct w:val="0"/>
        <w:autoSpaceDE/>
        <w:bidi w:val="0"/>
        <w:adjustRightInd/>
        <w:snapToGrid/>
        <w:spacing w:line="360" w:lineRule="auto"/>
        <w:textAlignment w:val="auto"/>
        <w:rPr>
          <w:sz w:val="32"/>
          <w:szCs w:val="32"/>
        </w:rPr>
      </w:pPr>
      <w:r>
        <w:rPr>
          <w:rFonts w:hint="eastAsia" w:ascii="仿宋" w:hAnsi="仿宋" w:eastAsia="仿宋" w:cs="仿宋"/>
          <w:kern w:val="2"/>
          <w:sz w:val="32"/>
          <w:szCs w:val="32"/>
          <w:lang w:val="en-US" w:eastAsia="zh-CN" w:bidi="ar-SA"/>
        </w:rPr>
        <w:t>其他支出：本年收入比预算增加239.74万元，本年支出比预算增加239.74万元，原因是：本年增加了其他政府性基金及对应专项债务收入安排的支出。</w:t>
      </w:r>
    </w:p>
    <w:p w14:paraId="38636D96">
      <w:pPr>
        <w:numPr>
          <w:ilvl w:val="0"/>
          <w:numId w:val="1"/>
        </w:numPr>
        <w:adjustRightInd w:val="0"/>
        <w:snapToGrid w:val="0"/>
        <w:spacing w:line="560" w:lineRule="exact"/>
        <w:ind w:left="0" w:leftChars="0" w:firstLine="640" w:firstLineChars="200"/>
        <w:rPr>
          <w:sz w:val="32"/>
          <w:szCs w:val="32"/>
        </w:rPr>
      </w:pPr>
      <w:r>
        <w:rPr>
          <w:rFonts w:hint="eastAsia" w:ascii="楷体" w:hAnsi="楷体" w:eastAsia="楷体" w:cs="楷体_GB2312"/>
          <w:bCs/>
          <w:sz w:val="32"/>
          <w:szCs w:val="32"/>
        </w:rPr>
        <w:t>部门整体支出绩效目标、指标</w:t>
      </w:r>
    </w:p>
    <w:p w14:paraId="78A70436">
      <w:pPr>
        <w:pStyle w:val="8"/>
        <w:keepNext w:val="0"/>
        <w:keepLines w:val="0"/>
        <w:pageBreakBefore w:val="0"/>
        <w:widowControl w:val="0"/>
        <w:kinsoku/>
        <w:wordWrap/>
        <w:overflowPunct/>
        <w:topLinePunct w:val="0"/>
        <w:autoSpaceDE/>
        <w:bidi w:val="0"/>
        <w:adjustRightInd/>
        <w:snapToGrid/>
        <w:spacing w:line="360" w:lineRule="auto"/>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桥西区房屋征收中心2025年收入预算507.52万元。按照收入来源划分：财政拨款收入507.52万元，占100%；事业收入0万元，占0%。按照功能科目划分：城乡社区支出348.08万元占68.58%；卫生健康支出26.4万元，占5.2%；社会保障和就业支出101.5万元，占20%；住房保障支出31.54万元，占6.21%。</w:t>
      </w:r>
    </w:p>
    <w:p w14:paraId="1202EED5">
      <w:pPr>
        <w:pStyle w:val="8"/>
        <w:keepNext w:val="0"/>
        <w:keepLines w:val="0"/>
        <w:pageBreakBefore w:val="0"/>
        <w:widowControl w:val="0"/>
        <w:kinsoku/>
        <w:wordWrap/>
        <w:overflowPunct/>
        <w:topLinePunct w:val="0"/>
        <w:autoSpaceDE/>
        <w:bidi w:val="0"/>
        <w:adjustRightInd/>
        <w:snapToGrid/>
        <w:spacing w:line="360" w:lineRule="auto"/>
        <w:textAlignment w:val="auto"/>
      </w:pPr>
      <w:r>
        <w:rPr>
          <w:rFonts w:hint="eastAsia" w:ascii="仿宋" w:hAnsi="仿宋" w:eastAsia="仿宋" w:cs="仿宋"/>
          <w:kern w:val="2"/>
          <w:sz w:val="32"/>
          <w:szCs w:val="32"/>
          <w:lang w:val="en-US" w:eastAsia="zh-CN" w:bidi="ar-SA"/>
        </w:rPr>
        <w:t>2025年收入决算数21915.53万元，按照收入来源划分：一般公共预算收入454.65万元，占2.07%；政府性基金预算收入21460.88万元，占97.93%。按照功能科目划分：城乡社区支出21844.46万元占99.68%，卫生健康支出占17.54万元0.08%，住房保障支出28.94万元占0.13%，社会保障和就业支出99.08万元占0.45%。</w:t>
      </w:r>
    </w:p>
    <w:p w14:paraId="55297CD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C0BEFEE">
      <w:pPr>
        <w:spacing w:line="560" w:lineRule="exact"/>
        <w:rPr>
          <w:rFonts w:hint="eastAsia" w:ascii="楷体" w:hAnsi="楷体" w:eastAsia="楷体" w:cs="楷体"/>
          <w:sz w:val="32"/>
          <w:szCs w:val="32"/>
        </w:rPr>
      </w:pPr>
      <w:r>
        <w:rPr>
          <w:rFonts w:hint="eastAsia" w:ascii="楷体" w:hAnsi="楷体" w:eastAsia="楷体" w:cs="楷体"/>
          <w:b/>
          <w:bCs/>
          <w:sz w:val="32"/>
          <w:szCs w:val="32"/>
        </w:rPr>
        <w:t xml:space="preserve">     </w:t>
      </w:r>
      <w:r>
        <w:rPr>
          <w:rFonts w:hint="eastAsia" w:ascii="楷体" w:hAnsi="楷体" w:eastAsia="楷体" w:cs="楷体"/>
          <w:bCs/>
          <w:sz w:val="32"/>
          <w:szCs w:val="32"/>
        </w:rPr>
        <w:t>（一）自评的组织工作</w:t>
      </w:r>
    </w:p>
    <w:p w14:paraId="4E2A107D">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kern w:val="2"/>
          <w:sz w:val="32"/>
          <w:szCs w:val="32"/>
          <w:shd w:val="clear" w:color="auto" w:fill="auto"/>
          <w:lang w:val="en-US" w:eastAsia="zh-CN" w:bidi="ar-SA"/>
        </w:rPr>
      </w:pPr>
      <w:r>
        <w:rPr>
          <w:rFonts w:hint="eastAsia" w:ascii="仿宋" w:hAnsi="仿宋" w:eastAsia="仿宋"/>
          <w:sz w:val="32"/>
          <w:szCs w:val="32"/>
        </w:rPr>
        <w:t xml:space="preserve"> </w:t>
      </w:r>
      <w:r>
        <w:rPr>
          <w:rFonts w:hint="eastAsia" w:ascii="仿宋" w:hAnsi="仿宋" w:eastAsia="仿宋" w:cs="仿宋"/>
          <w:sz w:val="32"/>
          <w:szCs w:val="32"/>
          <w:shd w:val="clear" w:color="auto" w:fill="auto"/>
          <w:lang w:val="en-US" w:eastAsia="zh-CN"/>
        </w:rPr>
        <w:t>2025年在桥西区委、区政府的正确领导下，在区直各部门的大力支持下，我单位认真贯彻学习会议精神，</w:t>
      </w:r>
      <w:r>
        <w:rPr>
          <w:rFonts w:hint="eastAsia" w:ascii="仿宋" w:hAnsi="仿宋" w:eastAsia="仿宋" w:cs="仿宋"/>
          <w:sz w:val="32"/>
          <w:szCs w:val="32"/>
        </w:rPr>
        <w:t>始终把征收工作“和谐征收”作为出发点，把公开、公正、公平作为落脚点，不断创新工作思路，转变工作作风，有力推动我区房屋征收工作的顺利开展。</w:t>
      </w:r>
    </w:p>
    <w:p w14:paraId="35FFE991">
      <w:pPr>
        <w:numPr>
          <w:ilvl w:val="0"/>
          <w:numId w:val="2"/>
        </w:numPr>
        <w:spacing w:line="560" w:lineRule="exact"/>
        <w:rPr>
          <w:rFonts w:hint="eastAsia" w:ascii="楷体" w:hAnsi="楷体" w:eastAsia="楷体" w:cs="楷体"/>
          <w:bCs/>
          <w:sz w:val="32"/>
          <w:szCs w:val="32"/>
        </w:rPr>
      </w:pPr>
      <w:r>
        <w:rPr>
          <w:rFonts w:hint="eastAsia" w:ascii="楷体" w:hAnsi="楷体" w:eastAsia="楷体" w:cs="楷体"/>
          <w:bCs/>
          <w:sz w:val="32"/>
          <w:szCs w:val="32"/>
        </w:rPr>
        <w:t>自评的方法和过程</w:t>
      </w:r>
    </w:p>
    <w:p w14:paraId="3E08A984">
      <w:pPr>
        <w:keepNext w:val="0"/>
        <w:keepLines w:val="0"/>
        <w:pageBreakBefore w:val="0"/>
        <w:widowControl w:val="0"/>
        <w:kinsoku/>
        <w:wordWrap/>
        <w:overflowPunct/>
        <w:topLinePunct w:val="0"/>
        <w:autoSpaceDE/>
        <w:bidi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我单位成立了评价小组制定相关项目实施方案等；我单位对该项目相关资料的真实性、完整性、合法性、实施情况逐项查核并详细核查会计记录，形成绩效自评报告；</w:t>
      </w:r>
    </w:p>
    <w:p w14:paraId="0EF8F59F">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EDEC558">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8F2AAA2">
      <w:pPr>
        <w:keepNext w:val="0"/>
        <w:keepLines w:val="0"/>
        <w:pageBreakBefore w:val="0"/>
        <w:widowControl w:val="0"/>
        <w:kinsoku/>
        <w:wordWrap/>
        <w:overflowPunct/>
        <w:topLinePunct w:val="0"/>
        <w:autoSpaceDE/>
        <w:bidi w:val="0"/>
        <w:spacing w:line="360" w:lineRule="auto"/>
        <w:ind w:left="0" w:leftChars="0" w:right="0" w:firstLine="640" w:firstLineChars="200"/>
        <w:textAlignment w:val="auto"/>
        <w:outlineLvl w:val="9"/>
        <w:rPr>
          <w:rFonts w:ascii="仿宋" w:hAnsi="仿宋" w:eastAsia="仿宋"/>
          <w:sz w:val="32"/>
          <w:szCs w:val="32"/>
        </w:rPr>
      </w:pPr>
      <w:r>
        <w:rPr>
          <w:rFonts w:hint="eastAsia" w:ascii="仿宋" w:hAnsi="仿宋" w:eastAsia="仿宋" w:cs="仿宋"/>
          <w:sz w:val="32"/>
          <w:szCs w:val="32"/>
        </w:rPr>
        <w:t>在区委、区政府的正确领导下，始终把征收工作“和谐征收”作为出发点，把公开、公正、公平作为落脚点，不断创新工作思路，转变工作作风，有力推动我区房屋征收工作的顺利开展。</w:t>
      </w:r>
      <w:r>
        <w:rPr>
          <w:rFonts w:hint="eastAsia" w:ascii="仿宋" w:hAnsi="仿宋" w:eastAsia="仿宋" w:cs="仿宋"/>
          <w:sz w:val="32"/>
          <w:szCs w:val="32"/>
          <w:lang w:eastAsia="zh-CN"/>
        </w:rPr>
        <w:t>准确把握</w:t>
      </w:r>
      <w:r>
        <w:rPr>
          <w:rFonts w:hint="eastAsia" w:ascii="仿宋" w:hAnsi="仿宋" w:eastAsia="仿宋" w:cs="仿宋"/>
          <w:sz w:val="32"/>
          <w:szCs w:val="32"/>
        </w:rPr>
        <w:t>面临的困难形势，切实增强工作责任感和紧迫感，克服畏难情绪，积极主动作为，进一步形成强势推进征拆工作的良好局面，掀起征地拆迁和房屋征收工作</w:t>
      </w:r>
      <w:r>
        <w:rPr>
          <w:rFonts w:hint="eastAsia" w:ascii="仿宋" w:hAnsi="仿宋" w:eastAsia="仿宋" w:cs="仿宋"/>
          <w:sz w:val="32"/>
          <w:szCs w:val="32"/>
          <w:lang w:eastAsia="zh-CN"/>
        </w:rPr>
        <w:t>的新高</w:t>
      </w:r>
      <w:r>
        <w:rPr>
          <w:rFonts w:hint="eastAsia" w:ascii="仿宋" w:hAnsi="仿宋" w:eastAsia="仿宋" w:cs="仿宋"/>
          <w:sz w:val="32"/>
          <w:szCs w:val="32"/>
        </w:rPr>
        <w:t>潮。</w:t>
      </w:r>
    </w:p>
    <w:p w14:paraId="67028FF8">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B03FDF0">
      <w:pPr>
        <w:pStyle w:val="8"/>
        <w:keepNext w:val="0"/>
        <w:keepLines w:val="0"/>
        <w:pageBreakBefore w:val="0"/>
        <w:widowControl w:val="0"/>
        <w:kinsoku/>
        <w:wordWrap/>
        <w:overflowPunct/>
        <w:topLinePunct w:val="0"/>
        <w:autoSpaceDE/>
        <w:autoSpaceDN/>
        <w:bidi w:val="0"/>
        <w:adjustRightInd/>
        <w:snapToGrid/>
        <w:spacing w:beforeAutospacing="0" w:afterAutospacing="0" w:line="579" w:lineRule="exact"/>
        <w:ind w:left="0" w:leftChars="0" w:firstLine="640" w:firstLineChars="200"/>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一是高效完成文印中心宿舍项目收购。成立专班强化工作力量，自启动文印中心宿舍项目收购工作以来，通过与辖区办事处的紧密配合，仅15天时间全部完成48户居民的补偿和房屋拆除工作，拆除房屋建筑面积2503平方米。二是全力做好市政公益项目征迁工作，积极推进轨道交通工程征迁工作。同时，重点推进轨道交通1号线三期工程（上西区间）项目征收工作。三是主动作为开展集体土地转征。重点实施城中村改造配套基础设施道路项目南郭路等道路集体土地转征工作。</w:t>
      </w:r>
    </w:p>
    <w:p w14:paraId="4CDB398F">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98F01A0">
      <w:pPr>
        <w:spacing w:line="560" w:lineRule="exact"/>
        <w:ind w:firstLine="640" w:firstLineChars="200"/>
        <w:rPr>
          <w:rFonts w:hint="eastAsia" w:ascii="黑体" w:hAnsi="黑体" w:eastAsia="黑体"/>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718D323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DB780D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B4F54D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200" w:right="0" w:rightChars="0" w:firstLine="640" w:firstLineChars="200"/>
        <w:textAlignment w:val="auto"/>
        <w:outlineLvl w:val="9"/>
        <w:rPr>
          <w:rFonts w:hint="eastAsia" w:ascii="楷体" w:hAnsi="楷体" w:eastAsia="楷体"/>
          <w:bCs/>
          <w:sz w:val="32"/>
          <w:szCs w:val="32"/>
        </w:rPr>
      </w:pPr>
      <w:r>
        <w:rPr>
          <w:rFonts w:hint="eastAsia" w:ascii="仿宋" w:hAnsi="仿宋" w:eastAsia="仿宋" w:cs="仿宋"/>
          <w:sz w:val="32"/>
          <w:szCs w:val="32"/>
          <w:lang w:eastAsia="zh-CN"/>
        </w:rPr>
        <w:t>在预算资金执行情况方面未考虑到因外部因素及不可抗力等原因造成的资金支付比例未达到预算要求。</w:t>
      </w:r>
    </w:p>
    <w:p w14:paraId="5DEA063A">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09CA5533">
      <w:pPr>
        <w:keepNext w:val="0"/>
        <w:keepLines w:val="0"/>
        <w:pageBreakBefore w:val="0"/>
        <w:widowControl w:val="0"/>
        <w:kinsoku/>
        <w:wordWrap/>
        <w:overflowPunct/>
        <w:topLinePunct w:val="0"/>
        <w:autoSpaceDE/>
        <w:autoSpaceDN/>
        <w:bidi w:val="0"/>
        <w:adjustRightInd/>
        <w:snapToGrid/>
        <w:spacing w:line="360" w:lineRule="auto"/>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要明确工作任务</w:t>
      </w:r>
      <w:r>
        <w:rPr>
          <w:rFonts w:hint="eastAsia" w:ascii="仿宋" w:hAnsi="仿宋" w:eastAsia="仿宋" w:cs="仿宋"/>
          <w:sz w:val="32"/>
          <w:szCs w:val="32"/>
          <w:lang w:eastAsia="zh-CN"/>
        </w:rPr>
        <w:t>、制定工作方案</w:t>
      </w:r>
      <w:r>
        <w:rPr>
          <w:rFonts w:hint="eastAsia" w:ascii="仿宋" w:hAnsi="仿宋" w:eastAsia="仿宋" w:cs="仿宋"/>
          <w:sz w:val="32"/>
          <w:szCs w:val="32"/>
        </w:rPr>
        <w:t>。根据任务去定目标、做方案、行举措，集中时间、集中力量解决全年任务中最紧要、最突出、最</w:t>
      </w:r>
      <w:r>
        <w:rPr>
          <w:rFonts w:hint="eastAsia" w:ascii="仿宋" w:hAnsi="仿宋" w:eastAsia="仿宋" w:cs="仿宋"/>
          <w:sz w:val="32"/>
          <w:szCs w:val="32"/>
          <w:lang w:eastAsia="zh-CN"/>
        </w:rPr>
        <w:t>困难</w:t>
      </w:r>
      <w:r>
        <w:rPr>
          <w:rFonts w:hint="eastAsia" w:ascii="仿宋" w:hAnsi="仿宋" w:eastAsia="仿宋" w:cs="仿宋"/>
          <w:sz w:val="32"/>
          <w:szCs w:val="32"/>
        </w:rPr>
        <w:t>的项目。</w:t>
      </w:r>
    </w:p>
    <w:p w14:paraId="71DB699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要创新工作方式。房屋征收工作涉及千家万户的切身利益，关系经济社会的发展和稳定。要创新工作理念和工作方式，努力破解征拆过程中的难题。 </w:t>
      </w:r>
    </w:p>
    <w:p w14:paraId="3E577E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要</w:t>
      </w:r>
      <w:r>
        <w:rPr>
          <w:rFonts w:hint="eastAsia" w:ascii="仿宋" w:hAnsi="仿宋" w:eastAsia="仿宋" w:cs="仿宋"/>
          <w:sz w:val="32"/>
          <w:szCs w:val="32"/>
        </w:rPr>
        <w:t>坚持依法</w:t>
      </w:r>
      <w:r>
        <w:rPr>
          <w:rFonts w:hint="eastAsia" w:ascii="仿宋" w:hAnsi="仿宋" w:eastAsia="仿宋" w:cs="仿宋"/>
          <w:sz w:val="32"/>
          <w:szCs w:val="32"/>
          <w:lang w:eastAsia="zh-CN"/>
        </w:rPr>
        <w:t>征收</w:t>
      </w:r>
      <w:r>
        <w:rPr>
          <w:rFonts w:hint="eastAsia" w:ascii="仿宋" w:hAnsi="仿宋" w:eastAsia="仿宋" w:cs="仿宋"/>
          <w:sz w:val="32"/>
          <w:szCs w:val="32"/>
        </w:rPr>
        <w:t>。</w:t>
      </w:r>
      <w:r>
        <w:rPr>
          <w:rFonts w:hint="eastAsia" w:ascii="仿宋" w:hAnsi="仿宋" w:eastAsia="仿宋" w:cs="仿宋"/>
          <w:sz w:val="32"/>
          <w:szCs w:val="32"/>
          <w:lang w:eastAsia="zh-CN"/>
        </w:rPr>
        <w:t>征收工作</w:t>
      </w:r>
      <w:r>
        <w:rPr>
          <w:rFonts w:hint="eastAsia" w:ascii="仿宋" w:hAnsi="仿宋" w:eastAsia="仿宋" w:cs="仿宋"/>
          <w:sz w:val="32"/>
          <w:szCs w:val="32"/>
        </w:rPr>
        <w:t>是一项利益最集中、矛盾最尖锐的工作，每一个</w:t>
      </w:r>
      <w:r>
        <w:rPr>
          <w:rFonts w:hint="eastAsia" w:ascii="仿宋" w:hAnsi="仿宋" w:eastAsia="仿宋" w:cs="仿宋"/>
          <w:sz w:val="32"/>
          <w:szCs w:val="32"/>
          <w:lang w:eastAsia="zh-CN"/>
        </w:rPr>
        <w:t>被征收人</w:t>
      </w:r>
      <w:r>
        <w:rPr>
          <w:rFonts w:hint="eastAsia" w:ascii="仿宋" w:hAnsi="仿宋" w:eastAsia="仿宋" w:cs="仿宋"/>
          <w:sz w:val="32"/>
          <w:szCs w:val="32"/>
        </w:rPr>
        <w:t>都希望获得更多的补偿，这是人之常情。但政府作为</w:t>
      </w:r>
      <w:r>
        <w:rPr>
          <w:rFonts w:hint="eastAsia" w:ascii="仿宋" w:hAnsi="仿宋" w:eastAsia="仿宋" w:cs="仿宋"/>
          <w:sz w:val="32"/>
          <w:szCs w:val="32"/>
          <w:lang w:eastAsia="zh-CN"/>
        </w:rPr>
        <w:t>征收</w:t>
      </w:r>
      <w:r>
        <w:rPr>
          <w:rFonts w:hint="eastAsia" w:ascii="仿宋" w:hAnsi="仿宋" w:eastAsia="仿宋" w:cs="仿宋"/>
          <w:sz w:val="32"/>
          <w:szCs w:val="32"/>
        </w:rPr>
        <w:t>的主体，必须以政策为依据，以法律为准绳，一把尺子量到底，一个政策执行到底。要坚持</w:t>
      </w:r>
      <w:r>
        <w:rPr>
          <w:rFonts w:hint="eastAsia" w:ascii="仿宋" w:hAnsi="仿宋" w:eastAsia="仿宋" w:cs="仿宋"/>
          <w:sz w:val="32"/>
          <w:szCs w:val="32"/>
          <w:lang w:eastAsia="zh-CN"/>
        </w:rPr>
        <w:t>征收</w:t>
      </w:r>
      <w:r>
        <w:rPr>
          <w:rFonts w:hint="eastAsia" w:ascii="仿宋" w:hAnsi="仿宋" w:eastAsia="仿宋" w:cs="仿宋"/>
          <w:sz w:val="32"/>
          <w:szCs w:val="32"/>
        </w:rPr>
        <w:t>面前人人平等，执行政策处处公正，杜绝“人情标准”和“暗箱操作”。</w:t>
      </w:r>
    </w:p>
    <w:p w14:paraId="3C4F6752">
      <w:pPr>
        <w:adjustRightInd w:val="0"/>
        <w:snapToGrid w:val="0"/>
        <w:spacing w:line="560" w:lineRule="exact"/>
        <w:ind w:firstLine="640" w:firstLineChars="200"/>
        <w:rPr>
          <w:rFonts w:ascii="黑体" w:hAnsi="黑体" w:eastAsia="黑体"/>
          <w:sz w:val="32"/>
          <w:szCs w:val="32"/>
        </w:rPr>
      </w:pPr>
      <w:bookmarkStart w:id="0" w:name="_GoBack"/>
      <w:bookmarkEnd w:id="0"/>
    </w:p>
    <w:p w14:paraId="36118BEE">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297BF">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E067F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FE067F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137EF50"/>
    <w:multiLevelType w:val="singleLevel"/>
    <w:tmpl w:val="4137EF50"/>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6E4311A"/>
    <w:rsid w:val="07956271"/>
    <w:rsid w:val="09075F23"/>
    <w:rsid w:val="09721397"/>
    <w:rsid w:val="0BB63BED"/>
    <w:rsid w:val="0EB97A43"/>
    <w:rsid w:val="0EBD2122"/>
    <w:rsid w:val="0ED96385"/>
    <w:rsid w:val="0F214EAE"/>
    <w:rsid w:val="10884BE6"/>
    <w:rsid w:val="11674D42"/>
    <w:rsid w:val="11B71E6A"/>
    <w:rsid w:val="16B2168B"/>
    <w:rsid w:val="1A0354C5"/>
    <w:rsid w:val="1AAF0063"/>
    <w:rsid w:val="1BE140DE"/>
    <w:rsid w:val="1C092B88"/>
    <w:rsid w:val="1E542E40"/>
    <w:rsid w:val="2284238D"/>
    <w:rsid w:val="248C197D"/>
    <w:rsid w:val="252959AF"/>
    <w:rsid w:val="26BE72FA"/>
    <w:rsid w:val="277A6671"/>
    <w:rsid w:val="292D35B7"/>
    <w:rsid w:val="33EB6CFF"/>
    <w:rsid w:val="35A12947"/>
    <w:rsid w:val="35B23543"/>
    <w:rsid w:val="36440BEC"/>
    <w:rsid w:val="37387040"/>
    <w:rsid w:val="3B625C0A"/>
    <w:rsid w:val="3CEE1963"/>
    <w:rsid w:val="3F1B7587"/>
    <w:rsid w:val="436B78D3"/>
    <w:rsid w:val="44DF4BB3"/>
    <w:rsid w:val="4BFF099B"/>
    <w:rsid w:val="4C9C27FE"/>
    <w:rsid w:val="4F1D0427"/>
    <w:rsid w:val="512260B4"/>
    <w:rsid w:val="52BD6ACB"/>
    <w:rsid w:val="55537534"/>
    <w:rsid w:val="561A74F1"/>
    <w:rsid w:val="58B17416"/>
    <w:rsid w:val="597244E8"/>
    <w:rsid w:val="5AE2190C"/>
    <w:rsid w:val="5C5C3702"/>
    <w:rsid w:val="5EB71C30"/>
    <w:rsid w:val="65351076"/>
    <w:rsid w:val="65B0017A"/>
    <w:rsid w:val="66AF0CE5"/>
    <w:rsid w:val="68AC2130"/>
    <w:rsid w:val="6AC537CF"/>
    <w:rsid w:val="6E5B14A6"/>
    <w:rsid w:val="70E17439"/>
    <w:rsid w:val="711B255E"/>
    <w:rsid w:val="745E4C23"/>
    <w:rsid w:val="772D118B"/>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无间隔1"/>
    <w:autoRedefine/>
    <w:qFormat/>
    <w:uiPriority w:val="0"/>
    <w:pPr>
      <w:widowControl w:val="0"/>
      <w:ind w:firstLine="200" w:firstLineChars="200"/>
      <w:jc w:val="both"/>
    </w:pPr>
    <w:rPr>
      <w:rFonts w:ascii="Times New Roman" w:hAnsi="Times New Roman" w:eastAsia="宋体" w:cs="Times New Roman"/>
      <w:kern w:val="2"/>
      <w:sz w:val="28"/>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2450</Words>
  <Characters>2762</Characters>
  <Lines>4</Lines>
  <Paragraphs>1</Paragraphs>
  <TotalTime>238</TotalTime>
  <ScaleCrop>false</ScaleCrop>
  <LinksUpToDate>false</LinksUpToDate>
  <CharactersWithSpaces>2829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WPS_1710748918</cp:lastModifiedBy>
  <cp:lastPrinted>2024-03-06T07:40:00Z</cp:lastPrinted>
  <dcterms:modified xsi:type="dcterms:W3CDTF">2026-04-28T06:20:41Z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A14294C29A87462FBECE523D000272B4_13</vt:lpwstr>
  </property>
  <property fmtid="{D5CDD505-2E9C-101B-9397-08002B2CF9AE}" pid="4" name="KSOTemplateDocerSaveRecord">
    <vt:lpwstr>eyJoZGlkIjoiNmZiZDJjNDkzNTY1ZGMwM2E0YTBlYzY4YTkyYjhhMmUiLCJ1c2VySWQiOiIxNTg2NzI2OTQ3In0=</vt:lpwstr>
  </property>
</Properties>
</file>