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石家庄市桥西区红十字会</w:t>
      </w:r>
    </w:p>
    <w:p>
      <w:pPr>
        <w:spacing w:line="560" w:lineRule="exact"/>
        <w:jc w:val="center"/>
        <w:rPr>
          <w:rFonts w:ascii="宋体" w:hAnsi="宋体" w:cs="宋体"/>
          <w:b/>
          <w:bCs/>
          <w:sz w:val="44"/>
          <w:szCs w:val="44"/>
        </w:rPr>
      </w:pPr>
      <w:r>
        <w:rPr>
          <w:rFonts w:hint="eastAsia" w:ascii="宋体" w:hAnsi="宋体" w:cs="宋体"/>
          <w:b/>
          <w:bCs/>
          <w:sz w:val="44"/>
          <w:szCs w:val="44"/>
        </w:rPr>
        <w:t>部门202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both"/>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贯彻落实中共石家庄市桥西区委办公室</w:t>
      </w:r>
      <w:r>
        <w:rPr>
          <w:rFonts w:hint="eastAsia" w:ascii="仿宋" w:hAnsi="仿宋" w:eastAsia="仿宋"/>
          <w:sz w:val="32"/>
          <w:szCs w:val="32"/>
          <w:lang w:eastAsia="zh-CN"/>
        </w:rPr>
        <w:t>、</w:t>
      </w:r>
      <w:r>
        <w:rPr>
          <w:rFonts w:hint="eastAsia" w:ascii="仿宋" w:hAnsi="仿宋" w:eastAsia="仿宋"/>
          <w:sz w:val="32"/>
          <w:szCs w:val="32"/>
        </w:rPr>
        <w:t>石家庄市桥西区人民政府《关于全面落实预算绩效管理的实施意见》（西发〔2019〕5号）文件精神，遵循“科学性、规范性、客观性和公正性”的原则，对</w:t>
      </w:r>
      <w:r>
        <w:rPr>
          <w:rFonts w:hint="eastAsia" w:ascii="仿宋" w:hAnsi="仿宋" w:eastAsia="仿宋"/>
          <w:sz w:val="32"/>
          <w:szCs w:val="32"/>
          <w:lang w:eastAsia="zh-CN"/>
        </w:rPr>
        <w:t>桥西区红十字会</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rPr>
          <w:rFonts w:hint="eastAsia" w:ascii="仿宋" w:hAnsi="仿宋" w:eastAsia="仿宋" w:cs="宋体"/>
          <w:color w:val="000000"/>
          <w:spacing w:val="-2"/>
          <w:sz w:val="32"/>
          <w:szCs w:val="32"/>
          <w:lang w:eastAsia="zh-CN"/>
        </w:rPr>
      </w:pPr>
      <w:r>
        <w:rPr>
          <w:rFonts w:hint="eastAsia" w:ascii="仿宋" w:hAnsi="仿宋" w:eastAsia="仿宋" w:cs="宋体"/>
          <w:color w:val="000000"/>
          <w:spacing w:val="-2"/>
          <w:sz w:val="32"/>
          <w:szCs w:val="32"/>
        </w:rPr>
        <w:t>1、主要</w:t>
      </w:r>
      <w:r>
        <w:rPr>
          <w:rFonts w:hint="eastAsia" w:ascii="仿宋" w:hAnsi="仿宋" w:eastAsia="仿宋" w:cs="宋体"/>
          <w:color w:val="000000"/>
          <w:spacing w:val="-2"/>
          <w:sz w:val="32"/>
          <w:szCs w:val="32"/>
          <w:lang w:eastAsia="zh-CN"/>
        </w:rPr>
        <w:t>职能</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 xml:space="preserve">    （1）</w:t>
      </w:r>
      <w:r>
        <w:rPr>
          <w:rFonts w:ascii="仿宋" w:hAnsi="仿宋" w:eastAsia="仿宋" w:cs="宋体"/>
          <w:color w:val="000000"/>
          <w:spacing w:val="-2"/>
          <w:sz w:val="32"/>
          <w:szCs w:val="32"/>
        </w:rPr>
        <w:t>社会救助通过应急救援来实现的绩效目标是完善应急救援体系建设，提高应急救助能力和备灾救灾水平。</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 xml:space="preserve">    （2）</w:t>
      </w:r>
      <w:r>
        <w:rPr>
          <w:rFonts w:ascii="仿宋" w:hAnsi="仿宋" w:eastAsia="仿宋" w:cs="宋体"/>
          <w:color w:val="000000"/>
          <w:spacing w:val="-2"/>
          <w:sz w:val="32"/>
          <w:szCs w:val="32"/>
        </w:rPr>
        <w:t>通过应急救护来实现的绩效目标是加强我区红十字应急救护师资队伍建设，承担应急救护知识普及和培训救护员任伍，提高红十字救护员占从业人员比例以及应急救护知识在人民群众中的普及率。</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 xml:space="preserve">    （3）</w:t>
      </w:r>
      <w:r>
        <w:rPr>
          <w:rFonts w:ascii="仿宋" w:hAnsi="仿宋" w:eastAsia="仿宋" w:cs="宋体"/>
          <w:color w:val="000000"/>
          <w:spacing w:val="-2"/>
          <w:sz w:val="32"/>
          <w:szCs w:val="32"/>
        </w:rPr>
        <w:t>通过人道救助来实现的绩效目标是使更多的贫困家庭、患病儿童、灾区群众和贫困学生得到救助。大力推动红十字博爱家园建设，使“博爱送万家”活动温暖人心。</w:t>
      </w:r>
    </w:p>
    <w:p>
      <w:pPr>
        <w:ind w:firstLine="624"/>
        <w:rPr>
          <w:rFonts w:ascii="仿宋" w:hAnsi="仿宋" w:eastAsia="仿宋" w:cs="宋体"/>
          <w:color w:val="000000"/>
          <w:spacing w:val="-2"/>
          <w:sz w:val="32"/>
          <w:szCs w:val="32"/>
        </w:rPr>
      </w:pPr>
      <w:r>
        <w:rPr>
          <w:rFonts w:hint="eastAsia" w:ascii="仿宋" w:hAnsi="仿宋" w:eastAsia="仿宋" w:cs="宋体"/>
          <w:color w:val="000000"/>
          <w:spacing w:val="-2"/>
          <w:sz w:val="32"/>
          <w:szCs w:val="32"/>
        </w:rPr>
        <w:t>（4）</w:t>
      </w:r>
      <w:r>
        <w:rPr>
          <w:rFonts w:ascii="仿宋" w:hAnsi="仿宋" w:eastAsia="仿宋" w:cs="宋体"/>
          <w:color w:val="000000"/>
          <w:spacing w:val="-2"/>
          <w:sz w:val="32"/>
          <w:szCs w:val="32"/>
        </w:rPr>
        <w:t>红十字事业发展通过三献工作来实现的绩效目标是加强无偿献血、造血干细胞捐献、遗体和人造器官捐献知识宣传普及和捐献工作。</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（5）</w:t>
      </w:r>
      <w:r>
        <w:rPr>
          <w:rFonts w:ascii="仿宋" w:hAnsi="仿宋" w:eastAsia="仿宋" w:cs="宋体"/>
          <w:color w:val="000000"/>
          <w:spacing w:val="-2"/>
          <w:sz w:val="32"/>
          <w:szCs w:val="32"/>
        </w:rPr>
        <w:t>通过人道救助和志愿者工作来实现的绩效目标是 建立红十字青少年基层组织，创建学校红十字会，发展青少年红十字会员。开展红十字青少年培训，普及红十字活动基本知识。组织参与红十字青少年活动。加强红十字志愿服务组织建设。</w:t>
      </w:r>
    </w:p>
    <w:p>
      <w:pPr>
        <w:ind w:firstLine="632" w:firstLineChars="200"/>
        <w:rPr>
          <w:rFonts w:hint="eastAsia" w:ascii="仿宋" w:hAnsi="仿宋" w:eastAsia="仿宋" w:cs="宋体"/>
          <w:color w:val="000000"/>
          <w:spacing w:val="-2"/>
          <w:sz w:val="32"/>
          <w:szCs w:val="32"/>
        </w:rPr>
      </w:pPr>
      <w:r>
        <w:rPr>
          <w:rFonts w:hint="eastAsia" w:ascii="仿宋" w:hAnsi="仿宋" w:eastAsia="仿宋" w:cs="宋体"/>
          <w:color w:val="000000"/>
          <w:spacing w:val="-2"/>
          <w:sz w:val="32"/>
          <w:szCs w:val="32"/>
        </w:rPr>
        <w:t>（6）</w:t>
      </w:r>
      <w:r>
        <w:rPr>
          <w:rFonts w:ascii="仿宋" w:hAnsi="仿宋" w:eastAsia="仿宋" w:cs="宋体"/>
          <w:color w:val="000000"/>
          <w:spacing w:val="-2"/>
          <w:sz w:val="32"/>
          <w:szCs w:val="32"/>
        </w:rPr>
        <w:t>通过红十字综合事务工作来实现的绩效目标是总结安排全区红十字工作，开展广泛的宣传活动，加强对外交流合作、考察学习。</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 xml:space="preserve">    2．机构情况。</w:t>
      </w:r>
    </w:p>
    <w:p>
      <w:pPr>
        <w:ind w:firstLine="632" w:firstLineChars="200"/>
        <w:rPr>
          <w:rFonts w:ascii="仿宋" w:hAnsi="仿宋" w:eastAsia="仿宋" w:cs="宋体"/>
          <w:color w:val="000000"/>
          <w:spacing w:val="-2"/>
          <w:sz w:val="32"/>
          <w:szCs w:val="32"/>
        </w:rPr>
      </w:pPr>
      <w:r>
        <w:rPr>
          <w:rFonts w:hint="eastAsia" w:ascii="仿宋" w:hAnsi="仿宋" w:eastAsia="仿宋" w:cs="宋体"/>
          <w:color w:val="000000"/>
          <w:spacing w:val="-2"/>
          <w:sz w:val="32"/>
          <w:szCs w:val="32"/>
        </w:rPr>
        <w:t>石家庄市桥西区红十字会共有1个机构，为石家庄市桥西区红十字会本级机构，本年无变动。</w:t>
      </w:r>
    </w:p>
    <w:p>
      <w:pPr>
        <w:rPr>
          <w:rFonts w:ascii="仿宋" w:hAnsi="仿宋" w:eastAsia="仿宋" w:cs="宋体"/>
          <w:color w:val="000000"/>
          <w:spacing w:val="-2"/>
          <w:sz w:val="32"/>
          <w:szCs w:val="32"/>
        </w:rPr>
      </w:pPr>
      <w:r>
        <w:rPr>
          <w:rFonts w:hint="eastAsia" w:ascii="仿宋" w:hAnsi="仿宋" w:eastAsia="仿宋" w:cs="宋体"/>
          <w:color w:val="000000"/>
          <w:spacing w:val="-2"/>
          <w:sz w:val="32"/>
          <w:szCs w:val="32"/>
        </w:rPr>
        <w:t xml:space="preserve">    3．人员情况。</w:t>
      </w:r>
    </w:p>
    <w:p>
      <w:pPr>
        <w:widowControl w:val="0"/>
        <w:wordWrap/>
        <w:adjustRightInd w:val="0"/>
        <w:snapToGrid w:val="0"/>
        <w:spacing w:line="560" w:lineRule="exact"/>
        <w:ind w:right="0" w:firstLine="632" w:firstLineChars="200"/>
        <w:textAlignment w:val="auto"/>
        <w:outlineLvl w:val="9"/>
        <w:rPr>
          <w:rFonts w:hint="eastAsia" w:ascii="仿宋" w:hAnsi="仿宋" w:eastAsia="仿宋" w:cs="宋体"/>
          <w:color w:val="000000"/>
          <w:spacing w:val="-2"/>
          <w:sz w:val="32"/>
          <w:szCs w:val="32"/>
        </w:rPr>
      </w:pPr>
      <w:r>
        <w:rPr>
          <w:rFonts w:hint="eastAsia" w:ascii="仿宋" w:hAnsi="仿宋" w:eastAsia="仿宋" w:cs="宋体"/>
          <w:color w:val="000000"/>
          <w:spacing w:val="-2"/>
          <w:sz w:val="32"/>
          <w:szCs w:val="32"/>
        </w:rPr>
        <w:t>石家庄市桥西区红十字会共有编制人数</w:t>
      </w:r>
      <w:r>
        <w:rPr>
          <w:rFonts w:hint="eastAsia" w:ascii="仿宋" w:hAnsi="仿宋" w:eastAsia="仿宋" w:cs="宋体"/>
          <w:color w:val="000000"/>
          <w:spacing w:val="-2"/>
          <w:sz w:val="32"/>
          <w:szCs w:val="32"/>
          <w:lang w:val="en-US" w:eastAsia="zh-CN"/>
        </w:rPr>
        <w:t>4</w:t>
      </w:r>
      <w:r>
        <w:rPr>
          <w:rFonts w:hint="eastAsia" w:ascii="仿宋" w:hAnsi="仿宋" w:eastAsia="仿宋" w:cs="宋体"/>
          <w:color w:val="000000"/>
          <w:spacing w:val="-2"/>
          <w:sz w:val="32"/>
          <w:szCs w:val="32"/>
        </w:rPr>
        <w:t>人，其中：行政编制</w:t>
      </w:r>
      <w:r>
        <w:rPr>
          <w:rFonts w:hint="eastAsia" w:ascii="仿宋" w:hAnsi="仿宋" w:eastAsia="仿宋" w:cs="宋体"/>
          <w:color w:val="000000"/>
          <w:spacing w:val="-2"/>
          <w:sz w:val="32"/>
          <w:szCs w:val="32"/>
          <w:lang w:val="en-US" w:eastAsia="zh-CN"/>
        </w:rPr>
        <w:t>3</w:t>
      </w:r>
      <w:r>
        <w:rPr>
          <w:rFonts w:hint="eastAsia" w:ascii="仿宋" w:hAnsi="仿宋" w:eastAsia="仿宋" w:cs="宋体"/>
          <w:color w:val="000000"/>
          <w:spacing w:val="-2"/>
          <w:sz w:val="32"/>
          <w:szCs w:val="32"/>
        </w:rPr>
        <w:t>人，事业编制1人。实有人数</w:t>
      </w:r>
      <w:r>
        <w:rPr>
          <w:rFonts w:hint="eastAsia" w:ascii="仿宋" w:hAnsi="仿宋" w:eastAsia="仿宋" w:cs="宋体"/>
          <w:color w:val="000000"/>
          <w:spacing w:val="-2"/>
          <w:sz w:val="32"/>
          <w:szCs w:val="32"/>
          <w:lang w:val="en-US" w:eastAsia="zh-CN"/>
        </w:rPr>
        <w:t>4</w:t>
      </w:r>
      <w:r>
        <w:rPr>
          <w:rFonts w:hint="eastAsia" w:ascii="仿宋" w:hAnsi="仿宋" w:eastAsia="仿宋" w:cs="宋体"/>
          <w:color w:val="000000"/>
          <w:spacing w:val="-2"/>
          <w:sz w:val="32"/>
          <w:szCs w:val="32"/>
        </w:rPr>
        <w:t>人，其中：在职人数</w:t>
      </w:r>
      <w:r>
        <w:rPr>
          <w:rFonts w:hint="eastAsia" w:ascii="仿宋" w:hAnsi="仿宋" w:eastAsia="仿宋" w:cs="宋体"/>
          <w:color w:val="000000"/>
          <w:spacing w:val="-2"/>
          <w:sz w:val="32"/>
          <w:szCs w:val="32"/>
          <w:lang w:val="en-US" w:eastAsia="zh-CN"/>
        </w:rPr>
        <w:t>4</w:t>
      </w:r>
      <w:r>
        <w:rPr>
          <w:rFonts w:hint="eastAsia" w:ascii="仿宋" w:hAnsi="仿宋" w:eastAsia="仿宋" w:cs="宋体"/>
          <w:color w:val="000000"/>
          <w:spacing w:val="-2"/>
          <w:sz w:val="32"/>
          <w:szCs w:val="32"/>
        </w:rPr>
        <w:t>人，包括行政人员</w:t>
      </w:r>
      <w:r>
        <w:rPr>
          <w:rFonts w:hint="eastAsia" w:ascii="仿宋" w:hAnsi="仿宋" w:eastAsia="仿宋" w:cs="宋体"/>
          <w:color w:val="000000"/>
          <w:spacing w:val="-2"/>
          <w:sz w:val="32"/>
          <w:szCs w:val="32"/>
          <w:lang w:val="en-US" w:eastAsia="zh-CN"/>
        </w:rPr>
        <w:t>3</w:t>
      </w:r>
      <w:r>
        <w:rPr>
          <w:rFonts w:hint="eastAsia" w:ascii="仿宋" w:hAnsi="仿宋" w:eastAsia="仿宋" w:cs="宋体"/>
          <w:color w:val="000000"/>
          <w:spacing w:val="-2"/>
          <w:sz w:val="32"/>
          <w:szCs w:val="32"/>
        </w:rPr>
        <w:t>人、事业人员1人；</w:t>
      </w:r>
    </w:p>
    <w:p>
      <w:pPr>
        <w:widowControl w:val="0"/>
        <w:numPr>
          <w:ilvl w:val="0"/>
          <w:numId w:val="1"/>
        </w:numPr>
        <w:wordWrap/>
        <w:adjustRightInd w:val="0"/>
        <w:snapToGrid w:val="0"/>
        <w:spacing w:line="560" w:lineRule="exact"/>
        <w:ind w:right="0" w:firstLine="632" w:firstLineChars="200"/>
        <w:textAlignment w:val="auto"/>
        <w:outlineLvl w:val="9"/>
        <w:rPr>
          <w:rFonts w:hint="eastAsia" w:ascii="仿宋" w:hAnsi="仿宋" w:eastAsia="仿宋" w:cs="宋体"/>
          <w:color w:val="000000"/>
          <w:spacing w:val="-2"/>
          <w:sz w:val="32"/>
          <w:szCs w:val="32"/>
          <w:lang w:eastAsia="zh-CN"/>
        </w:rPr>
      </w:pPr>
      <w:r>
        <w:rPr>
          <w:rFonts w:hint="eastAsia" w:ascii="仿宋" w:hAnsi="仿宋" w:eastAsia="仿宋" w:cs="宋体"/>
          <w:color w:val="000000"/>
          <w:spacing w:val="-2"/>
          <w:sz w:val="32"/>
          <w:szCs w:val="32"/>
          <w:lang w:eastAsia="zh-CN"/>
        </w:rPr>
        <w:t>资产情况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ascii="仿宋" w:hAnsi="仿宋" w:eastAsia="仿宋"/>
          <w:sz w:val="32"/>
          <w:szCs w:val="32"/>
        </w:rPr>
      </w:pPr>
      <w:r>
        <w:rPr>
          <w:rFonts w:ascii="Times New Roman" w:hAnsi="Times New Roman" w:eastAsia="仿宋_GB2312"/>
          <w:sz w:val="32"/>
          <w:szCs w:val="32"/>
        </w:rPr>
        <w:t>石家庄市桥西区红十字会</w:t>
      </w:r>
      <w:r>
        <w:rPr>
          <w:rFonts w:hint="eastAsia" w:ascii="Times New Roman" w:hAnsi="Times New Roman" w:eastAsia="仿宋_GB2312"/>
          <w:sz w:val="32"/>
          <w:szCs w:val="32"/>
          <w:lang w:eastAsia="zh-CN"/>
        </w:rPr>
        <w:t>截止到</w:t>
      </w:r>
      <w:r>
        <w:rPr>
          <w:rFonts w:hint="eastAsia" w:ascii="Times New Roman" w:hAnsi="Times New Roman" w:eastAsia="仿宋_GB2312"/>
          <w:sz w:val="32"/>
          <w:szCs w:val="32"/>
          <w:lang w:val="en-US" w:eastAsia="zh-CN"/>
        </w:rPr>
        <w:t>2025年12月31日</w:t>
      </w:r>
      <w:r>
        <w:rPr>
          <w:rFonts w:hint="eastAsia" w:ascii="Times New Roman" w:hAnsi="Times New Roman" w:eastAsia="仿宋_GB2312"/>
          <w:sz w:val="32"/>
          <w:szCs w:val="32"/>
          <w:lang w:eastAsia="zh-CN"/>
        </w:rPr>
        <w:t>固定资产原值</w:t>
      </w:r>
      <w:r>
        <w:rPr>
          <w:rFonts w:hint="eastAsia" w:ascii="Times New Roman" w:hAnsi="Times New Roman" w:eastAsia="仿宋_GB2312"/>
          <w:sz w:val="32"/>
          <w:szCs w:val="32"/>
          <w:lang w:val="en-US" w:eastAsia="zh-CN"/>
        </w:rPr>
        <w:t>金额为4.25万元，</w:t>
      </w:r>
      <w:r>
        <w:rPr>
          <w:rFonts w:ascii="Times New Roman" w:hAnsi="Times New Roman" w:eastAsia="仿宋_GB2312"/>
          <w:sz w:val="32"/>
          <w:szCs w:val="32"/>
        </w:rPr>
        <w:t>固定资产</w:t>
      </w:r>
      <w:r>
        <w:rPr>
          <w:rFonts w:hint="eastAsia" w:ascii="Times New Roman" w:hAnsi="Times New Roman" w:eastAsia="仿宋_GB2312"/>
          <w:sz w:val="32"/>
          <w:szCs w:val="32"/>
          <w:lang w:eastAsia="zh-CN"/>
        </w:rPr>
        <w:t>净值</w:t>
      </w:r>
      <w:r>
        <w:rPr>
          <w:rFonts w:ascii="Times New Roman" w:hAnsi="Times New Roman" w:eastAsia="仿宋_GB2312"/>
          <w:sz w:val="32"/>
          <w:szCs w:val="32"/>
        </w:rPr>
        <w:t>金额为</w:t>
      </w:r>
      <w:r>
        <w:rPr>
          <w:rFonts w:hint="eastAsia" w:ascii="Times New Roman" w:hAnsi="Times New Roman" w:eastAsia="仿宋_GB2312"/>
          <w:sz w:val="32"/>
          <w:szCs w:val="32"/>
          <w:lang w:val="en-US" w:eastAsia="zh-CN"/>
        </w:rPr>
        <w:t>2.26</w:t>
      </w:r>
      <w:r>
        <w:rPr>
          <w:rFonts w:ascii="Times New Roman" w:hAnsi="Times New Roman" w:eastAsia="仿宋_GB2312"/>
          <w:sz w:val="32"/>
          <w:szCs w:val="32"/>
        </w:rPr>
        <w:t>万元</w:t>
      </w:r>
      <w:r>
        <w:rPr>
          <w:rFonts w:hint="eastAsia" w:ascii="Times New Roman" w:hAnsi="Times New Roman" w:eastAsia="仿宋_GB2312"/>
          <w:sz w:val="32"/>
          <w:szCs w:val="32"/>
          <w:lang w:eastAsia="zh-CN"/>
        </w:rPr>
        <w:t>。</w:t>
      </w:r>
    </w:p>
    <w:p>
      <w:pPr>
        <w:numPr>
          <w:ilvl w:val="0"/>
          <w:numId w:val="2"/>
        </w:numPr>
        <w:adjustRightInd w:val="0"/>
        <w:snapToGrid w:val="0"/>
        <w:spacing w:line="560" w:lineRule="exact"/>
        <w:ind w:firstLine="640" w:firstLineChars="200"/>
        <w:rPr>
          <w:rFonts w:hint="eastAsia" w:ascii="楷体" w:hAnsi="楷体" w:eastAsia="楷体" w:cs="楷体_GB2312"/>
          <w:bCs/>
          <w:color w:val="auto"/>
          <w:sz w:val="32"/>
          <w:szCs w:val="32"/>
        </w:rPr>
      </w:pPr>
      <w:r>
        <w:rPr>
          <w:rFonts w:hint="eastAsia" w:ascii="楷体" w:hAnsi="楷体" w:eastAsia="楷体" w:cs="楷体_GB2312"/>
          <w:bCs/>
          <w:sz w:val="32"/>
          <w:szCs w:val="32"/>
        </w:rPr>
        <w:t>部门收支预决算情况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 w:hAnsi="仿宋" w:eastAsia="仿宋" w:cs="楷体_GB2312"/>
          <w:b/>
          <w:bCs/>
          <w:color w:val="auto"/>
          <w:sz w:val="32"/>
          <w:szCs w:val="32"/>
          <w:lang w:eastAsia="zh-CN"/>
        </w:rPr>
      </w:pPr>
      <w:r>
        <w:rPr>
          <w:rFonts w:hint="eastAsia" w:ascii="楷体" w:hAnsi="楷体" w:eastAsia="楷体" w:cs="楷体_GB2312"/>
          <w:bCs/>
          <w:color w:val="auto"/>
          <w:sz w:val="32"/>
          <w:szCs w:val="32"/>
          <w:lang w:val="en-US" w:eastAsia="zh-CN"/>
        </w:rPr>
        <w:t xml:space="preserve"> </w:t>
      </w:r>
      <w:r>
        <w:rPr>
          <w:rFonts w:ascii="Times New Roman" w:hAnsi="Times New Roman" w:eastAsia="仿宋_GB2312"/>
          <w:color w:val="auto"/>
          <w:sz w:val="32"/>
          <w:szCs w:val="32"/>
        </w:rPr>
        <w:t>桥西区红十字会</w:t>
      </w:r>
      <w:r>
        <w:rPr>
          <w:rFonts w:hint="eastAsia" w:ascii="Times New Roman" w:hAnsi="Times New Roman" w:eastAsia="仿宋_GB2312"/>
          <w:color w:val="auto"/>
          <w:sz w:val="32"/>
          <w:szCs w:val="32"/>
          <w:lang w:eastAsia="zh-CN"/>
        </w:rPr>
        <w:t>202</w:t>
      </w:r>
      <w:r>
        <w:rPr>
          <w:rFonts w:hint="eastAsia" w:ascii="Times New Roman" w:hAnsi="Times New Roman" w:eastAsia="仿宋_GB2312"/>
          <w:color w:val="auto"/>
          <w:sz w:val="32"/>
          <w:szCs w:val="32"/>
          <w:lang w:val="en-US" w:eastAsia="zh-CN"/>
        </w:rPr>
        <w:t>5</w:t>
      </w:r>
      <w:r>
        <w:rPr>
          <w:rFonts w:ascii="Times New Roman" w:hAnsi="Times New Roman" w:eastAsia="仿宋_GB2312"/>
          <w:color w:val="auto"/>
          <w:sz w:val="32"/>
          <w:szCs w:val="32"/>
        </w:rPr>
        <w:t>年</w:t>
      </w:r>
      <w:r>
        <w:rPr>
          <w:rFonts w:hint="eastAsia" w:ascii="Times New Roman" w:hAnsi="Times New Roman" w:eastAsia="仿宋_GB2312"/>
          <w:color w:val="auto"/>
          <w:sz w:val="32"/>
          <w:szCs w:val="32"/>
        </w:rPr>
        <w:t>预算收支安排</w:t>
      </w:r>
      <w:r>
        <w:rPr>
          <w:rFonts w:hint="eastAsia" w:ascii="Times New Roman" w:hAnsi="Times New Roman" w:eastAsia="仿宋_GB2312"/>
          <w:color w:val="auto"/>
          <w:sz w:val="32"/>
          <w:szCs w:val="32"/>
          <w:lang w:val="en-US" w:eastAsia="zh-CN"/>
        </w:rPr>
        <w:t>119.04</w:t>
      </w:r>
      <w:r>
        <w:rPr>
          <w:rFonts w:hint="eastAsia" w:ascii="Times New Roman" w:hAnsi="Times New Roman" w:eastAsia="仿宋_GB2312"/>
          <w:color w:val="auto"/>
          <w:sz w:val="32"/>
          <w:szCs w:val="32"/>
        </w:rPr>
        <w:t>万元</w:t>
      </w:r>
      <w:r>
        <w:rPr>
          <w:rFonts w:hint="eastAsia" w:ascii="Times New Roman" w:hAnsi="Times New Roman" w:eastAsia="仿宋_GB2312"/>
          <w:color w:val="auto"/>
          <w:sz w:val="32"/>
          <w:szCs w:val="32"/>
          <w:lang w:eastAsia="zh-CN"/>
        </w:rPr>
        <w:t>，决算</w:t>
      </w:r>
      <w:r>
        <w:rPr>
          <w:rFonts w:hint="eastAsia" w:ascii="仿宋_GB2312" w:hAnsi="Times New Roman" w:eastAsia="仿宋_GB2312" w:cs="Wingdings"/>
          <w:color w:val="auto"/>
          <w:sz w:val="32"/>
          <w:szCs w:val="32"/>
        </w:rPr>
        <w:t>本年收入合计</w:t>
      </w:r>
      <w:r>
        <w:rPr>
          <w:rFonts w:hint="eastAsia" w:ascii="仿宋_GB2312" w:hAnsi="Times New Roman" w:eastAsia="仿宋_GB2312" w:cs="Wingdings"/>
          <w:color w:val="auto"/>
          <w:sz w:val="32"/>
          <w:szCs w:val="32"/>
          <w:lang w:val="en-US" w:eastAsia="zh-CN"/>
        </w:rPr>
        <w:t>98.878584</w:t>
      </w:r>
      <w:r>
        <w:rPr>
          <w:rFonts w:hint="eastAsia" w:ascii="仿宋_GB2312" w:hAnsi="Times New Roman" w:eastAsia="仿宋_GB2312" w:cs="Wingdings"/>
          <w:color w:val="auto"/>
          <w:sz w:val="32"/>
          <w:szCs w:val="32"/>
        </w:rPr>
        <w:t>万元</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支出合计</w:t>
      </w:r>
      <w:r>
        <w:rPr>
          <w:rFonts w:hint="eastAsia" w:ascii="仿宋_GB2312" w:hAnsi="Times New Roman" w:eastAsia="仿宋_GB2312" w:cs="Wingdings"/>
          <w:color w:val="auto"/>
          <w:sz w:val="32"/>
          <w:szCs w:val="32"/>
          <w:lang w:val="en-US" w:eastAsia="zh-CN"/>
        </w:rPr>
        <w:t>98.878584</w:t>
      </w:r>
      <w:r>
        <w:rPr>
          <w:rFonts w:hint="eastAsia" w:ascii="仿宋_GB2312" w:hAnsi="Times New Roman" w:eastAsia="仿宋_GB2312" w:cs="Wingdings"/>
          <w:color w:val="auto"/>
          <w:sz w:val="32"/>
          <w:szCs w:val="32"/>
        </w:rPr>
        <w:t>万元</w:t>
      </w:r>
      <w:r>
        <w:rPr>
          <w:rFonts w:ascii="Times New Roman" w:hAnsi="Times New Roman" w:eastAsia="仿宋_GB2312"/>
          <w:color w:val="auto"/>
          <w:sz w:val="32"/>
          <w:szCs w:val="32"/>
        </w:rPr>
        <w:t>。</w:t>
      </w:r>
    </w:p>
    <w:p>
      <w:pPr>
        <w:numPr>
          <w:ilvl w:val="0"/>
          <w:numId w:val="0"/>
        </w:numPr>
        <w:adjustRightInd w:val="0"/>
        <w:snapToGrid w:val="0"/>
        <w:spacing w:line="560" w:lineRule="exact"/>
        <w:rPr>
          <w:rFonts w:hint="default" w:ascii="楷体" w:hAnsi="楷体" w:eastAsia="楷体" w:cs="楷体_GB2312"/>
          <w:bCs/>
          <w:sz w:val="32"/>
          <w:szCs w:val="32"/>
          <w:lang w:val="en-US" w:eastAsia="zh-CN"/>
        </w:rPr>
      </w:pP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eastAsia="zh-CN"/>
        </w:rPr>
        <w:t>202</w:t>
      </w:r>
      <w:r>
        <w:rPr>
          <w:rFonts w:hint="eastAsia" w:ascii="Times New Roman" w:hAnsi="Times New Roman" w:eastAsia="仿宋_GB2312"/>
          <w:sz w:val="32"/>
          <w:szCs w:val="32"/>
          <w:lang w:val="en-US" w:eastAsia="zh-CN"/>
        </w:rPr>
        <w:t>5</w:t>
      </w:r>
      <w:r>
        <w:rPr>
          <w:rFonts w:hint="eastAsia" w:ascii="Times New Roman" w:hAnsi="Times New Roman" w:eastAsia="仿宋_GB2312"/>
          <w:sz w:val="32"/>
          <w:szCs w:val="32"/>
        </w:rPr>
        <w:t>年，桥西区红十字会坚持围绕中心、服务大局，依法履行职责，积极发挥区委区政府在人道领域的助手和联系群众的桥梁纽带作用。</w:t>
      </w:r>
      <w:r>
        <w:rPr>
          <w:rFonts w:ascii="Times New Roman" w:hAnsi="Times New Roman" w:eastAsia="仿宋_GB2312"/>
          <w:sz w:val="32"/>
          <w:szCs w:val="32"/>
        </w:rPr>
        <w:t>在“三献”方面：加大无偿献血宣传推动力度，参与推动遗体和人体器官捐献，积极开展造血干细胞捐献。</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收到区财政局《关于开展202</w:t>
      </w:r>
      <w:r>
        <w:rPr>
          <w:rFonts w:hint="eastAsia" w:ascii="仿宋" w:hAnsi="仿宋" w:eastAsia="仿宋"/>
          <w:sz w:val="32"/>
          <w:szCs w:val="32"/>
          <w:lang w:val="en-US" w:eastAsia="zh-CN"/>
        </w:rPr>
        <w:t>5</w:t>
      </w:r>
      <w:r>
        <w:rPr>
          <w:rFonts w:hint="eastAsia" w:ascii="仿宋" w:hAnsi="仿宋" w:eastAsia="仿宋"/>
          <w:sz w:val="32"/>
          <w:szCs w:val="32"/>
        </w:rPr>
        <w:t>年度财政专项资金部门绩效自评工作的通知》后，我会高度重视，立即成立了项目绩效评价工作组，经过审慎研究讨论，制定绩效评价工作方案，明确绩效评价指标体系和评价方法。</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绩效评价方式分为部门自评与区财政局业务主管科室评价考核。单位自评由预算单位、项目主管单位按照预算管理绩效评价的相关要求，依据评价指标自行组织分析评价。具体包含：自评工作准备、自评工作的组织实施及自评报告。</w:t>
      </w:r>
    </w:p>
    <w:p>
      <w:pPr>
        <w:spacing w:line="560" w:lineRule="exact"/>
        <w:rPr>
          <w:rFonts w:hint="eastAsia" w:ascii="仿宋" w:hAnsi="仿宋" w:eastAsia="仿宋"/>
          <w:sz w:val="32"/>
          <w:szCs w:val="32"/>
        </w:rPr>
      </w:pPr>
      <w:r>
        <w:rPr>
          <w:rFonts w:hint="eastAsia" w:ascii="仿宋" w:hAnsi="仿宋" w:eastAsia="仿宋"/>
          <w:sz w:val="32"/>
          <w:szCs w:val="32"/>
        </w:rPr>
        <w:t>自评过程：</w:t>
      </w:r>
    </w:p>
    <w:p>
      <w:pPr>
        <w:numPr>
          <w:ilvl w:val="0"/>
          <w:numId w:val="4"/>
        </w:numPr>
        <w:spacing w:line="560" w:lineRule="exact"/>
        <w:rPr>
          <w:rFonts w:hint="eastAsia" w:ascii="仿宋" w:hAnsi="仿宋" w:eastAsia="仿宋"/>
          <w:sz w:val="32"/>
          <w:szCs w:val="32"/>
        </w:rPr>
      </w:pPr>
      <w:r>
        <w:rPr>
          <w:rFonts w:hint="eastAsia" w:ascii="仿宋" w:hAnsi="仿宋" w:eastAsia="仿宋"/>
          <w:sz w:val="32"/>
          <w:szCs w:val="32"/>
        </w:rPr>
        <w:t>准备阶段</w:t>
      </w:r>
    </w:p>
    <w:p>
      <w:pPr>
        <w:numPr>
          <w:ilvl w:val="0"/>
          <w:numId w:val="0"/>
        </w:num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成立自评工作小组，工作组组长由单位主管领导担任，成员包括项目主管领导、项目科室负责人及财务人员。与此同时，制定科学有效的工作方案，切实推进自评工作顺利完成。</w:t>
      </w:r>
    </w:p>
    <w:p>
      <w:pPr>
        <w:numPr>
          <w:ilvl w:val="0"/>
          <w:numId w:val="4"/>
        </w:numPr>
        <w:spacing w:line="560" w:lineRule="exact"/>
        <w:ind w:left="0" w:leftChars="0" w:firstLine="0" w:firstLineChars="0"/>
        <w:rPr>
          <w:rFonts w:hint="eastAsia" w:ascii="仿宋" w:hAnsi="仿宋" w:eastAsia="仿宋"/>
          <w:sz w:val="32"/>
          <w:szCs w:val="32"/>
        </w:rPr>
      </w:pPr>
      <w:r>
        <w:rPr>
          <w:rFonts w:hint="eastAsia" w:ascii="仿宋" w:hAnsi="仿宋" w:eastAsia="仿宋"/>
          <w:sz w:val="32"/>
          <w:szCs w:val="32"/>
        </w:rPr>
        <w:t>自评阶段</w:t>
      </w:r>
    </w:p>
    <w:p>
      <w:pPr>
        <w:numPr>
          <w:ilvl w:val="0"/>
          <w:numId w:val="5"/>
        </w:numPr>
        <w:spacing w:line="560" w:lineRule="exact"/>
        <w:ind w:leftChars="0" w:firstLine="320" w:firstLineChars="100"/>
        <w:rPr>
          <w:rFonts w:hint="eastAsia" w:ascii="仿宋" w:hAnsi="仿宋" w:eastAsia="仿宋"/>
          <w:sz w:val="32"/>
          <w:szCs w:val="32"/>
        </w:rPr>
      </w:pPr>
      <w:r>
        <w:rPr>
          <w:rFonts w:hint="eastAsia" w:ascii="仿宋" w:hAnsi="仿宋" w:eastAsia="仿宋"/>
          <w:sz w:val="32"/>
          <w:szCs w:val="32"/>
        </w:rPr>
        <w:t>评价资料收集整理。根据自评工作要求，全面收集所需要各类基础信息资料，包括单位基本概况、资金使用情况及各类政策依据。</w:t>
      </w:r>
    </w:p>
    <w:p>
      <w:pPr>
        <w:numPr>
          <w:ilvl w:val="0"/>
          <w:numId w:val="5"/>
        </w:numPr>
        <w:spacing w:line="560" w:lineRule="exact"/>
        <w:ind w:left="0" w:leftChars="0" w:firstLine="320" w:firstLineChars="100"/>
        <w:rPr>
          <w:rFonts w:hint="eastAsia" w:ascii="仿宋" w:hAnsi="仿宋" w:eastAsia="仿宋"/>
          <w:sz w:val="32"/>
          <w:szCs w:val="32"/>
        </w:rPr>
      </w:pPr>
      <w:r>
        <w:rPr>
          <w:rFonts w:hint="eastAsia" w:ascii="仿宋" w:hAnsi="仿宋" w:eastAsia="仿宋"/>
          <w:sz w:val="32"/>
          <w:szCs w:val="32"/>
        </w:rPr>
        <w:t>现场核查。依据所提供的各种资料，实地查看项目整体落实情况，同时，核实资料的完整性和真实性。</w:t>
      </w:r>
    </w:p>
    <w:p>
      <w:pPr>
        <w:numPr>
          <w:ilvl w:val="0"/>
          <w:numId w:val="0"/>
        </w:numPr>
        <w:spacing w:line="560" w:lineRule="exact"/>
        <w:ind w:leftChars="100"/>
        <w:rPr>
          <w:rFonts w:hint="eastAsia" w:ascii="仿宋" w:hAnsi="仿宋" w:eastAsia="仿宋"/>
          <w:sz w:val="32"/>
          <w:szCs w:val="32"/>
          <w:lang w:val="en-US" w:eastAsia="zh-CN"/>
        </w:rPr>
      </w:pPr>
      <w:r>
        <w:rPr>
          <w:rFonts w:hint="eastAsia" w:ascii="仿宋" w:hAnsi="仿宋" w:eastAsia="仿宋"/>
          <w:sz w:val="32"/>
          <w:szCs w:val="32"/>
        </w:rPr>
        <w:t>3、分析评价。按照绩效指标、评价标准及方法，依据所收集的资料，对重点项目进行定量、定性分析和评价，形成评价结论</w:t>
      </w:r>
      <w:r>
        <w:rPr>
          <w:rFonts w:hint="eastAsia" w:ascii="仿宋" w:hAnsi="仿宋" w:eastAsia="仿宋"/>
          <w:sz w:val="32"/>
          <w:szCs w:val="32"/>
          <w:lang w:eastAsia="zh-CN"/>
        </w:rPr>
        <w:t>。</w:t>
      </w:r>
    </w:p>
    <w:p>
      <w:pPr>
        <w:numPr>
          <w:ilvl w:val="0"/>
          <w:numId w:val="0"/>
        </w:numPr>
        <w:spacing w:line="560" w:lineRule="exact"/>
        <w:ind w:left="642" w:leftChars="0"/>
        <w:rPr>
          <w:rFonts w:ascii="楷体" w:hAnsi="楷体" w:eastAsia="楷体" w:cs="楷体_GB2312"/>
          <w:bCs/>
          <w:sz w:val="32"/>
          <w:szCs w:val="32"/>
        </w:rPr>
      </w:pP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6"/>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960" w:firstLineChars="300"/>
        <w:rPr>
          <w:rFonts w:hint="eastAsia" w:ascii="仿宋" w:hAnsi="仿宋" w:eastAsia="仿宋" w:cs="楷体_GB2312"/>
          <w:b/>
          <w:bCs/>
          <w:sz w:val="32"/>
          <w:szCs w:val="32"/>
        </w:rPr>
      </w:pPr>
      <w:r>
        <w:rPr>
          <w:rFonts w:hint="eastAsia" w:ascii="仿宋" w:hAnsi="仿宋" w:eastAsia="仿宋"/>
          <w:sz w:val="32"/>
          <w:szCs w:val="32"/>
        </w:rPr>
        <w:t>根据预算绩效管理要求，本部门组织对202</w:t>
      </w:r>
      <w:r>
        <w:rPr>
          <w:rFonts w:hint="eastAsia" w:ascii="仿宋" w:hAnsi="仿宋" w:eastAsia="仿宋"/>
          <w:sz w:val="32"/>
          <w:szCs w:val="32"/>
          <w:lang w:val="en-US" w:eastAsia="zh-CN"/>
        </w:rPr>
        <w:t>5</w:t>
      </w:r>
      <w:r>
        <w:rPr>
          <w:rFonts w:hint="eastAsia" w:ascii="仿宋" w:hAnsi="仿宋" w:eastAsia="仿宋"/>
          <w:sz w:val="32"/>
          <w:szCs w:val="32"/>
        </w:rPr>
        <w:t>年度一般公共预算项目支出全面开展绩效自评，其中，一级项目1 个，涉及资金 0.8</w:t>
      </w:r>
      <w:r>
        <w:rPr>
          <w:rFonts w:hint="eastAsia" w:ascii="仿宋" w:hAnsi="仿宋" w:eastAsia="仿宋"/>
          <w:sz w:val="32"/>
          <w:szCs w:val="32"/>
          <w:lang w:val="en-US" w:eastAsia="zh-CN"/>
        </w:rPr>
        <w:t>4</w:t>
      </w:r>
      <w:r>
        <w:rPr>
          <w:rFonts w:hint="eastAsia" w:ascii="仿宋" w:hAnsi="仿宋" w:eastAsia="仿宋"/>
          <w:sz w:val="32"/>
          <w:szCs w:val="32"/>
        </w:rPr>
        <w:t xml:space="preserve"> 万元，占一般公共预算项目支出总额的100%。组织对“</w:t>
      </w:r>
      <w:r>
        <w:rPr>
          <w:rFonts w:hint="eastAsia" w:ascii="仿宋" w:hAnsi="仿宋" w:eastAsia="仿宋"/>
          <w:sz w:val="32"/>
          <w:szCs w:val="32"/>
          <w:lang w:eastAsia="zh-CN"/>
        </w:rPr>
        <w:t>代理记账服务费</w:t>
      </w:r>
      <w:r>
        <w:rPr>
          <w:rFonts w:hint="eastAsia" w:ascii="仿宋" w:hAnsi="仿宋" w:eastAsia="仿宋"/>
          <w:sz w:val="32"/>
          <w:szCs w:val="32"/>
        </w:rPr>
        <w:t>”工作项目开展了部门评价，涉及一般公共预算支出0.8</w:t>
      </w:r>
      <w:r>
        <w:rPr>
          <w:rFonts w:hint="eastAsia" w:ascii="仿宋" w:hAnsi="仿宋" w:eastAsia="仿宋"/>
          <w:sz w:val="32"/>
          <w:szCs w:val="32"/>
          <w:lang w:val="en-US" w:eastAsia="zh-CN"/>
        </w:rPr>
        <w:t>4</w:t>
      </w:r>
      <w:r>
        <w:rPr>
          <w:rFonts w:hint="eastAsia" w:ascii="仿宋" w:hAnsi="仿宋" w:eastAsia="仿宋"/>
          <w:sz w:val="32"/>
          <w:szCs w:val="32"/>
        </w:rPr>
        <w:t>万元。从评价情况来看，预算拨入资金全部用于“</w:t>
      </w:r>
      <w:r>
        <w:rPr>
          <w:rFonts w:hint="eastAsia" w:ascii="仿宋" w:hAnsi="仿宋" w:eastAsia="仿宋"/>
          <w:sz w:val="32"/>
          <w:szCs w:val="32"/>
          <w:lang w:eastAsia="zh-CN"/>
        </w:rPr>
        <w:t>代理记账服务费</w:t>
      </w:r>
      <w:r>
        <w:rPr>
          <w:rFonts w:hint="eastAsia" w:ascii="仿宋" w:hAnsi="仿宋" w:eastAsia="仿宋"/>
          <w:sz w:val="32"/>
          <w:szCs w:val="32"/>
        </w:rPr>
        <w:t>”工作，使用率达到 100%，使用规范，评价结果为优秀。</w:t>
      </w:r>
      <w:r>
        <w:rPr>
          <w:rFonts w:hint="eastAsia" w:ascii="仿宋" w:hAnsi="仿宋" w:eastAsia="仿宋" w:cs="楷体_GB2312"/>
          <w:b/>
          <w:bCs/>
          <w:sz w:val="32"/>
          <w:szCs w:val="32"/>
        </w:rPr>
        <w:t xml:space="preserve">    </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numPr>
          <w:ilvl w:val="0"/>
          <w:numId w:val="0"/>
        </w:numPr>
        <w:spacing w:line="560" w:lineRule="exact"/>
        <w:ind w:leftChars="20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本部门 202</w:t>
      </w:r>
      <w:r>
        <w:rPr>
          <w:rFonts w:hint="eastAsia" w:ascii="楷体" w:hAnsi="楷体" w:eastAsia="楷体" w:cs="楷体_GB2312"/>
          <w:bCs/>
          <w:sz w:val="32"/>
          <w:szCs w:val="32"/>
          <w:lang w:val="en-US" w:eastAsia="zh-CN"/>
        </w:rPr>
        <w:t>5</w:t>
      </w:r>
      <w:r>
        <w:rPr>
          <w:rFonts w:hint="eastAsia" w:ascii="楷体" w:hAnsi="楷体" w:eastAsia="楷体" w:cs="楷体_GB2312"/>
          <w:bCs/>
          <w:sz w:val="32"/>
          <w:szCs w:val="32"/>
        </w:rPr>
        <w:t>年部门“</w:t>
      </w:r>
      <w:r>
        <w:rPr>
          <w:rFonts w:hint="eastAsia" w:ascii="仿宋" w:hAnsi="仿宋" w:eastAsia="仿宋"/>
          <w:sz w:val="32"/>
          <w:szCs w:val="32"/>
          <w:lang w:eastAsia="zh-CN"/>
        </w:rPr>
        <w:t>代理记账服务费</w:t>
      </w:r>
      <w:r>
        <w:rPr>
          <w:rFonts w:hint="eastAsia" w:ascii="楷体" w:hAnsi="楷体" w:eastAsia="楷体" w:cs="楷体_GB2312"/>
          <w:bCs/>
          <w:sz w:val="32"/>
          <w:szCs w:val="32"/>
        </w:rPr>
        <w:t>”工作项目1 个项目绩效自评综述：根据年初设定的绩效目标，“</w:t>
      </w:r>
      <w:r>
        <w:rPr>
          <w:rFonts w:hint="eastAsia" w:ascii="仿宋" w:hAnsi="仿宋" w:eastAsia="仿宋"/>
          <w:sz w:val="32"/>
          <w:szCs w:val="32"/>
          <w:lang w:eastAsia="zh-CN"/>
        </w:rPr>
        <w:t>代理记账服务费</w:t>
      </w:r>
      <w:r>
        <w:rPr>
          <w:rFonts w:hint="eastAsia" w:ascii="楷体" w:hAnsi="楷体" w:eastAsia="楷体" w:cs="楷体_GB2312"/>
          <w:bCs/>
          <w:sz w:val="32"/>
          <w:szCs w:val="32"/>
        </w:rPr>
        <w:t xml:space="preserve">”工作项目绩效自评得分为 </w:t>
      </w:r>
      <w:r>
        <w:rPr>
          <w:rFonts w:hint="eastAsia" w:ascii="楷体" w:hAnsi="楷体" w:eastAsia="楷体" w:cs="楷体_GB2312"/>
          <w:bCs/>
          <w:sz w:val="32"/>
          <w:szCs w:val="32"/>
          <w:lang w:val="en-US" w:eastAsia="zh-CN"/>
        </w:rPr>
        <w:t>100</w:t>
      </w:r>
      <w:r>
        <w:rPr>
          <w:rFonts w:hint="eastAsia" w:ascii="楷体" w:hAnsi="楷体" w:eastAsia="楷体" w:cs="楷体_GB2312"/>
          <w:bCs/>
          <w:sz w:val="32"/>
          <w:szCs w:val="32"/>
        </w:rPr>
        <w:t xml:space="preserve"> 分（绩效自评表附后）。全年预算数为0.8</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 xml:space="preserve"> 万元，执行数为 0.8</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 xml:space="preserve"> 万元，完成预算的 100%。</w:t>
      </w:r>
    </w:p>
    <w:p>
      <w:pPr>
        <w:numPr>
          <w:ilvl w:val="0"/>
          <w:numId w:val="0"/>
        </w:numPr>
        <w:spacing w:line="560" w:lineRule="exact"/>
        <w:ind w:leftChars="20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本部门 202</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年部门“</w:t>
      </w:r>
      <w:r>
        <w:rPr>
          <w:rFonts w:hint="eastAsia" w:ascii="仿宋" w:hAnsi="仿宋" w:eastAsia="仿宋"/>
          <w:sz w:val="32"/>
          <w:szCs w:val="32"/>
          <w:lang w:eastAsia="zh-CN"/>
        </w:rPr>
        <w:t>租赁费、物业费及空调水电费项目</w:t>
      </w:r>
      <w:r>
        <w:rPr>
          <w:rFonts w:hint="eastAsia" w:ascii="楷体" w:hAnsi="楷体" w:eastAsia="楷体" w:cs="楷体_GB2312"/>
          <w:bCs/>
          <w:sz w:val="32"/>
          <w:szCs w:val="32"/>
        </w:rPr>
        <w:t>”工作项目1 个项目绩效自评综述：根据年初设定的绩效目标，“</w:t>
      </w:r>
      <w:r>
        <w:rPr>
          <w:rFonts w:hint="eastAsia" w:ascii="仿宋" w:hAnsi="仿宋" w:eastAsia="仿宋"/>
          <w:sz w:val="32"/>
          <w:szCs w:val="32"/>
          <w:lang w:eastAsia="zh-CN"/>
        </w:rPr>
        <w:t>租赁费、物业费及空调水电费项目</w:t>
      </w:r>
      <w:r>
        <w:rPr>
          <w:rFonts w:hint="eastAsia" w:ascii="楷体" w:hAnsi="楷体" w:eastAsia="楷体" w:cs="楷体_GB2312"/>
          <w:bCs/>
          <w:sz w:val="32"/>
          <w:szCs w:val="32"/>
        </w:rPr>
        <w:t xml:space="preserve">”工作项目绩效自评得分为 </w:t>
      </w:r>
      <w:r>
        <w:rPr>
          <w:rFonts w:hint="eastAsia" w:ascii="楷体" w:hAnsi="楷体" w:eastAsia="楷体" w:cs="楷体_GB2312"/>
          <w:bCs/>
          <w:sz w:val="32"/>
          <w:szCs w:val="32"/>
          <w:lang w:val="en-US" w:eastAsia="zh-CN"/>
        </w:rPr>
        <w:t>100</w:t>
      </w:r>
      <w:r>
        <w:rPr>
          <w:rFonts w:hint="eastAsia" w:ascii="楷体" w:hAnsi="楷体" w:eastAsia="楷体" w:cs="楷体_GB2312"/>
          <w:bCs/>
          <w:sz w:val="32"/>
          <w:szCs w:val="32"/>
        </w:rPr>
        <w:t xml:space="preserve"> 分（绩效自评表附后）。全年预算数为</w:t>
      </w:r>
      <w:r>
        <w:rPr>
          <w:rFonts w:hint="eastAsia" w:ascii="楷体" w:hAnsi="楷体" w:eastAsia="楷体" w:cs="楷体_GB2312"/>
          <w:bCs/>
          <w:sz w:val="32"/>
          <w:szCs w:val="32"/>
          <w:lang w:val="en-US" w:eastAsia="zh-CN"/>
        </w:rPr>
        <w:t>2.070761</w:t>
      </w:r>
      <w:r>
        <w:rPr>
          <w:rFonts w:hint="eastAsia" w:ascii="楷体" w:hAnsi="楷体" w:eastAsia="楷体" w:cs="楷体_GB2312"/>
          <w:bCs/>
          <w:sz w:val="32"/>
          <w:szCs w:val="32"/>
        </w:rPr>
        <w:t xml:space="preserve">万元，执行数为 </w:t>
      </w:r>
      <w:r>
        <w:rPr>
          <w:rFonts w:hint="eastAsia" w:ascii="楷体" w:hAnsi="楷体" w:eastAsia="楷体" w:cs="楷体_GB2312"/>
          <w:bCs/>
          <w:sz w:val="32"/>
          <w:szCs w:val="32"/>
          <w:lang w:val="en-US" w:eastAsia="zh-CN"/>
        </w:rPr>
        <w:t>2.070761</w:t>
      </w:r>
      <w:r>
        <w:rPr>
          <w:rFonts w:hint="eastAsia" w:ascii="楷体" w:hAnsi="楷体" w:eastAsia="楷体" w:cs="楷体_GB2312"/>
          <w:bCs/>
          <w:sz w:val="32"/>
          <w:szCs w:val="32"/>
        </w:rPr>
        <w:t>万元，完成预算的 100%。</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根据部门职责定位和各项工作履职情况进行综合评价，给出总得分，满分</w:t>
      </w:r>
      <w:r>
        <w:rPr>
          <w:rFonts w:hint="eastAsia" w:ascii="仿宋" w:hAnsi="仿宋" w:eastAsia="仿宋"/>
          <w:sz w:val="32"/>
          <w:szCs w:val="32"/>
          <w:lang w:val="en-US" w:eastAsia="zh-CN"/>
        </w:rPr>
        <w:t>100</w:t>
      </w:r>
      <w:r>
        <w:rPr>
          <w:rFonts w:hint="eastAsia" w:ascii="仿宋" w:hAnsi="仿宋" w:eastAsia="仿宋"/>
          <w:sz w:val="32"/>
          <w:szCs w:val="32"/>
        </w:rPr>
        <w:t>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r>
        <w:rPr>
          <w:rFonts w:hint="eastAsia" w:ascii="仿宋" w:hAnsi="仿宋" w:eastAsia="仿宋"/>
          <w:sz w:val="32"/>
          <w:szCs w:val="32"/>
          <w:lang w:eastAsia="zh-CN"/>
        </w:rPr>
        <w:t>根据</w:t>
      </w:r>
      <w:r>
        <w:rPr>
          <w:rFonts w:hint="eastAsia" w:ascii="仿宋" w:hAnsi="仿宋" w:eastAsia="仿宋"/>
          <w:sz w:val="32"/>
          <w:szCs w:val="32"/>
          <w:lang w:val="en-US" w:eastAsia="zh-CN"/>
        </w:rPr>
        <w:t>2024年总体情况进行评价得分为90分，等级为优秀。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lang w:val="en-US" w:eastAsia="zh-CN"/>
        </w:rPr>
        <w:t>无</w:t>
      </w:r>
    </w:p>
    <w:p>
      <w:pPr>
        <w:numPr>
          <w:ilvl w:val="0"/>
          <w:numId w:val="6"/>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无</w:t>
      </w:r>
    </w:p>
    <w:p>
      <w:pPr>
        <w:spacing w:line="560" w:lineRule="exact"/>
        <w:rPr>
          <w:rFonts w:ascii="仿宋" w:hAnsi="仿宋" w:eastAsia="仿宋"/>
        </w:rPr>
      </w:pP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WAAAAZHJzL1BLAQIUABQAAAAIAIdO4kDOqXm5zwAAAAUBAAAPAAAAAAAAAAEAIAAAADgAAABk&#10;cnMvZG93bnJldi54bWxQSwECFAAUAAAACACHTuJAy2adD8ABAACdAwAADgAAAAAAAAABACAAAAA0&#10;AQAAZHJzL2Uyb0RvYy54bWxQSwUGAAAAAAYABgBZAQAAZ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5896A4"/>
    <w:multiLevelType w:val="singleLevel"/>
    <w:tmpl w:val="DC5896A4"/>
    <w:lvl w:ilvl="0" w:tentative="0">
      <w:start w:val="4"/>
      <w:numFmt w:val="decimal"/>
      <w:suff w:val="nothing"/>
      <w:lvlText w:val="%1．"/>
      <w:lvlJc w:val="left"/>
    </w:lvl>
  </w:abstractNum>
  <w:abstractNum w:abstractNumId="1">
    <w:nsid w:val="FDEF0DDE"/>
    <w:multiLevelType w:val="singleLevel"/>
    <w:tmpl w:val="FDEF0DDE"/>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AFA2AEB"/>
    <w:multiLevelType w:val="singleLevel"/>
    <w:tmpl w:val="5AFA2AEB"/>
    <w:lvl w:ilvl="0" w:tentative="0">
      <w:start w:val="1"/>
      <w:numFmt w:val="decimal"/>
      <w:suff w:val="nothing"/>
      <w:lvlText w:val="%1、"/>
      <w:lvlJc w:val="left"/>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5">
    <w:nsid w:val="6D01FE7F"/>
    <w:multiLevelType w:val="singleLevel"/>
    <w:tmpl w:val="6D01FE7F"/>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0884BE6"/>
    <w:rsid w:val="11B71E6A"/>
    <w:rsid w:val="1AAF0063"/>
    <w:rsid w:val="1B7F1876"/>
    <w:rsid w:val="1BE140DE"/>
    <w:rsid w:val="1E542E40"/>
    <w:rsid w:val="248C197D"/>
    <w:rsid w:val="252959AF"/>
    <w:rsid w:val="277A6671"/>
    <w:rsid w:val="292D35B7"/>
    <w:rsid w:val="33EB6CFF"/>
    <w:rsid w:val="35A12947"/>
    <w:rsid w:val="37387040"/>
    <w:rsid w:val="3B625C0A"/>
    <w:rsid w:val="3CEE1963"/>
    <w:rsid w:val="3FBBA3C1"/>
    <w:rsid w:val="436B78D3"/>
    <w:rsid w:val="4C9C27FE"/>
    <w:rsid w:val="4ECBAB59"/>
    <w:rsid w:val="512260B4"/>
    <w:rsid w:val="52BD6ACB"/>
    <w:rsid w:val="55537534"/>
    <w:rsid w:val="561A74F1"/>
    <w:rsid w:val="58B17416"/>
    <w:rsid w:val="597244E8"/>
    <w:rsid w:val="5EB71C30"/>
    <w:rsid w:val="66AF0CE5"/>
    <w:rsid w:val="67FF105E"/>
    <w:rsid w:val="68AC2130"/>
    <w:rsid w:val="6AC537CF"/>
    <w:rsid w:val="6D8FF08E"/>
    <w:rsid w:val="6E5B14A6"/>
    <w:rsid w:val="711B255E"/>
    <w:rsid w:val="7B6855DF"/>
    <w:rsid w:val="7BB51E06"/>
    <w:rsid w:val="7BF644F7"/>
    <w:rsid w:val="7C387F7C"/>
    <w:rsid w:val="7D7ED134"/>
    <w:rsid w:val="7FE83423"/>
    <w:rsid w:val="7FFB7B29"/>
    <w:rsid w:val="7FFE8817"/>
    <w:rsid w:val="9FF78AF8"/>
    <w:rsid w:val="B7AE6C8D"/>
    <w:rsid w:val="BF7F8343"/>
    <w:rsid w:val="D3DF0D17"/>
    <w:rsid w:val="DDED803E"/>
    <w:rsid w:val="EADF5E2D"/>
    <w:rsid w:val="FB21A76F"/>
    <w:rsid w:val="FCFDC3C0"/>
    <w:rsid w:val="FDDF1FB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TotalTime>1</TotalTime>
  <ScaleCrop>false</ScaleCrop>
  <LinksUpToDate>false</LinksUpToDate>
  <CharactersWithSpaces>612</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2020-02-08T03:46:00Z</dcterms:created>
  <dc:creator>欣欣大人</dc:creator>
  <cp:lastModifiedBy>.</cp:lastModifiedBy>
  <cp:lastPrinted>2025-05-23T15:57:00Z</cp:lastPrinted>
  <dcterms:modified xsi:type="dcterms:W3CDTF">2026-04-23T11:21:46Z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4148B959328FB806A62A0F68990140A2</vt:lpwstr>
  </property>
  <property fmtid="{D5CDD505-2E9C-101B-9397-08002B2CF9AE}" pid="4" name="KSOTemplateDocerSaveRecord">
    <vt:lpwstr>eyJoZGlkIjoiMDRiNGJkYjBiMjRiNTM2Zjk5YWM2NmU3YTc2OThjMTYiLCJ1c2VySWQiOiIxMDI2NzA5MTgxIn0=</vt:lpwstr>
  </property>
</Properties>
</file>