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3" w:firstLineChars="200"/>
        <w:jc w:val="center"/>
        <w:rPr>
          <w:rFonts w:ascii="Times New Roman" w:hAnsi="Times New Roman" w:eastAsia="方正小标宋_GBK" w:cs="Times New Roman"/>
          <w:b/>
          <w:bCs/>
          <w:sz w:val="44"/>
          <w:szCs w:val="44"/>
        </w:rPr>
      </w:pPr>
      <w:r>
        <w:rPr>
          <w:rFonts w:hint="eastAsia" w:ascii="Times New Roman" w:hAnsi="Times New Roman" w:eastAsia="方正小标宋_GBK"/>
          <w:b/>
          <w:bCs/>
          <w:sz w:val="44"/>
          <w:szCs w:val="44"/>
        </w:rPr>
        <w:t>石家庄市桥西区审计局</w:t>
      </w:r>
      <w:r>
        <w:rPr>
          <w:rFonts w:ascii="Times New Roman" w:hAnsi="Times New Roman" w:eastAsia="方正小标宋_GBK" w:cs="Times New Roman"/>
          <w:b/>
          <w:bCs/>
          <w:sz w:val="44"/>
          <w:szCs w:val="44"/>
        </w:rPr>
        <w:t>20</w:t>
      </w:r>
      <w:r>
        <w:rPr>
          <w:rFonts w:hint="eastAsia" w:ascii="Times New Roman" w:hAnsi="Times New Roman" w:eastAsia="方正小标宋_GBK" w:cs="Times New Roman"/>
          <w:b/>
          <w:bCs/>
          <w:sz w:val="44"/>
          <w:szCs w:val="44"/>
          <w:lang w:val="en-US" w:eastAsia="zh-CN"/>
        </w:rPr>
        <w:t>20</w:t>
      </w:r>
      <w:r>
        <w:rPr>
          <w:rFonts w:ascii="Times New Roman" w:hAnsi="Times New Roman" w:eastAsia="方正小标宋_GBK" w:cs="Times New Roman"/>
          <w:b/>
          <w:bCs/>
          <w:sz w:val="44"/>
          <w:szCs w:val="44"/>
        </w:rPr>
        <w:t>年部门预算信息公开</w:t>
      </w:r>
      <w:r>
        <w:rPr>
          <w:rFonts w:hint="eastAsia" w:ascii="Times New Roman" w:hAnsi="Times New Roman" w:eastAsia="方正小标宋_GBK" w:cs="Times New Roman"/>
          <w:b/>
          <w:bCs/>
          <w:sz w:val="44"/>
          <w:szCs w:val="44"/>
        </w:rPr>
        <w:t>情况说明</w:t>
      </w:r>
    </w:p>
    <w:p>
      <w:pPr>
        <w:keepNext w:val="0"/>
        <w:keepLines w:val="0"/>
        <w:widowControl/>
        <w:suppressLineNumbers w:val="0"/>
        <w:ind w:firstLine="620" w:firstLineChars="200"/>
        <w:jc w:val="left"/>
        <w:rPr>
          <w:rFonts w:hint="eastAsia" w:ascii="Arial Unicode MS" w:hAnsi="Arial Unicode MS" w:eastAsia="Arial Unicode MS" w:cs="Arial Unicode MS"/>
          <w:b/>
          <w:bCs/>
          <w:color w:val="000000"/>
          <w:kern w:val="0"/>
          <w:sz w:val="31"/>
          <w:szCs w:val="31"/>
          <w:lang w:val="en-US" w:eastAsia="zh-CN" w:bidi="ar"/>
        </w:rPr>
      </w:pPr>
      <w:r>
        <w:rPr>
          <w:rFonts w:hint="eastAsia" w:ascii="Arial Unicode MS" w:hAnsi="Arial Unicode MS" w:eastAsia="Arial Unicode MS" w:cs="Arial Unicode MS"/>
          <w:b/>
          <w:bCs/>
          <w:color w:val="000000"/>
          <w:kern w:val="0"/>
          <w:sz w:val="31"/>
          <w:szCs w:val="31"/>
          <w:lang w:val="en-US" w:eastAsia="zh-CN" w:bidi="ar"/>
        </w:rPr>
        <w:t>按照《预算法》、《地方预决算公开操作规程》和《河北省省级预算公开办法》规定，现将石家庄市桥西区审计局2020年部门预算公开如下：</w:t>
      </w:r>
    </w:p>
    <w:p>
      <w:pPr>
        <w:keepNext w:val="0"/>
        <w:keepLines w:val="0"/>
        <w:widowControl/>
        <w:suppressLineNumbers w:val="0"/>
        <w:ind w:firstLine="620" w:firstLineChars="200"/>
        <w:jc w:val="left"/>
        <w:rPr>
          <w:rFonts w:ascii="Arial Unicode MS" w:hAnsi="Arial Unicode MS" w:eastAsia="Arial Unicode MS" w:cs="Arial Unicode MS"/>
          <w:b/>
          <w:bCs/>
          <w:color w:val="000000"/>
          <w:kern w:val="0"/>
          <w:sz w:val="31"/>
          <w:szCs w:val="31"/>
          <w:lang w:val="en-US" w:eastAsia="zh-CN" w:bidi="ar"/>
        </w:rPr>
      </w:pPr>
      <w:r>
        <w:rPr>
          <w:rFonts w:hint="eastAsia" w:ascii="Arial Unicode MS" w:hAnsi="Arial Unicode MS" w:eastAsia="Arial Unicode MS" w:cs="Arial Unicode MS"/>
          <w:b/>
          <w:bCs/>
          <w:color w:val="000000"/>
          <w:kern w:val="0"/>
          <w:sz w:val="31"/>
          <w:szCs w:val="31"/>
          <w:lang w:val="en-US" w:eastAsia="zh-CN" w:bidi="ar"/>
        </w:rPr>
        <w:t>一、部门职责及机构设置情况</w:t>
      </w:r>
    </w:p>
    <w:p>
      <w:pPr>
        <w:keepNext w:val="0"/>
        <w:keepLines w:val="0"/>
        <w:widowControl/>
        <w:suppressLineNumbers w:val="0"/>
        <w:ind w:firstLine="620" w:firstLineChars="200"/>
        <w:jc w:val="left"/>
        <w:rPr>
          <w:rFonts w:ascii="Arial Unicode MS" w:hAnsi="Arial Unicode MS" w:eastAsia="Arial Unicode MS" w:cs="Arial Unicode MS"/>
          <w:b/>
          <w:bCs/>
          <w:color w:val="000000"/>
          <w:kern w:val="0"/>
          <w:sz w:val="31"/>
          <w:szCs w:val="31"/>
          <w:lang w:val="en-US" w:eastAsia="zh-CN" w:bidi="ar"/>
        </w:rPr>
      </w:pPr>
      <w:r>
        <w:rPr>
          <w:rFonts w:hint="eastAsia" w:ascii="Arial Unicode MS" w:hAnsi="Arial Unicode MS" w:eastAsia="Arial Unicode MS" w:cs="Arial Unicode MS"/>
          <w:b/>
          <w:bCs/>
          <w:color w:val="000000"/>
          <w:kern w:val="0"/>
          <w:sz w:val="31"/>
          <w:szCs w:val="31"/>
          <w:lang w:val="en-US" w:eastAsia="zh-CN" w:bidi="ar"/>
        </w:rPr>
        <w:t>部门</w:t>
      </w:r>
      <w:r>
        <w:rPr>
          <w:rFonts w:ascii="Arial Unicode MS" w:hAnsi="Arial Unicode MS" w:eastAsia="Arial Unicode MS" w:cs="Arial Unicode MS"/>
          <w:b/>
          <w:bCs/>
          <w:color w:val="000000"/>
          <w:kern w:val="0"/>
          <w:sz w:val="31"/>
          <w:szCs w:val="31"/>
          <w:lang w:val="en-US" w:eastAsia="zh-CN" w:bidi="ar"/>
        </w:rPr>
        <w:t>职责：</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一）主管全区审计工作。负责对区政府财政收支和法律法规规定属于审计监督范围的财政支出的真实、合法和效益进行审计监督，对直接审计、调查和核查的事项依法进行审计评价，做出审计决定或提出审计建议，以维护财政经济秩序，提高财政资金使用效益，促进廉政建设，保障全区经济和社会健康发展。对审计、专项审计调查和核查社会审计机构相关审计报告的结果承担责任，并负有督促被审计单位整改的责任。</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（二）制定并组织实施全区审计工作发展规划、专业领域审计工作规划和年度审计计划。</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三）向区长提出区本级年度预算执行和其他财政收支情况的审计结果报告。受区政府委托向区人大常委会提出区政府预算执行和其他财政收支情况的审计工作报告、审计发现问题的纠正和处理结果报告。向区政府报告对其他事项的审计和专项审计调查情况及结果。依法向社会公布审计结果。</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（四）直接审计下列事项，出具审计报告，在法定职权范围内做出审计决定，提出处理、处罚的建议：</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1.区本级财政预算执行情况和其他财政收支，区机关、事业单位预算执行情况和其他财政收支，中央、省和市财政转移支付资金。区财政直接管辖的街道办事处、区直机关、事业单位预算执行情况、决算和其他财政收支，中央、省和市财政转移支付资金。</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2.使用区级财政资金的事业单位和社会团体的财务收支。</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3.按规定对区街道办事处、区直有关部门、事业单位党政主要领导干部，区属企业领导人及依法属于区审计机关审计监督对象的其他单位主要负责人实施经济责任审计。</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4.国家投资建设项目的预算执行情况和决算。</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5.区属国有企业和国有资本占控股或主导地位企业资产、负债和损益情况。</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6.区政府管理和其他单位受区政府及其部门委托管理的社会保障基金、社会捐赠资金及其他有关基金、资金的财务收支。</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7.国际组织和外国政府援助、贷款项目的财务收支。</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8.法律、行政法规规定的应当由审计机关审计的其他事项。</w:t>
      </w:r>
    </w:p>
    <w:p>
      <w:pPr>
        <w:keepNext w:val="0"/>
        <w:keepLines w:val="0"/>
        <w:widowControl/>
        <w:suppressLineNumbers w:val="0"/>
        <w:ind w:firstLine="310" w:firstLineChars="1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（五）依法检查审计决定执行情况，督促纠正和处理审计发现的问题，依法办理被审计单位对审计决定提请行政复议、行政诉讼或区政府裁决中的有关事项。协助配合有关部门查处相关重大事件。</w:t>
      </w:r>
    </w:p>
    <w:p>
      <w:pPr>
        <w:keepNext w:val="0"/>
        <w:keepLines w:val="0"/>
        <w:widowControl/>
        <w:suppressLineNumbers w:val="0"/>
        <w:ind w:firstLine="310" w:firstLineChars="1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（六）指导和监督内部审计工作，核查社会审计机构对依法属于审计监督对象的单位出具相关审计报告。</w:t>
      </w:r>
    </w:p>
    <w:p>
      <w:pPr>
        <w:keepNext w:val="0"/>
        <w:keepLines w:val="0"/>
        <w:widowControl/>
        <w:suppressLineNumbers w:val="0"/>
        <w:ind w:firstLine="310" w:firstLineChars="1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（七）承办区政府交办的其他事项。</w:t>
      </w:r>
    </w:p>
    <w:p>
      <w:pPr>
        <w:keepNext w:val="0"/>
        <w:keepLines w:val="0"/>
        <w:widowControl/>
        <w:suppressLineNumbers w:val="0"/>
        <w:jc w:val="left"/>
        <w:rPr>
          <w:rFonts w:hint="eastAsia" w:ascii="Arial Unicode MS" w:hAnsi="Arial Unicode MS" w:eastAsia="Arial Unicode MS" w:cs="Arial Unicode MS"/>
          <w:color w:val="000000"/>
          <w:kern w:val="0"/>
          <w:sz w:val="31"/>
          <w:szCs w:val="31"/>
          <w:lang w:val="en-US" w:eastAsia="zh-CN" w:bidi="ar"/>
        </w:rPr>
      </w:pPr>
    </w:p>
    <w:p>
      <w:pPr>
        <w:keepNext w:val="0"/>
        <w:keepLines w:val="0"/>
        <w:widowControl/>
        <w:suppressLineNumbers w:val="0"/>
        <w:jc w:val="left"/>
        <w:rPr>
          <w:rFonts w:hint="eastAsia" w:ascii="Arial Unicode MS" w:hAnsi="Arial Unicode MS" w:eastAsia="Arial Unicode MS" w:cs="Arial Unicode MS"/>
          <w:b/>
          <w:bCs/>
          <w:color w:val="000000"/>
          <w:kern w:val="0"/>
          <w:sz w:val="31"/>
          <w:szCs w:val="31"/>
          <w:lang w:val="en-US" w:eastAsia="zh-CN" w:bidi="ar"/>
        </w:rPr>
      </w:pPr>
      <w:r>
        <w:rPr>
          <w:rFonts w:hint="eastAsia" w:ascii="Arial Unicode MS" w:hAnsi="Arial Unicode MS" w:eastAsia="Arial Unicode MS" w:cs="Arial Unicode MS"/>
          <w:b/>
          <w:bCs/>
          <w:color w:val="000000"/>
          <w:kern w:val="0"/>
          <w:sz w:val="31"/>
          <w:szCs w:val="31"/>
          <w:lang w:val="en-US" w:eastAsia="zh-CN" w:bidi="ar"/>
        </w:rPr>
        <w:t>机构设置：</w:t>
      </w:r>
    </w:p>
    <w:p>
      <w:pPr>
        <w:keepNext w:val="0"/>
        <w:keepLines w:val="0"/>
        <w:widowControl/>
        <w:suppressLineNumbers w:val="0"/>
        <w:jc w:val="left"/>
        <w:rPr>
          <w:rFonts w:ascii="Arial Unicode MS" w:hAnsi="Arial Unicode MS" w:eastAsia="Arial Unicode MS" w:cs="Arial Unicode MS"/>
          <w:color w:val="000000"/>
          <w:kern w:val="0"/>
          <w:sz w:val="31"/>
          <w:szCs w:val="31"/>
          <w:lang w:val="en-US" w:eastAsia="zh-CN" w:bidi="ar"/>
        </w:rPr>
      </w:pPr>
      <w:r>
        <w:rPr>
          <w:rFonts w:ascii="Arial Unicode MS" w:hAnsi="Arial Unicode MS" w:eastAsia="Arial Unicode MS" w:cs="Arial Unicode MS"/>
          <w:color w:val="000000"/>
          <w:kern w:val="0"/>
          <w:sz w:val="31"/>
          <w:szCs w:val="31"/>
          <w:lang w:val="en-US" w:eastAsia="zh-CN" w:bidi="ar"/>
        </w:rPr>
        <w:t>部门</w:t>
      </w:r>
      <w:r>
        <w:rPr>
          <w:rFonts w:hint="eastAsia" w:ascii="Arial Unicode MS" w:hAnsi="Arial Unicode MS" w:eastAsia="Arial Unicode MS" w:cs="Arial Unicode MS"/>
          <w:color w:val="000000"/>
          <w:kern w:val="0"/>
          <w:sz w:val="31"/>
          <w:szCs w:val="31"/>
          <w:lang w:val="en-US" w:eastAsia="zh-CN" w:bidi="ar"/>
        </w:rPr>
        <w:t>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noWrap w:val="0"/>
            <w:vAlign w:val="center"/>
          </w:tcPr>
          <w:p>
            <w:pPr>
              <w:keepNext w:val="0"/>
              <w:keepLines w:val="0"/>
              <w:widowControl/>
              <w:suppressLineNumbers w:val="0"/>
              <w:jc w:val="left"/>
              <w:rPr>
                <w:rFonts w:ascii="Arial Unicode MS" w:hAnsi="Arial Unicode MS" w:eastAsia="Arial Unicode MS" w:cs="Arial Unicode MS"/>
                <w:color w:val="000000"/>
                <w:kern w:val="0"/>
                <w:sz w:val="31"/>
                <w:szCs w:val="31"/>
                <w:lang w:val="en-US" w:eastAsia="zh-CN" w:bidi="ar"/>
              </w:rPr>
            </w:pPr>
            <w:r>
              <w:rPr>
                <w:rFonts w:ascii="Arial Unicode MS" w:hAnsi="Arial Unicode MS" w:eastAsia="Arial Unicode MS" w:cs="Arial Unicode MS"/>
                <w:color w:val="000000"/>
                <w:kern w:val="0"/>
                <w:sz w:val="31"/>
                <w:szCs w:val="31"/>
                <w:lang w:val="en-US" w:eastAsia="zh-CN" w:bidi="ar"/>
              </w:rPr>
              <w:t>单位名称</w:t>
            </w:r>
          </w:p>
        </w:tc>
        <w:tc>
          <w:tcPr>
            <w:tcW w:w="1134" w:type="dxa"/>
            <w:vMerge w:val="restart"/>
            <w:noWrap w:val="0"/>
            <w:vAlign w:val="center"/>
          </w:tcPr>
          <w:p>
            <w:pPr>
              <w:keepNext w:val="0"/>
              <w:keepLines w:val="0"/>
              <w:widowControl/>
              <w:suppressLineNumbers w:val="0"/>
              <w:jc w:val="left"/>
              <w:rPr>
                <w:rFonts w:ascii="Arial Unicode MS" w:hAnsi="Arial Unicode MS" w:eastAsia="Arial Unicode MS" w:cs="Arial Unicode MS"/>
                <w:color w:val="000000"/>
                <w:kern w:val="0"/>
                <w:sz w:val="31"/>
                <w:szCs w:val="31"/>
                <w:lang w:val="en-US" w:eastAsia="zh-CN" w:bidi="ar"/>
              </w:rPr>
            </w:pPr>
            <w:r>
              <w:rPr>
                <w:rFonts w:ascii="Arial Unicode MS" w:hAnsi="Arial Unicode MS" w:eastAsia="Arial Unicode MS" w:cs="Arial Unicode MS"/>
                <w:color w:val="000000"/>
                <w:kern w:val="0"/>
                <w:sz w:val="31"/>
                <w:szCs w:val="31"/>
                <w:lang w:val="en-US" w:eastAsia="zh-CN" w:bidi="ar"/>
              </w:rPr>
              <w:t>单位性质</w:t>
            </w:r>
          </w:p>
        </w:tc>
        <w:tc>
          <w:tcPr>
            <w:tcW w:w="1276" w:type="dxa"/>
            <w:vMerge w:val="restart"/>
            <w:noWrap w:val="0"/>
            <w:vAlign w:val="center"/>
          </w:tcPr>
          <w:p>
            <w:pPr>
              <w:keepNext w:val="0"/>
              <w:keepLines w:val="0"/>
              <w:widowControl/>
              <w:suppressLineNumbers w:val="0"/>
              <w:jc w:val="left"/>
              <w:rPr>
                <w:rFonts w:ascii="Arial Unicode MS" w:hAnsi="Arial Unicode MS" w:eastAsia="Arial Unicode MS" w:cs="Arial Unicode MS"/>
                <w:color w:val="000000"/>
                <w:kern w:val="0"/>
                <w:sz w:val="31"/>
                <w:szCs w:val="31"/>
                <w:lang w:val="en-US" w:eastAsia="zh-CN" w:bidi="ar"/>
              </w:rPr>
            </w:pPr>
            <w:r>
              <w:rPr>
                <w:rFonts w:ascii="Arial Unicode MS" w:hAnsi="Arial Unicode MS" w:eastAsia="Arial Unicode MS" w:cs="Arial Unicode MS"/>
                <w:color w:val="000000"/>
                <w:kern w:val="0"/>
                <w:sz w:val="31"/>
                <w:szCs w:val="31"/>
                <w:lang w:val="en-US" w:eastAsia="zh-CN" w:bidi="ar"/>
              </w:rPr>
              <w:t>单位规格</w:t>
            </w:r>
          </w:p>
        </w:tc>
        <w:tc>
          <w:tcPr>
            <w:tcW w:w="2902" w:type="dxa"/>
            <w:vMerge w:val="restart"/>
            <w:noWrap w:val="0"/>
            <w:vAlign w:val="center"/>
          </w:tcPr>
          <w:p>
            <w:pPr>
              <w:keepNext w:val="0"/>
              <w:keepLines w:val="0"/>
              <w:widowControl/>
              <w:suppressLineNumbers w:val="0"/>
              <w:jc w:val="left"/>
              <w:rPr>
                <w:rFonts w:ascii="Arial Unicode MS" w:hAnsi="Arial Unicode MS" w:eastAsia="Arial Unicode MS" w:cs="Arial Unicode MS"/>
                <w:color w:val="000000"/>
                <w:kern w:val="0"/>
                <w:sz w:val="31"/>
                <w:szCs w:val="31"/>
                <w:lang w:val="en-US" w:eastAsia="zh-CN" w:bidi="ar"/>
              </w:rPr>
            </w:pPr>
            <w:r>
              <w:rPr>
                <w:rFonts w:ascii="Arial Unicode MS" w:hAnsi="Arial Unicode MS" w:eastAsia="Arial Unicode MS" w:cs="Arial Unicode MS"/>
                <w:color w:val="000000"/>
                <w:kern w:val="0"/>
                <w:sz w:val="31"/>
                <w:szCs w:val="31"/>
                <w:lang w:val="en-US" w:eastAsia="zh-CN" w:bidi="ar"/>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noWrap w:val="0"/>
            <w:vAlign w:val="center"/>
          </w:tcPr>
          <w:p>
            <w:pPr>
              <w:keepNext w:val="0"/>
              <w:keepLines w:val="0"/>
              <w:widowControl/>
              <w:suppressLineNumbers w:val="0"/>
              <w:jc w:val="left"/>
              <w:rPr>
                <w:rFonts w:ascii="Arial Unicode MS" w:hAnsi="Arial Unicode MS" w:eastAsia="Arial Unicode MS" w:cs="Arial Unicode MS"/>
                <w:color w:val="000000"/>
                <w:kern w:val="0"/>
                <w:sz w:val="31"/>
                <w:szCs w:val="31"/>
                <w:lang w:val="en-US" w:eastAsia="zh-CN" w:bidi="ar"/>
              </w:rPr>
            </w:pPr>
          </w:p>
        </w:tc>
        <w:tc>
          <w:tcPr>
            <w:tcW w:w="1134" w:type="dxa"/>
            <w:vMerge w:val="continue"/>
            <w:noWrap w:val="0"/>
            <w:vAlign w:val="center"/>
          </w:tcPr>
          <w:p>
            <w:pPr>
              <w:keepNext w:val="0"/>
              <w:keepLines w:val="0"/>
              <w:widowControl/>
              <w:suppressLineNumbers w:val="0"/>
              <w:jc w:val="left"/>
              <w:rPr>
                <w:rFonts w:ascii="Arial Unicode MS" w:hAnsi="Arial Unicode MS" w:eastAsia="Arial Unicode MS" w:cs="Arial Unicode MS"/>
                <w:color w:val="000000"/>
                <w:kern w:val="0"/>
                <w:sz w:val="31"/>
                <w:szCs w:val="31"/>
                <w:lang w:val="en-US" w:eastAsia="zh-CN" w:bidi="ar"/>
              </w:rPr>
            </w:pPr>
          </w:p>
        </w:tc>
        <w:tc>
          <w:tcPr>
            <w:tcW w:w="1276" w:type="dxa"/>
            <w:vMerge w:val="continue"/>
            <w:noWrap w:val="0"/>
            <w:vAlign w:val="center"/>
          </w:tcPr>
          <w:p>
            <w:pPr>
              <w:keepNext w:val="0"/>
              <w:keepLines w:val="0"/>
              <w:widowControl/>
              <w:suppressLineNumbers w:val="0"/>
              <w:jc w:val="left"/>
              <w:rPr>
                <w:rFonts w:ascii="Arial Unicode MS" w:hAnsi="Arial Unicode MS" w:eastAsia="Arial Unicode MS" w:cs="Arial Unicode MS"/>
                <w:color w:val="000000"/>
                <w:kern w:val="0"/>
                <w:sz w:val="31"/>
                <w:szCs w:val="31"/>
                <w:lang w:val="en-US" w:eastAsia="zh-CN" w:bidi="ar"/>
              </w:rPr>
            </w:pPr>
          </w:p>
        </w:tc>
        <w:tc>
          <w:tcPr>
            <w:tcW w:w="2902" w:type="dxa"/>
            <w:vMerge w:val="continue"/>
            <w:noWrap w:val="0"/>
            <w:vAlign w:val="center"/>
          </w:tcPr>
          <w:p>
            <w:pPr>
              <w:keepNext w:val="0"/>
              <w:keepLines w:val="0"/>
              <w:widowControl/>
              <w:suppressLineNumbers w:val="0"/>
              <w:jc w:val="left"/>
              <w:rPr>
                <w:rFonts w:ascii="Arial Unicode MS" w:hAnsi="Arial Unicode MS" w:eastAsia="Arial Unicode MS" w:cs="Arial Unicode MS"/>
                <w:color w:val="000000"/>
                <w:kern w:val="0"/>
                <w:sz w:val="31"/>
                <w:szCs w:val="31"/>
                <w:lang w:val="en-US"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2" w:hRule="atLeast"/>
          <w:jc w:val="center"/>
        </w:trPr>
        <w:tc>
          <w:tcPr>
            <w:tcW w:w="4417" w:type="dxa"/>
            <w:noWrap w:val="0"/>
            <w:vAlign w:val="center"/>
          </w:tcPr>
          <w:p>
            <w:pPr>
              <w:keepNext w:val="0"/>
              <w:keepLines w:val="0"/>
              <w:widowControl/>
              <w:suppressLineNumbers w:val="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石家庄市桥西区审计局机关</w:t>
            </w:r>
          </w:p>
        </w:tc>
        <w:tc>
          <w:tcPr>
            <w:tcW w:w="1134" w:type="dxa"/>
            <w:noWrap w:val="0"/>
            <w:vAlign w:val="center"/>
          </w:tcPr>
          <w:p>
            <w:pPr>
              <w:keepNext w:val="0"/>
              <w:keepLines w:val="0"/>
              <w:widowControl/>
              <w:suppressLineNumbers w:val="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行政</w:t>
            </w:r>
          </w:p>
        </w:tc>
        <w:tc>
          <w:tcPr>
            <w:tcW w:w="1276" w:type="dxa"/>
            <w:noWrap w:val="0"/>
            <w:vAlign w:val="center"/>
          </w:tcPr>
          <w:p>
            <w:pPr>
              <w:keepNext w:val="0"/>
              <w:keepLines w:val="0"/>
              <w:widowControl/>
              <w:suppressLineNumbers w:val="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正科级</w:t>
            </w:r>
          </w:p>
        </w:tc>
        <w:tc>
          <w:tcPr>
            <w:tcW w:w="2902" w:type="dxa"/>
            <w:noWrap w:val="0"/>
            <w:vAlign w:val="center"/>
          </w:tcPr>
          <w:p>
            <w:pPr>
              <w:keepNext w:val="0"/>
              <w:keepLines w:val="0"/>
              <w:widowControl/>
              <w:suppressLineNumbers w:val="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财政拨款</w:t>
            </w:r>
          </w:p>
        </w:tc>
      </w:tr>
    </w:tbl>
    <w:p>
      <w:pPr>
        <w:keepNext w:val="0"/>
        <w:keepLines w:val="0"/>
        <w:widowControl/>
        <w:suppressLineNumbers w:val="0"/>
        <w:jc w:val="left"/>
        <w:rPr>
          <w:rFonts w:hint="eastAsia" w:ascii="Arial Unicode MS" w:hAnsi="Arial Unicode MS" w:eastAsia="Arial Unicode MS" w:cs="Arial Unicode MS"/>
          <w:color w:val="000000"/>
          <w:kern w:val="0"/>
          <w:sz w:val="31"/>
          <w:szCs w:val="31"/>
          <w:lang w:val="en-US" w:eastAsia="zh-CN" w:bidi="ar"/>
        </w:rPr>
      </w:pPr>
      <w:r>
        <w:rPr>
          <w:rFonts w:ascii="Arial Unicode MS" w:hAnsi="Arial Unicode MS" w:eastAsia="Arial Unicode MS" w:cs="Arial Unicode MS"/>
          <w:color w:val="000000"/>
          <w:kern w:val="0"/>
          <w:sz w:val="31"/>
          <w:szCs w:val="31"/>
          <w:lang w:val="en-US" w:eastAsia="zh-CN" w:bidi="ar"/>
        </w:rPr>
        <w:br w:type="textWrapping"/>
      </w:r>
    </w:p>
    <w:p>
      <w:pPr>
        <w:keepNext w:val="0"/>
        <w:keepLines w:val="0"/>
        <w:widowControl/>
        <w:suppressLineNumbers w:val="0"/>
        <w:ind w:firstLine="620" w:firstLineChars="200"/>
        <w:jc w:val="left"/>
        <w:rPr>
          <w:rFonts w:ascii="Arial Unicode MS" w:hAnsi="Arial Unicode MS" w:eastAsia="Arial Unicode MS" w:cs="Arial Unicode MS"/>
          <w:b/>
          <w:bCs/>
          <w:color w:val="000000"/>
          <w:kern w:val="0"/>
          <w:sz w:val="31"/>
          <w:szCs w:val="31"/>
          <w:lang w:val="en-US" w:eastAsia="zh-CN" w:bidi="ar"/>
        </w:rPr>
      </w:pPr>
      <w:r>
        <w:rPr>
          <w:rFonts w:hint="eastAsia" w:ascii="Arial Unicode MS" w:hAnsi="Arial Unicode MS" w:eastAsia="Arial Unicode MS" w:cs="Arial Unicode MS"/>
          <w:b/>
          <w:bCs/>
          <w:color w:val="000000"/>
          <w:kern w:val="0"/>
          <w:sz w:val="31"/>
          <w:szCs w:val="31"/>
          <w:lang w:val="en-US" w:eastAsia="zh-CN" w:bidi="ar"/>
        </w:rPr>
        <w:t>二、部门预算安排的总体情况</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按照预算管理有关规定，目前我部门预算的编制实行综合预算管理，即全部收入和支出都反映在预算中。</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1、收入说明</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桥西区审计局2020年预算收入380.43万元。按收入</w:t>
      </w:r>
      <w:r>
        <w:rPr>
          <w:rFonts w:ascii="Arial Unicode MS" w:hAnsi="Arial Unicode MS" w:eastAsia="Arial Unicode MS" w:cs="Arial Unicode MS"/>
          <w:color w:val="000000"/>
          <w:kern w:val="0"/>
          <w:sz w:val="31"/>
          <w:szCs w:val="31"/>
          <w:lang w:val="en-US" w:eastAsia="zh-CN" w:bidi="ar"/>
        </w:rPr>
        <w:t>来源划分</w:t>
      </w:r>
      <w:r>
        <w:rPr>
          <w:rFonts w:hint="eastAsia" w:ascii="Arial Unicode MS" w:hAnsi="Arial Unicode MS" w:eastAsia="Arial Unicode MS" w:cs="Arial Unicode MS"/>
          <w:color w:val="000000"/>
          <w:kern w:val="0"/>
          <w:sz w:val="31"/>
          <w:szCs w:val="31"/>
          <w:lang w:val="en-US" w:eastAsia="zh-CN" w:bidi="ar"/>
        </w:rPr>
        <w:t>：2020年我部门预算收入安排380.43万元，其中一般公共预算收入380.43万元，占100%，财政专户核拨资金0元，政府性基金收入0万元，国有资本经营预算收入0万元，事业收入0万元，其他收入0万元。</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2、支出说明</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收支预算总表支出栏、基本支出表、项目支出表按经济分类和支出功能分类科目编制，反映年度部门预算中支出预算的总体情况。桥西区审计局2020年支出预算380.43万元。其中：基本支出307.83万元，</w:t>
      </w:r>
      <w:r>
        <w:rPr>
          <w:rFonts w:ascii="Arial Unicode MS" w:hAnsi="Arial Unicode MS" w:eastAsia="Arial Unicode MS" w:cs="Arial Unicode MS"/>
          <w:color w:val="000000"/>
          <w:kern w:val="0"/>
          <w:sz w:val="31"/>
          <w:szCs w:val="31"/>
          <w:lang w:val="en-US" w:eastAsia="zh-CN" w:bidi="ar"/>
        </w:rPr>
        <w:t>包括人员经费</w:t>
      </w:r>
      <w:r>
        <w:rPr>
          <w:rFonts w:hint="eastAsia" w:ascii="Arial Unicode MS" w:hAnsi="Arial Unicode MS" w:eastAsia="Arial Unicode MS" w:cs="Arial Unicode MS"/>
          <w:color w:val="000000"/>
          <w:kern w:val="0"/>
          <w:sz w:val="31"/>
          <w:szCs w:val="31"/>
          <w:lang w:val="en-US" w:eastAsia="zh-CN" w:bidi="ar"/>
        </w:rPr>
        <w:t>275.3万元和日常公用经费 32.53</w:t>
      </w:r>
      <w:r>
        <w:rPr>
          <w:rFonts w:hint="default" w:ascii="Arial Unicode MS" w:hAnsi="Arial Unicode MS" w:eastAsia="Arial Unicode MS" w:cs="Arial Unicode MS"/>
          <w:color w:val="000000"/>
          <w:kern w:val="0"/>
          <w:sz w:val="31"/>
          <w:szCs w:val="31"/>
          <w:lang w:val="en-US" w:eastAsia="zh-CN" w:bidi="ar"/>
        </w:rPr>
        <w:t xml:space="preserve"> </w:t>
      </w:r>
      <w:r>
        <w:rPr>
          <w:rFonts w:hint="eastAsia" w:ascii="Arial Unicode MS" w:hAnsi="Arial Unicode MS" w:eastAsia="Arial Unicode MS" w:cs="Arial Unicode MS"/>
          <w:color w:val="000000"/>
          <w:kern w:val="0"/>
          <w:sz w:val="31"/>
          <w:szCs w:val="31"/>
          <w:lang w:val="en-US" w:eastAsia="zh-CN" w:bidi="ar"/>
        </w:rPr>
        <w:t>万元；项目支出72.6万元， 主要为审计业务专项经费和审计管理专项经费。</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3、比上年增减情况</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2020年预算收支安排380.43万元，较2019年预算增加47.58万元，其中：基本支出增加56.98万元，主要为新增人员经费支出；项目支出减少9.4万元，主要为减少信息化专项经费支出。</w:t>
      </w:r>
    </w:p>
    <w:p>
      <w:pPr>
        <w:keepNext w:val="0"/>
        <w:keepLines w:val="0"/>
        <w:widowControl/>
        <w:suppressLineNumbers w:val="0"/>
        <w:ind w:firstLine="620" w:firstLineChars="200"/>
        <w:jc w:val="left"/>
        <w:rPr>
          <w:rFonts w:ascii="Arial Unicode MS" w:hAnsi="Arial Unicode MS" w:eastAsia="Arial Unicode MS" w:cs="Arial Unicode MS"/>
          <w:b/>
          <w:bCs/>
          <w:color w:val="000000"/>
          <w:kern w:val="0"/>
          <w:sz w:val="31"/>
          <w:szCs w:val="31"/>
          <w:lang w:val="en-US" w:eastAsia="zh-CN" w:bidi="ar"/>
        </w:rPr>
      </w:pPr>
      <w:r>
        <w:rPr>
          <w:rFonts w:hint="eastAsia" w:ascii="Arial Unicode MS" w:hAnsi="Arial Unicode MS" w:eastAsia="Arial Unicode MS" w:cs="Arial Unicode MS"/>
          <w:b/>
          <w:bCs/>
          <w:color w:val="000000"/>
          <w:kern w:val="0"/>
          <w:sz w:val="31"/>
          <w:szCs w:val="31"/>
          <w:lang w:val="en-US" w:eastAsia="zh-CN" w:bidi="ar"/>
        </w:rPr>
        <w:t>三、机关运行经费安排情况</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桥西区审计局2020年机关运行经费财政拨款预算32.53万元，较2019年预算增加5.84万元。主要原因是新增人员的经费，</w:t>
      </w:r>
      <w:r>
        <w:rPr>
          <w:rFonts w:ascii="Arial Unicode MS" w:hAnsi="Arial Unicode MS" w:eastAsia="Arial Unicode MS" w:cs="Arial Unicode MS"/>
          <w:color w:val="000000"/>
          <w:kern w:val="0"/>
          <w:sz w:val="31"/>
          <w:szCs w:val="31"/>
          <w:lang w:val="en-US" w:eastAsia="zh-CN" w:bidi="ar"/>
        </w:rPr>
        <w:t>主要用于日常</w:t>
      </w:r>
      <w:r>
        <w:rPr>
          <w:rFonts w:hint="eastAsia" w:ascii="Arial Unicode MS" w:hAnsi="Arial Unicode MS" w:eastAsia="Arial Unicode MS" w:cs="Arial Unicode MS"/>
          <w:color w:val="000000"/>
          <w:kern w:val="0"/>
          <w:sz w:val="31"/>
          <w:szCs w:val="31"/>
          <w:lang w:val="en-US" w:eastAsia="zh-CN" w:bidi="ar"/>
        </w:rPr>
        <w:t>办公费用</w:t>
      </w:r>
      <w:r>
        <w:rPr>
          <w:rFonts w:ascii="Arial Unicode MS" w:hAnsi="Arial Unicode MS" w:eastAsia="Arial Unicode MS" w:cs="Arial Unicode MS"/>
          <w:color w:val="000000"/>
          <w:kern w:val="0"/>
          <w:sz w:val="31"/>
          <w:szCs w:val="31"/>
          <w:lang w:val="en-US" w:eastAsia="zh-CN" w:bidi="ar"/>
        </w:rPr>
        <w:t>、</w:t>
      </w:r>
      <w:r>
        <w:rPr>
          <w:rFonts w:hint="eastAsia" w:ascii="Arial Unicode MS" w:hAnsi="Arial Unicode MS" w:eastAsia="Arial Unicode MS" w:cs="Arial Unicode MS"/>
          <w:color w:val="000000"/>
          <w:kern w:val="0"/>
          <w:sz w:val="31"/>
          <w:szCs w:val="31"/>
          <w:lang w:val="en-US" w:eastAsia="zh-CN" w:bidi="ar"/>
        </w:rPr>
        <w:t>水</w:t>
      </w:r>
      <w:r>
        <w:rPr>
          <w:rFonts w:ascii="Arial Unicode MS" w:hAnsi="Arial Unicode MS" w:eastAsia="Arial Unicode MS" w:cs="Arial Unicode MS"/>
          <w:color w:val="000000"/>
          <w:kern w:val="0"/>
          <w:sz w:val="31"/>
          <w:szCs w:val="31"/>
          <w:lang w:val="en-US" w:eastAsia="zh-CN" w:bidi="ar"/>
        </w:rPr>
        <w:t>费、</w:t>
      </w:r>
      <w:r>
        <w:rPr>
          <w:rFonts w:hint="eastAsia" w:ascii="Arial Unicode MS" w:hAnsi="Arial Unicode MS" w:eastAsia="Arial Unicode MS" w:cs="Arial Unicode MS"/>
          <w:color w:val="000000"/>
          <w:kern w:val="0"/>
          <w:sz w:val="31"/>
          <w:szCs w:val="31"/>
          <w:lang w:val="en-US" w:eastAsia="zh-CN" w:bidi="ar"/>
        </w:rPr>
        <w:t>邮电费、印刷费、差旅费等日常运行支出。</w:t>
      </w:r>
    </w:p>
    <w:p>
      <w:pPr>
        <w:keepNext w:val="0"/>
        <w:keepLines w:val="0"/>
        <w:widowControl/>
        <w:suppressLineNumbers w:val="0"/>
        <w:ind w:firstLine="620" w:firstLineChars="200"/>
        <w:jc w:val="left"/>
        <w:rPr>
          <w:rFonts w:ascii="Arial Unicode MS" w:hAnsi="Arial Unicode MS" w:eastAsia="Arial Unicode MS" w:cs="Arial Unicode MS"/>
          <w:b/>
          <w:bCs/>
          <w:color w:val="000000"/>
          <w:kern w:val="0"/>
          <w:sz w:val="31"/>
          <w:szCs w:val="31"/>
          <w:lang w:val="en-US" w:eastAsia="zh-CN" w:bidi="ar"/>
        </w:rPr>
      </w:pPr>
      <w:r>
        <w:rPr>
          <w:rFonts w:hint="eastAsia" w:ascii="Arial Unicode MS" w:hAnsi="Arial Unicode MS" w:eastAsia="Arial Unicode MS" w:cs="Arial Unicode MS"/>
          <w:b/>
          <w:bCs/>
          <w:color w:val="000000"/>
          <w:kern w:val="0"/>
          <w:sz w:val="31"/>
          <w:szCs w:val="31"/>
          <w:lang w:val="en-US" w:eastAsia="zh-CN" w:bidi="ar"/>
        </w:rPr>
        <w:t>四、财政拨款</w:t>
      </w:r>
      <w:r>
        <w:rPr>
          <w:rFonts w:ascii="Arial Unicode MS" w:hAnsi="Arial Unicode MS" w:eastAsia="Arial Unicode MS" w:cs="Arial Unicode MS"/>
          <w:b/>
          <w:bCs/>
          <w:color w:val="000000"/>
          <w:kern w:val="0"/>
          <w:sz w:val="31"/>
          <w:szCs w:val="31"/>
          <w:lang w:val="en-US" w:eastAsia="zh-CN" w:bidi="ar"/>
        </w:rPr>
        <w:t>“</w:t>
      </w:r>
      <w:r>
        <w:rPr>
          <w:rFonts w:hint="eastAsia" w:ascii="Arial Unicode MS" w:hAnsi="Arial Unicode MS" w:eastAsia="Arial Unicode MS" w:cs="Arial Unicode MS"/>
          <w:b/>
          <w:bCs/>
          <w:color w:val="000000"/>
          <w:kern w:val="0"/>
          <w:sz w:val="31"/>
          <w:szCs w:val="31"/>
          <w:lang w:val="en-US" w:eastAsia="zh-CN" w:bidi="ar"/>
        </w:rPr>
        <w:t>三公</w:t>
      </w:r>
      <w:r>
        <w:rPr>
          <w:rFonts w:ascii="Arial Unicode MS" w:hAnsi="Arial Unicode MS" w:eastAsia="Arial Unicode MS" w:cs="Arial Unicode MS"/>
          <w:b/>
          <w:bCs/>
          <w:color w:val="000000"/>
          <w:kern w:val="0"/>
          <w:sz w:val="31"/>
          <w:szCs w:val="31"/>
          <w:lang w:val="en-US" w:eastAsia="zh-CN" w:bidi="ar"/>
        </w:rPr>
        <w:t>”</w:t>
      </w:r>
      <w:r>
        <w:rPr>
          <w:rFonts w:hint="eastAsia" w:ascii="Arial Unicode MS" w:hAnsi="Arial Unicode MS" w:eastAsia="Arial Unicode MS" w:cs="Arial Unicode MS"/>
          <w:b/>
          <w:bCs/>
          <w:color w:val="000000"/>
          <w:kern w:val="0"/>
          <w:sz w:val="31"/>
          <w:szCs w:val="31"/>
          <w:lang w:val="en-US" w:eastAsia="zh-CN" w:bidi="ar"/>
        </w:rPr>
        <w:t>经费预算情况及增减变化原因</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桥西区审计局2020年“三公”经费财政拨款预算3.6万元，与上年相比减少0.48万元。其中：因公出国（境）费0万元，与上年持平，无增减变化，主要原因为年初没有安排因公出国费；公务用车购置费0万</w:t>
      </w:r>
      <w:r>
        <w:rPr>
          <w:rFonts w:ascii="Arial Unicode MS" w:hAnsi="Arial Unicode MS" w:eastAsia="Arial Unicode MS" w:cs="Arial Unicode MS"/>
          <w:color w:val="000000"/>
          <w:kern w:val="0"/>
          <w:sz w:val="31"/>
          <w:szCs w:val="31"/>
          <w:lang w:val="en-US" w:eastAsia="zh-CN" w:bidi="ar"/>
        </w:rPr>
        <w:t>元，主要原因是未安排公务用车购置，公务用车</w:t>
      </w:r>
      <w:r>
        <w:rPr>
          <w:rFonts w:hint="eastAsia" w:ascii="Arial Unicode MS" w:hAnsi="Arial Unicode MS" w:eastAsia="Arial Unicode MS" w:cs="Arial Unicode MS"/>
          <w:color w:val="000000"/>
          <w:kern w:val="0"/>
          <w:sz w:val="31"/>
          <w:szCs w:val="31"/>
          <w:lang w:val="en-US" w:eastAsia="zh-CN" w:bidi="ar"/>
        </w:rPr>
        <w:t>运维费3.60万元，与上年持平，无增减变化，主要原因为车辆总数未发生变化；公务接待费0万元与上年相比减少0.48万元，主要原因为厉行节约，压缩公务接待费用，控制公务接待标准。</w:t>
      </w:r>
    </w:p>
    <w:p>
      <w:pPr>
        <w:keepNext w:val="0"/>
        <w:keepLines w:val="0"/>
        <w:widowControl/>
        <w:suppressLineNumbers w:val="0"/>
        <w:ind w:firstLine="620" w:firstLineChars="200"/>
        <w:jc w:val="left"/>
        <w:rPr>
          <w:rFonts w:ascii="Arial Unicode MS" w:hAnsi="Arial Unicode MS" w:eastAsia="Arial Unicode MS" w:cs="Arial Unicode MS"/>
          <w:b/>
          <w:bCs/>
          <w:color w:val="000000"/>
          <w:kern w:val="0"/>
          <w:sz w:val="31"/>
          <w:szCs w:val="31"/>
          <w:lang w:val="en-US" w:eastAsia="zh-CN" w:bidi="ar"/>
        </w:rPr>
      </w:pPr>
      <w:r>
        <w:rPr>
          <w:rFonts w:hint="eastAsia" w:ascii="Arial Unicode MS" w:hAnsi="Arial Unicode MS" w:eastAsia="Arial Unicode MS" w:cs="Arial Unicode MS"/>
          <w:b/>
          <w:bCs/>
          <w:color w:val="000000"/>
          <w:kern w:val="0"/>
          <w:sz w:val="31"/>
          <w:szCs w:val="31"/>
          <w:lang w:val="en-US" w:eastAsia="zh-CN" w:bidi="ar"/>
        </w:rPr>
        <w:t>五、绩效预算信息</w:t>
      </w:r>
    </w:p>
    <w:p>
      <w:pPr>
        <w:keepNext w:val="0"/>
        <w:keepLines w:val="0"/>
        <w:widowControl/>
        <w:suppressLineNumbers w:val="0"/>
        <w:ind w:firstLine="620" w:firstLineChars="200"/>
        <w:jc w:val="left"/>
      </w:pPr>
      <w:bookmarkStart w:id="0" w:name="_Toc471398463"/>
      <w:r>
        <w:rPr>
          <w:rFonts w:ascii="Arial Unicode MS" w:hAnsi="Arial Unicode MS" w:eastAsia="Arial Unicode MS" w:cs="Arial Unicode MS"/>
          <w:b/>
          <w:color w:val="000000"/>
          <w:kern w:val="0"/>
          <w:sz w:val="31"/>
          <w:szCs w:val="31"/>
          <w:lang w:val="en-US" w:eastAsia="zh-CN" w:bidi="ar"/>
        </w:rPr>
        <w:t xml:space="preserve">第一部分 部门整体绩效目标 </w:t>
      </w:r>
    </w:p>
    <w:p>
      <w:pPr>
        <w:keepNext w:val="0"/>
        <w:keepLines w:val="0"/>
        <w:widowControl/>
        <w:suppressLineNumbers w:val="0"/>
        <w:ind w:firstLine="620" w:firstLineChars="200"/>
        <w:jc w:val="left"/>
      </w:pPr>
      <w:r>
        <w:rPr>
          <w:rFonts w:hint="eastAsia" w:ascii="Arial Unicode MS" w:hAnsi="Arial Unicode MS" w:eastAsia="Arial Unicode MS" w:cs="Arial Unicode MS"/>
          <w:b/>
          <w:color w:val="000000"/>
          <w:kern w:val="0"/>
          <w:sz w:val="31"/>
          <w:szCs w:val="31"/>
          <w:lang w:val="en-US" w:eastAsia="zh-CN" w:bidi="ar"/>
        </w:rPr>
        <w:t>（一）总体绩效目标</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 xml:space="preserve"> 2020年，我局坚持以习近平新时代中国特色社会主义思想</w:t>
      </w:r>
      <w:bookmarkStart w:id="4" w:name="_GoBack"/>
      <w:bookmarkEnd w:id="4"/>
      <w:r>
        <w:rPr>
          <w:rFonts w:hint="eastAsia" w:ascii="Arial Unicode MS" w:hAnsi="Arial Unicode MS" w:eastAsia="Arial Unicode MS" w:cs="Arial Unicode MS"/>
          <w:color w:val="000000"/>
          <w:kern w:val="0"/>
          <w:sz w:val="31"/>
          <w:szCs w:val="31"/>
          <w:lang w:val="en-US" w:eastAsia="zh-CN" w:bidi="ar"/>
        </w:rPr>
        <w:t xml:space="preserve">为指导，指导新时代审计工作，深刻认识和把握新时代的新特点、新使命、新部署、新要求，紧紧围绕贯彻落实党的十九大做出的重大决策部署，紧紧围绕统筹推进“五位一体”总体布局和谐调推进“四个全面”战略布局和省市中心工作扎实开展审计监督，坚持依法审计、文明审计、客观求实、开拓创新，对公共资金、国有资源和领导干部履行经济责任情况实行有重点、有步骤、有深度、有成效的审计覆盖，认真落实中央和省委省政府决策部署，我们强化“审计要促发展、审计要促改革”的工作理念，围绕“发展、改革、安全、绩效”工作目标，不断创新审计方式、方法，有序推进审计监督全覆盖。  </w:t>
      </w:r>
    </w:p>
    <w:p>
      <w:pPr>
        <w:keepNext w:val="0"/>
        <w:keepLines w:val="0"/>
        <w:widowControl/>
        <w:suppressLineNumbers w:val="0"/>
        <w:ind w:firstLine="620" w:firstLineChars="200"/>
        <w:jc w:val="left"/>
      </w:pPr>
      <w:r>
        <w:rPr>
          <w:rFonts w:ascii="Arial Unicode MS" w:hAnsi="Arial Unicode MS" w:eastAsia="Arial Unicode MS" w:cs="Arial Unicode MS"/>
          <w:b/>
          <w:color w:val="000000"/>
          <w:kern w:val="0"/>
          <w:sz w:val="31"/>
          <w:szCs w:val="31"/>
          <w:lang w:val="en-US" w:eastAsia="zh-CN" w:bidi="ar"/>
        </w:rPr>
        <w:t>（二）分项绩效目标</w:t>
      </w:r>
    </w:p>
    <w:bookmarkEnd w:id="0"/>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bookmarkStart w:id="1" w:name="_Toc471398468"/>
      <w:r>
        <w:rPr>
          <w:rFonts w:hint="eastAsia" w:ascii="Arial Unicode MS" w:hAnsi="Arial Unicode MS" w:eastAsia="Arial Unicode MS" w:cs="Arial Unicode MS"/>
          <w:color w:val="000000"/>
          <w:kern w:val="0"/>
          <w:sz w:val="31"/>
          <w:szCs w:val="31"/>
          <w:lang w:val="en-US" w:eastAsia="zh-CN" w:bidi="ar"/>
        </w:rPr>
        <w:t>1、提高财政资金使用效率</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绩效目标：开展政府投资项目审计。以新理念引领新常态，转变观念、转变工作方式，不断规范项目审计行为，进一步提升审计能力和水平，对重点和关系国计民生的重大建设项目全面开展审计，推进政府投资项目规范、合理迈进;通过审计财政预决算及财务收支的真实、合法，规范财政收支管理，提高财政资金的使用效率。</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绩效指标：对政府投资的2018年老旧小区改造工程、老年公寓新建项目和南和保障房项目进行审计，审计项目覆盖率不少于90%，审计报告数量不少于50个，合理控制工程造价，提高政府投资效益。同时一要关注财政收支结构优化、财政资金统筹盘活等情况；二要摸清政府账户结存资金。组织2019年度预算执行、决算和其他财政收支情况进行全面审计，审计一级预算单位不少于20个。</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2、不断提高依法审计，履行审计监督职责</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绩效目标：开展内部审计业务管理和审计法制管理，负责对区政府部门收支和法律法规规定属于审计监督范围内的财务收支的真实、合法和效益进行审计监督，对单位所出具的审计报告进行监督检查，提高审计质量和审计机关的法制管理水平。</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绩效指标：完成年度审计计划任务，审计建议采纳率达到85%以上，合格的审计报告不少于90%，审理的审计项目数量不少于90%，审计报告征求意见率达到100%,问题回查率不低于80%，内审业务指导、检查监督审计项目不低于85%，更好地提升依法审计能力。</w:t>
      </w:r>
    </w:p>
    <w:p>
      <w:pPr>
        <w:keepNext w:val="0"/>
        <w:keepLines w:val="0"/>
        <w:widowControl/>
        <w:numPr>
          <w:ilvl w:val="0"/>
          <w:numId w:val="1"/>
        </w:numPr>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开展业务培训和宣传活动,加强审计队伍建设。</w:t>
      </w:r>
    </w:p>
    <w:p>
      <w:pPr>
        <w:keepNext w:val="0"/>
        <w:keepLines w:val="0"/>
        <w:widowControl/>
        <w:numPr>
          <w:ilvl w:val="0"/>
          <w:numId w:val="0"/>
        </w:numPr>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绩效目标:组织开展业务专题学习和培训,不断提高审计人员的综合素质,适应新时代的审计要求,依法审计、规范审计；做好形式多样的审计法宣传，为全面贯彻执行审计法，更好地履行审计监督职责奠定坚实基础。</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绩效指标：为加强审计队伍建设，开展业务培训不少于2次，参训人员不低于85%，开展1次广泛的对外宣传活动，发放宣传品不低于2000份，综合事务管理工作完成不低于问题90%，更好的提升依法审计能力。</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三、工作保障措施</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1、完善制度建设。始终把预算绩效工作列入年度工作计划，将事前评估、目标管理、运行监控、绩效评价、结果应用等有效融入预算管理的全过程。制定完善预算绩效管理制度、搭建绩效管理运行体系，科学设定绩效指标和目标，制定各类资金使用和管理办法，确保资金支出有序进行，为全年预算绩效目标的实现奠定制度基础。</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2、规范财务资产管理，加强内部监督。坚持 “统一领导、归口负责、分级管理、责任到人”的财物管理制度，严格执行部门财务管理办法和部门固定资产管理暂行规定。严格报销审核程序，强化内部控制，把资产管理与绩效管理有机结合起来，实现“定项目就要抓绩效”,确保绩效与业务工作紧密衔接。在资产管理方面，设置资产管理员，资产购置严格执行“先有预算后支出”的规定，保证资产卡片及时录入、信息完整，定期组织资产清查和盘点，做到账实相符、账账相符。对已毁损或需报废资产严格按程序审批，将绩效管理成果落到实处。</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3、加强支出管理。优化部门预算支出结构，合理制定支出方式，及时启动预算项目，及时支付资金，确保按照时间节点完成支付进度。强化内部控制制度建设，严格绩效目标考核，更好地发挥财政资金的使用效益。</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4、不断探索投资项目审计全覆盖途径。对2020年度开展的老旧小区改造、老年公寓、中山路小学等项目进行跟踪审计，做好工程、财务、管理、效益“四审”并举加强竣工决算审计，加大对民生工程和资金的审计监督力度，以规范资金管理，节约工程建设资金。</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5、加强能力建设和宣传力度。通过专题培训、集中培训、自我学习等多种形式，对审计人员进行业务培训和指导，加大预算绩效管理培训力度；注重运用互联网、自媒体等信息平台，扩大培训范围，树立绩效理念、熟悉绩效管理流程、掌握绩效评价方法、提升绩效管理能力。加大绩效管理的宣传力度，宣传工作要贯穿预算绩效管理始终。强化“用钱必问效，无效必问责”的绩效管理理念，使绩效评价转化为自下而上的自觉行动。</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6、充分发挥内部审计合力。一是各部门、各单位要按照有关规定建立健全内部审计工作制度，明确内部审计工作的目标、职责和权限。要充分利用内部审计的优势，实现对本部门、本单位重要资金、项目、所属单位和领导干部经济责任监督的全覆盖。二是加强对内部审计工作的指导和监督，探索和推动内部审计工作监督指导机制、内部审计成果运用机制，加强对审计整改工作的指导。</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7、依法履行审计监督职责。规范审计行为，依托法制科进一步规范审计行为，建立健全各项质量控制制度，配备专职或兼职审理人员；从计划、业务质量、项目审理、内部审计业务质量和社会审计机构核查等方面更好地依法履行审计监督职责。</w:t>
      </w:r>
    </w:p>
    <w:p>
      <w:pPr>
        <w:keepNext w:val="0"/>
        <w:keepLines w:val="0"/>
        <w:widowControl/>
        <w:suppressLineNumbers w:val="0"/>
        <w:ind w:firstLine="620" w:firstLineChars="200"/>
        <w:jc w:val="left"/>
        <w:rPr>
          <w:rFonts w:hint="eastAsia" w:ascii="Arial Unicode MS" w:hAnsi="Arial Unicode MS" w:eastAsia="Arial Unicode MS" w:cs="Arial Unicode MS"/>
          <w:b/>
          <w:color w:val="000000"/>
          <w:kern w:val="0"/>
          <w:sz w:val="31"/>
          <w:szCs w:val="31"/>
          <w:lang w:val="en-US" w:eastAsia="zh-CN" w:bidi="ar"/>
        </w:rPr>
      </w:pPr>
      <w:r>
        <w:rPr>
          <w:rFonts w:ascii="Arial Unicode MS" w:hAnsi="Arial Unicode MS" w:eastAsia="Arial Unicode MS" w:cs="Arial Unicode MS"/>
          <w:b/>
          <w:color w:val="000000"/>
          <w:kern w:val="0"/>
          <w:sz w:val="31"/>
          <w:szCs w:val="31"/>
          <w:lang w:val="en-US" w:eastAsia="zh-CN" w:bidi="ar"/>
        </w:rPr>
        <w:t>第二部分</w:t>
      </w:r>
      <w:r>
        <w:rPr>
          <w:rFonts w:hint="default" w:ascii="Times New Roman" w:hAnsi="Times New Roman" w:eastAsia="宋体" w:cs="Times New Roman"/>
          <w:b/>
          <w:color w:val="000000"/>
          <w:kern w:val="0"/>
          <w:sz w:val="31"/>
          <w:szCs w:val="31"/>
          <w:lang w:val="en-US" w:eastAsia="zh-CN" w:bidi="ar"/>
        </w:rPr>
        <w:t xml:space="preserve"> </w:t>
      </w:r>
      <w:r>
        <w:rPr>
          <w:rFonts w:hint="eastAsia" w:ascii="Arial Unicode MS" w:hAnsi="Arial Unicode MS" w:eastAsia="Arial Unicode MS" w:cs="Arial Unicode MS"/>
          <w:b/>
          <w:color w:val="000000"/>
          <w:kern w:val="0"/>
          <w:sz w:val="31"/>
          <w:szCs w:val="31"/>
          <w:lang w:val="en-US" w:eastAsia="zh-CN" w:bidi="ar"/>
        </w:rPr>
        <w:t>专项资金绩效目标</w:t>
      </w:r>
    </w:p>
    <w:p>
      <w:pPr>
        <w:ind w:firstLine="562" w:firstLineChars="200"/>
        <w:jc w:val="left"/>
        <w:outlineLvl w:val="1"/>
        <w:rPr>
          <w:rFonts w:hAnsi="宋体"/>
          <w:b/>
          <w:sz w:val="28"/>
        </w:rPr>
      </w:pPr>
      <w:r>
        <w:rPr>
          <w:rFonts w:hint="eastAsia" w:ascii="方正仿宋_GBK" w:eastAsia="方正仿宋_GBK"/>
          <w:b/>
          <w:sz w:val="28"/>
        </w:rPr>
        <w:t>1、基建审计专项经费绩效目标表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 w:name="_Toc32756259"/>
      <w:r>
        <w:rPr>
          <w:rFonts w:hint="eastAsia" w:ascii="方正仿宋_GBK" w:eastAsia="方正仿宋_GBK"/>
          <w:b/>
          <w:sz w:val="28"/>
        </w:rPr>
        <w:instrText xml:space="preserve">1、基建审计专项经费绩效目标表</w:instrText>
      </w:r>
      <w:bookmarkEnd w:id="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、通过专项审计调查，综合分析，向有关部门反映情况，提出解决问题的建议，为政府决策提供依据。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、通过审计财政投资项目的审计，规范财政投资行为，合理控制工程造价，提高政府投资效益。</w:t>
            </w:r>
          </w:p>
        </w:tc>
      </w:tr>
    </w:tbl>
    <w:p>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审计报告数量</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形成的审计报告数量</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个</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西政发</w:t>
            </w:r>
            <w:r>
              <w:rPr>
                <w:rFonts w:ascii="方正书宋_GBK" w:eastAsia="方正书宋_GBK"/>
              </w:rPr>
              <w:t>2015.16</w:t>
            </w:r>
            <w:r>
              <w:rPr>
                <w:rFonts w:hint="eastAsia" w:ascii="方正书宋_GBK" w:eastAsia="方正书宋_GBK"/>
              </w:rPr>
              <w:t>号文</w:t>
            </w:r>
          </w:p>
          <w:p>
            <w:pPr>
              <w:spacing w:line="300" w:lineRule="exact"/>
              <w:jc w:val="left"/>
              <w:rPr>
                <w:rFonts w:ascii="方正书宋_GBK" w:eastAsia="方正书宋_GBK"/>
              </w:rPr>
            </w:pPr>
            <w:r>
              <w:rPr>
                <w:rFonts w:hint="eastAsia" w:ascii="方正书宋_GBK" w:eastAsia="方正书宋_GBK"/>
              </w:rPr>
              <w:t>《审计法》</w:t>
            </w:r>
            <w:r>
              <w:rPr>
                <w:rFonts w:ascii="方正书宋_GBK" w:eastAsia="方正书宋_GBK"/>
              </w:rPr>
              <w:t>22</w:t>
            </w:r>
            <w:r>
              <w:rPr>
                <w:rFonts w:hint="eastAsia" w:ascii="方正书宋_GBK" w:eastAsia="方正书宋_GBK"/>
              </w:rPr>
              <w:t>条、</w:t>
            </w:r>
          </w:p>
          <w:p>
            <w:pPr>
              <w:spacing w:line="300" w:lineRule="exact"/>
              <w:jc w:val="left"/>
              <w:rPr>
                <w:rFonts w:ascii="方正书宋_GBK" w:eastAsia="方正书宋_GBK"/>
              </w:rPr>
            </w:pPr>
            <w:r>
              <w:rPr>
                <w:rFonts w:hint="eastAsia" w:ascii="方正书宋_GBK" w:eastAsia="方正书宋_GBK"/>
              </w:rPr>
              <w:t>《石家庄市国家建设审计条例》</w:t>
            </w:r>
            <w:r>
              <w:rPr>
                <w:rFonts w:ascii="方正书宋_GBK" w:eastAsia="方正书宋_GBK"/>
              </w:rPr>
              <w:t>7</w:t>
            </w:r>
            <w:r>
              <w:rPr>
                <w:rFonts w:hint="eastAsia" w:ascii="方正书宋_GBK" w:eastAsia="方正书宋_GBK"/>
              </w:rPr>
              <w:t>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审计决定落实率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反映审计结果落实情况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西政发</w:t>
            </w:r>
            <w:r>
              <w:rPr>
                <w:rFonts w:ascii="方正书宋_GBK" w:eastAsia="方正书宋_GBK"/>
              </w:rPr>
              <w:t>2015.16</w:t>
            </w:r>
            <w:r>
              <w:rPr>
                <w:rFonts w:hint="eastAsia" w:ascii="方正书宋_GBK" w:eastAsia="方正书宋_GBK"/>
              </w:rPr>
              <w:t>号文</w:t>
            </w:r>
          </w:p>
          <w:p>
            <w:pPr>
              <w:spacing w:line="300" w:lineRule="exact"/>
              <w:jc w:val="left"/>
              <w:rPr>
                <w:rFonts w:ascii="方正书宋_GBK" w:eastAsia="方正书宋_GBK"/>
              </w:rPr>
            </w:pPr>
            <w:r>
              <w:rPr>
                <w:rFonts w:hint="eastAsia" w:ascii="方正书宋_GBK" w:eastAsia="方正书宋_GBK"/>
              </w:rPr>
              <w:t>《审计法》</w:t>
            </w:r>
            <w:r>
              <w:rPr>
                <w:rFonts w:ascii="方正书宋_GBK" w:eastAsia="方正书宋_GBK"/>
              </w:rPr>
              <w:t>22</w:t>
            </w:r>
            <w:r>
              <w:rPr>
                <w:rFonts w:hint="eastAsia" w:ascii="方正书宋_GBK" w:eastAsia="方正书宋_GBK"/>
              </w:rPr>
              <w:t>条、</w:t>
            </w:r>
          </w:p>
          <w:p>
            <w:pPr>
              <w:spacing w:line="300" w:lineRule="exact"/>
              <w:jc w:val="left"/>
              <w:rPr>
                <w:rFonts w:hint="eastAsia" w:ascii="方正书宋_GBK" w:eastAsia="方正书宋_GBK"/>
              </w:rPr>
            </w:pPr>
            <w:r>
              <w:rPr>
                <w:rFonts w:hint="eastAsia" w:ascii="方正书宋_GBK" w:eastAsia="方正书宋_GBK"/>
              </w:rPr>
              <w:t>《石家庄市国家建设审计条例》</w:t>
            </w:r>
            <w:r>
              <w:rPr>
                <w:rFonts w:ascii="方正书宋_GBK" w:eastAsia="方正书宋_GBK"/>
              </w:rPr>
              <w:t>7</w:t>
            </w:r>
            <w:r>
              <w:rPr>
                <w:rFonts w:hint="eastAsia" w:ascii="方正书宋_GBK" w:eastAsia="方正书宋_GBK"/>
              </w:rPr>
              <w:t>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审计报告合格率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所出具的审计报告符合审计要求的比例</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西政发</w:t>
            </w:r>
            <w:r>
              <w:rPr>
                <w:rFonts w:ascii="方正书宋_GBK" w:eastAsia="方正书宋_GBK"/>
              </w:rPr>
              <w:t>2015.16</w:t>
            </w:r>
            <w:r>
              <w:rPr>
                <w:rFonts w:hint="eastAsia" w:ascii="方正书宋_GBK" w:eastAsia="方正书宋_GBK"/>
              </w:rPr>
              <w:t>号文</w:t>
            </w:r>
          </w:p>
          <w:p>
            <w:pPr>
              <w:spacing w:line="300" w:lineRule="exact"/>
              <w:jc w:val="left"/>
              <w:rPr>
                <w:rFonts w:ascii="方正书宋_GBK" w:eastAsia="方正书宋_GBK"/>
              </w:rPr>
            </w:pPr>
            <w:r>
              <w:rPr>
                <w:rFonts w:hint="eastAsia" w:ascii="方正书宋_GBK" w:eastAsia="方正书宋_GBK"/>
              </w:rPr>
              <w:t>《审计法》</w:t>
            </w:r>
            <w:r>
              <w:rPr>
                <w:rFonts w:ascii="方正书宋_GBK" w:eastAsia="方正书宋_GBK"/>
              </w:rPr>
              <w:t>22</w:t>
            </w:r>
            <w:r>
              <w:rPr>
                <w:rFonts w:hint="eastAsia" w:ascii="方正书宋_GBK" w:eastAsia="方正书宋_GBK"/>
              </w:rPr>
              <w:t>条、</w:t>
            </w:r>
          </w:p>
          <w:p>
            <w:pPr>
              <w:spacing w:line="300" w:lineRule="exact"/>
              <w:jc w:val="left"/>
              <w:rPr>
                <w:rFonts w:hint="eastAsia" w:ascii="方正书宋_GBK" w:eastAsia="方正书宋_GBK"/>
              </w:rPr>
            </w:pPr>
            <w:r>
              <w:rPr>
                <w:rFonts w:hint="eastAsia" w:ascii="方正书宋_GBK" w:eastAsia="方正书宋_GBK"/>
              </w:rPr>
              <w:t>《石家庄市国家建设审计条例》</w:t>
            </w:r>
            <w:r>
              <w:rPr>
                <w:rFonts w:ascii="方正书宋_GBK" w:eastAsia="方正书宋_GBK"/>
              </w:rPr>
              <w:t>7</w:t>
            </w:r>
            <w:r>
              <w:rPr>
                <w:rFonts w:hint="eastAsia" w:ascii="方正书宋_GBK" w:eastAsia="方正书宋_GBK"/>
              </w:rPr>
              <w:t>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被采纳的审计建议占全部审计建议的比例</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反映审计建议的合理性</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西政发</w:t>
            </w:r>
            <w:r>
              <w:rPr>
                <w:rFonts w:ascii="方正书宋_GBK" w:eastAsia="方正书宋_GBK"/>
              </w:rPr>
              <w:t>2015.16</w:t>
            </w:r>
            <w:r>
              <w:rPr>
                <w:rFonts w:hint="eastAsia" w:ascii="方正书宋_GBK" w:eastAsia="方正书宋_GBK"/>
              </w:rPr>
              <w:t>号文</w:t>
            </w:r>
          </w:p>
          <w:p>
            <w:pPr>
              <w:spacing w:line="300" w:lineRule="exact"/>
              <w:jc w:val="left"/>
              <w:rPr>
                <w:rFonts w:ascii="方正书宋_GBK" w:eastAsia="方正书宋_GBK"/>
              </w:rPr>
            </w:pPr>
            <w:r>
              <w:rPr>
                <w:rFonts w:hint="eastAsia" w:ascii="方正书宋_GBK" w:eastAsia="方正书宋_GBK"/>
              </w:rPr>
              <w:t>《审计法》</w:t>
            </w:r>
            <w:r>
              <w:rPr>
                <w:rFonts w:ascii="方正书宋_GBK" w:eastAsia="方正书宋_GBK"/>
              </w:rPr>
              <w:t>22</w:t>
            </w:r>
            <w:r>
              <w:rPr>
                <w:rFonts w:hint="eastAsia" w:ascii="方正书宋_GBK" w:eastAsia="方正书宋_GBK"/>
              </w:rPr>
              <w:t>条、</w:t>
            </w:r>
          </w:p>
          <w:p>
            <w:pPr>
              <w:spacing w:line="300" w:lineRule="exact"/>
              <w:jc w:val="left"/>
              <w:rPr>
                <w:rFonts w:hint="eastAsia" w:ascii="方正书宋_GBK" w:eastAsia="方正书宋_GBK"/>
              </w:rPr>
            </w:pPr>
            <w:r>
              <w:rPr>
                <w:rFonts w:hint="eastAsia" w:ascii="方正书宋_GBK" w:eastAsia="方正书宋_GBK"/>
              </w:rPr>
              <w:t>《石家庄市国家建设审计条例》</w:t>
            </w:r>
            <w:r>
              <w:rPr>
                <w:rFonts w:ascii="方正书宋_GBK" w:eastAsia="方正书宋_GBK"/>
              </w:rPr>
              <w:t>7</w:t>
            </w:r>
            <w:r>
              <w:rPr>
                <w:rFonts w:hint="eastAsia" w:ascii="方正书宋_GBK" w:eastAsia="方正书宋_GBK"/>
              </w:rPr>
              <w:t>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问题回查率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针对监督检查发现的问题</w:t>
            </w:r>
            <w:r>
              <w:rPr>
                <w:rFonts w:ascii="方正书宋_GBK" w:eastAsia="方正书宋_GBK"/>
              </w:rPr>
              <w:t>,</w:t>
            </w:r>
            <w:r>
              <w:rPr>
                <w:rFonts w:hint="eastAsia" w:ascii="方正书宋_GBK" w:eastAsia="方正书宋_GBK"/>
              </w:rPr>
              <w:t>回查回访的数量占发现问题总数的比率</w:t>
            </w:r>
          </w:p>
        </w:tc>
        <w:tc>
          <w:tcPr>
            <w:tcW w:w="1276" w:type="dxa"/>
            <w:noWrap w:val="0"/>
            <w:vAlign w:val="center"/>
          </w:tcPr>
          <w:p>
            <w:pPr>
              <w:spacing w:line="300" w:lineRule="exact"/>
              <w:jc w:val="left"/>
              <w:rPr>
                <w:rFonts w:hint="eastAsia" w:ascii="方正书宋_GBK" w:eastAsia="方正书宋_GBK"/>
              </w:rPr>
            </w:pPr>
            <w:r>
              <w:rPr>
                <w:rFonts w:ascii="方正书宋_GBK" w:eastAsia="方正书宋_GBK"/>
              </w:rPr>
              <w:t>80%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西政发</w:t>
            </w:r>
            <w:r>
              <w:rPr>
                <w:rFonts w:ascii="方正书宋_GBK" w:eastAsia="方正书宋_GBK"/>
              </w:rPr>
              <w:t>2015.16</w:t>
            </w:r>
            <w:r>
              <w:rPr>
                <w:rFonts w:hint="eastAsia" w:ascii="方正书宋_GBK" w:eastAsia="方正书宋_GBK"/>
              </w:rPr>
              <w:t>号文</w:t>
            </w:r>
          </w:p>
          <w:p>
            <w:pPr>
              <w:spacing w:line="300" w:lineRule="exact"/>
              <w:jc w:val="left"/>
              <w:rPr>
                <w:rFonts w:ascii="方正书宋_GBK" w:eastAsia="方正书宋_GBK"/>
              </w:rPr>
            </w:pPr>
            <w:r>
              <w:rPr>
                <w:rFonts w:hint="eastAsia" w:ascii="方正书宋_GBK" w:eastAsia="方正书宋_GBK"/>
              </w:rPr>
              <w:t>《审计法》</w:t>
            </w:r>
            <w:r>
              <w:rPr>
                <w:rFonts w:ascii="方正书宋_GBK" w:eastAsia="方正书宋_GBK"/>
              </w:rPr>
              <w:t>22</w:t>
            </w:r>
            <w:r>
              <w:rPr>
                <w:rFonts w:hint="eastAsia" w:ascii="方正书宋_GBK" w:eastAsia="方正书宋_GBK"/>
              </w:rPr>
              <w:t>条、</w:t>
            </w:r>
          </w:p>
          <w:p>
            <w:pPr>
              <w:spacing w:line="300" w:lineRule="exact"/>
              <w:jc w:val="left"/>
              <w:rPr>
                <w:rFonts w:hint="eastAsia" w:ascii="方正书宋_GBK" w:eastAsia="方正书宋_GBK"/>
              </w:rPr>
            </w:pPr>
            <w:r>
              <w:rPr>
                <w:rFonts w:hint="eastAsia" w:ascii="方正书宋_GBK" w:eastAsia="方正书宋_GBK"/>
              </w:rPr>
              <w:t>《石家庄市国家建设审计条例》</w:t>
            </w:r>
            <w:r>
              <w:rPr>
                <w:rFonts w:ascii="方正书宋_GBK" w:eastAsia="方正书宋_GBK"/>
              </w:rPr>
              <w:t>7</w:t>
            </w:r>
            <w:r>
              <w:rPr>
                <w:rFonts w:hint="eastAsia" w:ascii="方正书宋_GBK" w:eastAsia="方正书宋_GBK"/>
              </w:rPr>
              <w:t>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问题整改率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已整改问题数量占发现问题数量的比例</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西政发</w:t>
            </w:r>
            <w:r>
              <w:rPr>
                <w:rFonts w:ascii="方正书宋_GBK" w:eastAsia="方正书宋_GBK"/>
              </w:rPr>
              <w:t>2015.16</w:t>
            </w:r>
            <w:r>
              <w:rPr>
                <w:rFonts w:hint="eastAsia" w:ascii="方正书宋_GBK" w:eastAsia="方正书宋_GBK"/>
              </w:rPr>
              <w:t>号文</w:t>
            </w:r>
          </w:p>
          <w:p>
            <w:pPr>
              <w:spacing w:line="300" w:lineRule="exact"/>
              <w:jc w:val="left"/>
              <w:rPr>
                <w:rFonts w:ascii="方正书宋_GBK" w:eastAsia="方正书宋_GBK"/>
              </w:rPr>
            </w:pPr>
            <w:r>
              <w:rPr>
                <w:rFonts w:hint="eastAsia" w:ascii="方正书宋_GBK" w:eastAsia="方正书宋_GBK"/>
              </w:rPr>
              <w:t>《审计法》</w:t>
            </w:r>
            <w:r>
              <w:rPr>
                <w:rFonts w:ascii="方正书宋_GBK" w:eastAsia="方正书宋_GBK"/>
              </w:rPr>
              <w:t>22</w:t>
            </w:r>
            <w:r>
              <w:rPr>
                <w:rFonts w:hint="eastAsia" w:ascii="方正书宋_GBK" w:eastAsia="方正书宋_GBK"/>
              </w:rPr>
              <w:t>条、</w:t>
            </w:r>
          </w:p>
          <w:p>
            <w:pPr>
              <w:spacing w:line="300" w:lineRule="exact"/>
              <w:jc w:val="left"/>
              <w:rPr>
                <w:rFonts w:hint="eastAsia" w:ascii="方正书宋_GBK" w:eastAsia="方正书宋_GBK"/>
              </w:rPr>
            </w:pPr>
            <w:r>
              <w:rPr>
                <w:rFonts w:hint="eastAsia" w:ascii="方正书宋_GBK" w:eastAsia="方正书宋_GBK"/>
              </w:rPr>
              <w:t>《石家庄市国家建设审计条例》</w:t>
            </w:r>
            <w:r>
              <w:rPr>
                <w:rFonts w:ascii="方正书宋_GBK" w:eastAsia="方正书宋_GBK"/>
              </w:rPr>
              <w:t>7</w:t>
            </w:r>
            <w:r>
              <w:rPr>
                <w:rFonts w:hint="eastAsia" w:ascii="方正书宋_GBK" w:eastAsia="方正书宋_GBK"/>
              </w:rPr>
              <w:t>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接受审计监督单位对审计局所提供服务的满意程度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西政发</w:t>
            </w:r>
            <w:r>
              <w:rPr>
                <w:rFonts w:ascii="方正书宋_GBK" w:eastAsia="方正书宋_GBK"/>
              </w:rPr>
              <w:t>2015.16</w:t>
            </w:r>
            <w:r>
              <w:rPr>
                <w:rFonts w:hint="eastAsia" w:ascii="方正书宋_GBK" w:eastAsia="方正书宋_GBK"/>
              </w:rPr>
              <w:t>号文</w:t>
            </w:r>
          </w:p>
          <w:p>
            <w:pPr>
              <w:spacing w:line="300" w:lineRule="exact"/>
              <w:jc w:val="left"/>
              <w:rPr>
                <w:rFonts w:ascii="方正书宋_GBK" w:eastAsia="方正书宋_GBK"/>
              </w:rPr>
            </w:pPr>
            <w:r>
              <w:rPr>
                <w:rFonts w:hint="eastAsia" w:ascii="方正书宋_GBK" w:eastAsia="方正书宋_GBK"/>
              </w:rPr>
              <w:t>《审计法》</w:t>
            </w:r>
            <w:r>
              <w:rPr>
                <w:rFonts w:ascii="方正书宋_GBK" w:eastAsia="方正书宋_GBK"/>
              </w:rPr>
              <w:t>22</w:t>
            </w:r>
            <w:r>
              <w:rPr>
                <w:rFonts w:hint="eastAsia" w:ascii="方正书宋_GBK" w:eastAsia="方正书宋_GBK"/>
              </w:rPr>
              <w:t>条、</w:t>
            </w:r>
          </w:p>
          <w:p>
            <w:pPr>
              <w:spacing w:line="300" w:lineRule="exact"/>
              <w:jc w:val="left"/>
              <w:rPr>
                <w:rFonts w:hint="eastAsia" w:ascii="方正书宋_GBK" w:eastAsia="方正书宋_GBK"/>
              </w:rPr>
            </w:pPr>
            <w:r>
              <w:rPr>
                <w:rFonts w:hint="eastAsia" w:ascii="方正书宋_GBK" w:eastAsia="方正书宋_GBK"/>
              </w:rPr>
              <w:t>《石家庄市国家建设审计条例》</w:t>
            </w:r>
            <w:r>
              <w:rPr>
                <w:rFonts w:ascii="方正书宋_GBK" w:eastAsia="方正书宋_GBK"/>
              </w:rPr>
              <w:t>7</w:t>
            </w:r>
            <w:r>
              <w:rPr>
                <w:rFonts w:hint="eastAsia" w:ascii="方正书宋_GBK" w:eastAsia="方正书宋_GBK"/>
              </w:rPr>
              <w:t>条</w:t>
            </w:r>
          </w:p>
        </w:tc>
      </w:tr>
    </w:tbl>
    <w:p>
      <w:pPr>
        <w:spacing w:line="300" w:lineRule="exact"/>
        <w:ind w:firstLine="420" w:firstLineChars="200"/>
        <w:jc w:val="left"/>
        <w:sectPr>
          <w:pgSz w:w="16839" w:h="11907" w:orient="landscape"/>
          <w:pgMar w:top="1304" w:right="1984" w:bottom="1304" w:left="113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2、审计管理专项经费绩效目标表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 w:name="_Toc32756260"/>
      <w:r>
        <w:rPr>
          <w:rFonts w:hint="eastAsia" w:ascii="方正仿宋_GBK" w:eastAsia="方正仿宋_GBK"/>
          <w:b/>
          <w:sz w:val="28"/>
        </w:rPr>
        <w:instrText xml:space="preserve">2、审计管理专项经费绩效目标表</w:instrText>
      </w:r>
      <w:bookmarkEnd w:id="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、内部审计业务管理和审计法制宣传管理费用，加强审计队伍建设，加大教育培训力度，依法提高审计能力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、通过审计项目管理来保障审计质量，保障审计机关正常运转。</w:t>
            </w:r>
          </w:p>
        </w:tc>
      </w:tr>
    </w:tbl>
    <w:p>
      <w:pPr>
        <w:spacing w:line="14" w:lineRule="exact"/>
        <w:ind w:firstLine="42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审计项目报告合格率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合格的审计报告占审计报告总数的比例（上级审计机构不定期检查）</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审计法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参训人员占有率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参训人员占全局人员的比率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审计法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rPr>
              <w:t>按时完成项目的比</w:t>
            </w:r>
            <w:r>
              <w:rPr>
                <w:rFonts w:hint="eastAsia" w:ascii="方正书宋_GBK" w:eastAsia="方正书宋_GBK"/>
                <w:lang w:eastAsia="zh-CN"/>
              </w:rPr>
              <w:t>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在规定的时间范围内完成项目审计的数量</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审计法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制作与发放外宣品的数量（份）</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反映满足市审计局宣传活动中对外宣品的需求情况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份</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审计法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综合业务管理工作完成率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综合事务管理工作完成情况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审计法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审计项目审理的覆盖率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审理的审计项目数量占全部审计项目数量的比例</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审计法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内审业务指导、监督检查率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内审业务指导、检查监督覆盖情况</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审计法</w:t>
            </w:r>
          </w:p>
        </w:tc>
      </w:tr>
    </w:tbl>
    <w:p>
      <w:pPr>
        <w:spacing w:line="300" w:lineRule="exact"/>
        <w:jc w:val="left"/>
        <w:sectPr>
          <w:pgSz w:w="11907" w:h="16839"/>
          <w:pgMar w:top="1984" w:right="1304" w:bottom="1134" w:left="1304" w:header="851" w:footer="992" w:gutter="0"/>
          <w:cols w:space="720" w:num="1"/>
          <w:docGrid w:type="lines" w:linePitch="312" w:charSpace="0"/>
        </w:sectPr>
      </w:pPr>
    </w:p>
    <w:p>
      <w:pPr>
        <w:keepNext w:val="0"/>
        <w:keepLines w:val="0"/>
        <w:widowControl/>
        <w:suppressLineNumbers w:val="0"/>
        <w:ind w:firstLine="620" w:firstLineChars="200"/>
        <w:jc w:val="left"/>
        <w:rPr>
          <w:rFonts w:hint="eastAsia" w:ascii="Arial Unicode MS" w:hAnsi="Arial Unicode MS" w:eastAsia="Arial Unicode MS" w:cs="Arial Unicode MS"/>
          <w:b/>
          <w:bCs/>
          <w:color w:val="000000"/>
          <w:kern w:val="0"/>
          <w:sz w:val="31"/>
          <w:szCs w:val="31"/>
          <w:lang w:val="en-US" w:eastAsia="zh-CN" w:bidi="ar"/>
        </w:rPr>
      </w:pPr>
      <w:r>
        <w:rPr>
          <w:rFonts w:hint="eastAsia" w:ascii="Arial Unicode MS" w:hAnsi="Arial Unicode MS" w:eastAsia="Arial Unicode MS" w:cs="Arial Unicode MS"/>
          <w:b/>
          <w:bCs/>
          <w:color w:val="000000"/>
          <w:kern w:val="0"/>
          <w:sz w:val="31"/>
          <w:szCs w:val="31"/>
          <w:lang w:val="en-US" w:eastAsia="zh-CN" w:bidi="ar"/>
        </w:rPr>
        <w:t>六、政府采购预算情况</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 xml:space="preserve"> </w:t>
      </w:r>
    </w:p>
    <w:p>
      <w:pPr>
        <w:keepNext w:val="0"/>
        <w:keepLines w:val="0"/>
        <w:widowControl/>
        <w:suppressLineNumbers w:val="0"/>
        <w:ind w:firstLine="5583" w:firstLineChars="1800"/>
        <w:jc w:val="left"/>
        <w:rPr>
          <w:rFonts w:hint="eastAsia" w:ascii="Arial Unicode MS" w:hAnsi="Arial Unicode MS" w:eastAsia="Arial Unicode MS" w:cs="Arial Unicode MS"/>
          <w:b/>
          <w:bCs/>
          <w:color w:val="000000"/>
          <w:kern w:val="0"/>
          <w:sz w:val="31"/>
          <w:szCs w:val="31"/>
          <w:lang w:val="en-US" w:eastAsia="zh-CN" w:bidi="ar"/>
        </w:rPr>
      </w:pPr>
      <w:r>
        <w:rPr>
          <w:rFonts w:hint="eastAsia" w:ascii="Arial Unicode MS" w:hAnsi="Arial Unicode MS" w:eastAsia="Arial Unicode MS" w:cs="Arial Unicode MS"/>
          <w:b/>
          <w:bCs/>
          <w:color w:val="000000"/>
          <w:kern w:val="0"/>
          <w:sz w:val="31"/>
          <w:szCs w:val="31"/>
          <w:lang w:val="en-US" w:eastAsia="zh-CN" w:bidi="ar"/>
        </w:rPr>
        <w:t>部门政府采购预算</w:t>
      </w:r>
    </w:p>
    <w:tbl>
      <w:tblPr>
        <w:tblStyle w:val="8"/>
        <w:tblW w:w="0" w:type="auto"/>
        <w:tblInd w:w="0" w:type="dxa"/>
        <w:tblLayout w:type="fixed"/>
        <w:tblCellMar>
          <w:top w:w="0" w:type="dxa"/>
          <w:left w:w="108" w:type="dxa"/>
          <w:bottom w:w="0" w:type="dxa"/>
          <w:right w:w="108" w:type="dxa"/>
        </w:tblCellMar>
      </w:tblPr>
      <w:tblGrid>
        <w:gridCol w:w="2090"/>
        <w:gridCol w:w="1287"/>
        <w:gridCol w:w="899"/>
        <w:gridCol w:w="899"/>
        <w:gridCol w:w="899"/>
        <w:gridCol w:w="899"/>
        <w:gridCol w:w="904"/>
        <w:gridCol w:w="899"/>
        <w:gridCol w:w="899"/>
        <w:gridCol w:w="899"/>
        <w:gridCol w:w="899"/>
        <w:gridCol w:w="899"/>
        <w:gridCol w:w="901"/>
        <w:gridCol w:w="901"/>
      </w:tblGrid>
      <w:tr>
        <w:tblPrEx>
          <w:tblCellMar>
            <w:top w:w="0" w:type="dxa"/>
            <w:left w:w="108" w:type="dxa"/>
            <w:bottom w:w="0" w:type="dxa"/>
            <w:right w:w="108" w:type="dxa"/>
          </w:tblCellMar>
        </w:tblPrEx>
        <w:trPr>
          <w:trHeight w:val="285" w:hRule="atLeast"/>
        </w:trPr>
        <w:tc>
          <w:tcPr>
            <w:tcW w:w="7877" w:type="dxa"/>
            <w:gridSpan w:val="7"/>
            <w:tcBorders>
              <w:top w:val="single" w:color="FFFFFF" w:sz="8" w:space="0"/>
              <w:left w:val="single" w:color="FFFFFF" w:sz="8" w:space="0"/>
              <w:bottom w:val="nil"/>
              <w:right w:val="single" w:color="FFFFFF" w:sz="8"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319石家庄市桥西区审计局      （此表为空）</w:t>
            </w:r>
          </w:p>
        </w:tc>
        <w:tc>
          <w:tcPr>
            <w:tcW w:w="6297" w:type="dxa"/>
            <w:gridSpan w:val="7"/>
            <w:tcBorders>
              <w:top w:val="single" w:color="FFFFFF" w:sz="8" w:space="0"/>
              <w:left w:val="nil"/>
              <w:bottom w:val="nil"/>
              <w:right w:val="single" w:color="FFFFFF" w:sz="8"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单位：万元</w:t>
            </w:r>
          </w:p>
        </w:tc>
      </w:tr>
      <w:tr>
        <w:tblPrEx>
          <w:tblCellMar>
            <w:top w:w="0" w:type="dxa"/>
            <w:left w:w="108" w:type="dxa"/>
            <w:bottom w:w="0" w:type="dxa"/>
            <w:right w:w="108" w:type="dxa"/>
          </w:tblCellMar>
        </w:tblPrEx>
        <w:trPr>
          <w:trHeight w:val="270" w:hRule="atLeast"/>
        </w:trPr>
        <w:tc>
          <w:tcPr>
            <w:tcW w:w="3377"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政府采购项目来源</w:t>
            </w:r>
          </w:p>
        </w:tc>
        <w:tc>
          <w:tcPr>
            <w:tcW w:w="899"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采购物品名称</w:t>
            </w:r>
          </w:p>
        </w:tc>
        <w:tc>
          <w:tcPr>
            <w:tcW w:w="899"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政府采购目录序号</w:t>
            </w:r>
          </w:p>
        </w:tc>
        <w:tc>
          <w:tcPr>
            <w:tcW w:w="899"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数量  单位</w:t>
            </w:r>
          </w:p>
        </w:tc>
        <w:tc>
          <w:tcPr>
            <w:tcW w:w="899"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数量</w:t>
            </w:r>
          </w:p>
        </w:tc>
        <w:tc>
          <w:tcPr>
            <w:tcW w:w="904"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单价</w:t>
            </w:r>
          </w:p>
        </w:tc>
        <w:tc>
          <w:tcPr>
            <w:tcW w:w="6297" w:type="dxa"/>
            <w:gridSpan w:val="7"/>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政府采购金额</w:t>
            </w:r>
          </w:p>
        </w:tc>
      </w:tr>
      <w:tr>
        <w:tblPrEx>
          <w:tblCellMar>
            <w:top w:w="0" w:type="dxa"/>
            <w:left w:w="108" w:type="dxa"/>
            <w:bottom w:w="0" w:type="dxa"/>
            <w:right w:w="108" w:type="dxa"/>
          </w:tblCellMar>
        </w:tblPrEx>
        <w:trPr>
          <w:trHeight w:val="270" w:hRule="atLeast"/>
        </w:trPr>
        <w:tc>
          <w:tcPr>
            <w:tcW w:w="209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项目名称</w:t>
            </w:r>
          </w:p>
        </w:tc>
        <w:tc>
          <w:tcPr>
            <w:tcW w:w="1287"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预算资金</w:t>
            </w:r>
          </w:p>
        </w:tc>
        <w:tc>
          <w:tcPr>
            <w:tcW w:w="899"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p>
        </w:tc>
        <w:tc>
          <w:tcPr>
            <w:tcW w:w="899"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p>
        </w:tc>
        <w:tc>
          <w:tcPr>
            <w:tcW w:w="899"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p>
        </w:tc>
        <w:tc>
          <w:tcPr>
            <w:tcW w:w="899"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p>
        </w:tc>
        <w:tc>
          <w:tcPr>
            <w:tcW w:w="904"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p>
        </w:tc>
        <w:tc>
          <w:tcPr>
            <w:tcW w:w="899"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总计</w:t>
            </w:r>
          </w:p>
        </w:tc>
        <w:tc>
          <w:tcPr>
            <w:tcW w:w="4497" w:type="dxa"/>
            <w:gridSpan w:val="5"/>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当年部门预算安排资金</w:t>
            </w:r>
          </w:p>
        </w:tc>
        <w:tc>
          <w:tcPr>
            <w:tcW w:w="901"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其他渠道资金</w:t>
            </w:r>
          </w:p>
        </w:tc>
      </w:tr>
      <w:tr>
        <w:tblPrEx>
          <w:tblCellMar>
            <w:top w:w="0" w:type="dxa"/>
            <w:left w:w="108" w:type="dxa"/>
            <w:bottom w:w="0" w:type="dxa"/>
            <w:right w:w="108" w:type="dxa"/>
          </w:tblCellMar>
        </w:tblPrEx>
        <w:trPr>
          <w:trHeight w:val="1644" w:hRule="atLeast"/>
        </w:trPr>
        <w:tc>
          <w:tcPr>
            <w:tcW w:w="2090" w:type="dxa"/>
            <w:vMerge w:val="continue"/>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p>
        </w:tc>
        <w:tc>
          <w:tcPr>
            <w:tcW w:w="1287" w:type="dxa"/>
            <w:vMerge w:val="continue"/>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p>
        </w:tc>
        <w:tc>
          <w:tcPr>
            <w:tcW w:w="899"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p>
        </w:tc>
        <w:tc>
          <w:tcPr>
            <w:tcW w:w="899"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p>
        </w:tc>
        <w:tc>
          <w:tcPr>
            <w:tcW w:w="899"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p>
        </w:tc>
        <w:tc>
          <w:tcPr>
            <w:tcW w:w="899"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p>
        </w:tc>
        <w:tc>
          <w:tcPr>
            <w:tcW w:w="904"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p>
        </w:tc>
        <w:tc>
          <w:tcPr>
            <w:tcW w:w="899" w:type="dxa"/>
            <w:vMerge w:val="continue"/>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p>
        </w:tc>
        <w:tc>
          <w:tcPr>
            <w:tcW w:w="899" w:type="dxa"/>
            <w:tcBorders>
              <w:top w:val="nil"/>
              <w:left w:val="nil"/>
              <w:bottom w:val="single" w:color="000000" w:sz="4" w:space="0"/>
              <w:right w:val="single" w:color="000000" w:sz="4" w:space="0"/>
            </w:tcBorders>
            <w:noWrap w:val="0"/>
            <w:vAlign w:val="center"/>
          </w:tcPr>
          <w:p>
            <w:pPr>
              <w:keepNext w:val="0"/>
              <w:keepLines w:val="0"/>
              <w:widowControl/>
              <w:suppressLineNumbers w:val="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合计</w:t>
            </w:r>
          </w:p>
        </w:tc>
        <w:tc>
          <w:tcPr>
            <w:tcW w:w="899" w:type="dxa"/>
            <w:tcBorders>
              <w:top w:val="nil"/>
              <w:left w:val="nil"/>
              <w:bottom w:val="single" w:color="000000" w:sz="4" w:space="0"/>
              <w:right w:val="single" w:color="000000" w:sz="4" w:space="0"/>
            </w:tcBorders>
            <w:noWrap w:val="0"/>
            <w:vAlign w:val="center"/>
          </w:tcPr>
          <w:p>
            <w:pPr>
              <w:keepNext w:val="0"/>
              <w:keepLines w:val="0"/>
              <w:widowControl/>
              <w:suppressLineNumbers w:val="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一般公共预算拨款</w:t>
            </w:r>
          </w:p>
        </w:tc>
        <w:tc>
          <w:tcPr>
            <w:tcW w:w="899" w:type="dxa"/>
            <w:tcBorders>
              <w:top w:val="nil"/>
              <w:left w:val="nil"/>
              <w:bottom w:val="single" w:color="000000" w:sz="4" w:space="0"/>
              <w:right w:val="single" w:color="000000" w:sz="4" w:space="0"/>
            </w:tcBorders>
            <w:noWrap w:val="0"/>
            <w:vAlign w:val="center"/>
          </w:tcPr>
          <w:p>
            <w:pPr>
              <w:keepNext w:val="0"/>
              <w:keepLines w:val="0"/>
              <w:widowControl/>
              <w:suppressLineNumbers w:val="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基金预算拨款</w:t>
            </w:r>
          </w:p>
        </w:tc>
        <w:tc>
          <w:tcPr>
            <w:tcW w:w="899" w:type="dxa"/>
            <w:tcBorders>
              <w:top w:val="nil"/>
              <w:left w:val="nil"/>
              <w:bottom w:val="single" w:color="000000" w:sz="4" w:space="0"/>
              <w:right w:val="single" w:color="000000" w:sz="4" w:space="0"/>
            </w:tcBorders>
            <w:noWrap w:val="0"/>
            <w:vAlign w:val="center"/>
          </w:tcPr>
          <w:p>
            <w:pPr>
              <w:keepNext w:val="0"/>
              <w:keepLines w:val="0"/>
              <w:widowControl/>
              <w:suppressLineNumbers w:val="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财政专户核拨</w:t>
            </w:r>
          </w:p>
        </w:tc>
        <w:tc>
          <w:tcPr>
            <w:tcW w:w="901" w:type="dxa"/>
            <w:tcBorders>
              <w:top w:val="nil"/>
              <w:left w:val="nil"/>
              <w:bottom w:val="single" w:color="000000" w:sz="4" w:space="0"/>
              <w:right w:val="single" w:color="000000" w:sz="4" w:space="0"/>
            </w:tcBorders>
            <w:noWrap w:val="0"/>
            <w:vAlign w:val="center"/>
          </w:tcPr>
          <w:p>
            <w:pPr>
              <w:keepNext w:val="0"/>
              <w:keepLines w:val="0"/>
              <w:widowControl/>
              <w:suppressLineNumbers w:val="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其他来源收入</w:t>
            </w:r>
          </w:p>
        </w:tc>
        <w:tc>
          <w:tcPr>
            <w:tcW w:w="901" w:type="dxa"/>
            <w:vMerge w:val="continue"/>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p>
        </w:tc>
      </w:tr>
      <w:tr>
        <w:tblPrEx>
          <w:tblCellMar>
            <w:top w:w="0" w:type="dxa"/>
            <w:left w:w="108" w:type="dxa"/>
            <w:bottom w:w="0" w:type="dxa"/>
            <w:right w:w="108" w:type="dxa"/>
          </w:tblCellMar>
        </w:tblPrEx>
        <w:trPr>
          <w:trHeight w:val="270" w:hRule="atLeast"/>
        </w:trPr>
        <w:tc>
          <w:tcPr>
            <w:tcW w:w="2090" w:type="dxa"/>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合　计</w:t>
            </w:r>
          </w:p>
        </w:tc>
        <w:tc>
          <w:tcPr>
            <w:tcW w:w="1287" w:type="dxa"/>
            <w:tcBorders>
              <w:top w:val="nil"/>
              <w:left w:val="nil"/>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　</w:t>
            </w:r>
          </w:p>
        </w:tc>
        <w:tc>
          <w:tcPr>
            <w:tcW w:w="899" w:type="dxa"/>
            <w:tcBorders>
              <w:top w:val="nil"/>
              <w:left w:val="nil"/>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　</w:t>
            </w:r>
          </w:p>
        </w:tc>
        <w:tc>
          <w:tcPr>
            <w:tcW w:w="899" w:type="dxa"/>
            <w:tcBorders>
              <w:top w:val="nil"/>
              <w:left w:val="nil"/>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　</w:t>
            </w:r>
          </w:p>
        </w:tc>
        <w:tc>
          <w:tcPr>
            <w:tcW w:w="899" w:type="dxa"/>
            <w:tcBorders>
              <w:top w:val="nil"/>
              <w:left w:val="nil"/>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　</w:t>
            </w:r>
          </w:p>
        </w:tc>
        <w:tc>
          <w:tcPr>
            <w:tcW w:w="899" w:type="dxa"/>
            <w:tcBorders>
              <w:top w:val="nil"/>
              <w:left w:val="nil"/>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　</w:t>
            </w:r>
          </w:p>
        </w:tc>
        <w:tc>
          <w:tcPr>
            <w:tcW w:w="904" w:type="dxa"/>
            <w:tcBorders>
              <w:top w:val="nil"/>
              <w:left w:val="nil"/>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　</w:t>
            </w:r>
          </w:p>
        </w:tc>
        <w:tc>
          <w:tcPr>
            <w:tcW w:w="899" w:type="dxa"/>
            <w:tcBorders>
              <w:top w:val="nil"/>
              <w:left w:val="nil"/>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p>
        </w:tc>
        <w:tc>
          <w:tcPr>
            <w:tcW w:w="899" w:type="dxa"/>
            <w:tcBorders>
              <w:top w:val="nil"/>
              <w:left w:val="nil"/>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p>
        </w:tc>
        <w:tc>
          <w:tcPr>
            <w:tcW w:w="899" w:type="dxa"/>
            <w:tcBorders>
              <w:top w:val="nil"/>
              <w:left w:val="nil"/>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p>
        </w:tc>
        <w:tc>
          <w:tcPr>
            <w:tcW w:w="899" w:type="dxa"/>
            <w:tcBorders>
              <w:top w:val="nil"/>
              <w:left w:val="nil"/>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　</w:t>
            </w:r>
          </w:p>
        </w:tc>
        <w:tc>
          <w:tcPr>
            <w:tcW w:w="899" w:type="dxa"/>
            <w:tcBorders>
              <w:top w:val="nil"/>
              <w:left w:val="nil"/>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　</w:t>
            </w:r>
          </w:p>
        </w:tc>
        <w:tc>
          <w:tcPr>
            <w:tcW w:w="901" w:type="dxa"/>
            <w:tcBorders>
              <w:top w:val="nil"/>
              <w:left w:val="nil"/>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　</w:t>
            </w:r>
          </w:p>
        </w:tc>
        <w:tc>
          <w:tcPr>
            <w:tcW w:w="901" w:type="dxa"/>
            <w:tcBorders>
              <w:top w:val="nil"/>
              <w:left w:val="nil"/>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　</w:t>
            </w:r>
          </w:p>
        </w:tc>
      </w:tr>
      <w:tr>
        <w:tblPrEx>
          <w:tblCellMar>
            <w:top w:w="0" w:type="dxa"/>
            <w:left w:w="108" w:type="dxa"/>
            <w:bottom w:w="0" w:type="dxa"/>
            <w:right w:w="108" w:type="dxa"/>
          </w:tblCellMar>
        </w:tblPrEx>
        <w:trPr>
          <w:trHeight w:val="270" w:hRule="atLeast"/>
        </w:trPr>
        <w:tc>
          <w:tcPr>
            <w:tcW w:w="2090" w:type="dxa"/>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 xml:space="preserve"> 小计</w:t>
            </w:r>
          </w:p>
        </w:tc>
        <w:tc>
          <w:tcPr>
            <w:tcW w:w="1287" w:type="dxa"/>
            <w:tcBorders>
              <w:top w:val="nil"/>
              <w:left w:val="nil"/>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　</w:t>
            </w:r>
          </w:p>
        </w:tc>
        <w:tc>
          <w:tcPr>
            <w:tcW w:w="899" w:type="dxa"/>
            <w:tcBorders>
              <w:top w:val="nil"/>
              <w:left w:val="nil"/>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　</w:t>
            </w:r>
          </w:p>
        </w:tc>
        <w:tc>
          <w:tcPr>
            <w:tcW w:w="899" w:type="dxa"/>
            <w:tcBorders>
              <w:top w:val="nil"/>
              <w:left w:val="nil"/>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　</w:t>
            </w:r>
          </w:p>
        </w:tc>
        <w:tc>
          <w:tcPr>
            <w:tcW w:w="899" w:type="dxa"/>
            <w:tcBorders>
              <w:top w:val="nil"/>
              <w:left w:val="nil"/>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　</w:t>
            </w:r>
          </w:p>
        </w:tc>
        <w:tc>
          <w:tcPr>
            <w:tcW w:w="899" w:type="dxa"/>
            <w:tcBorders>
              <w:top w:val="nil"/>
              <w:left w:val="nil"/>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　</w:t>
            </w:r>
          </w:p>
        </w:tc>
        <w:tc>
          <w:tcPr>
            <w:tcW w:w="904" w:type="dxa"/>
            <w:tcBorders>
              <w:top w:val="nil"/>
              <w:left w:val="nil"/>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　</w:t>
            </w:r>
          </w:p>
        </w:tc>
        <w:tc>
          <w:tcPr>
            <w:tcW w:w="899" w:type="dxa"/>
            <w:tcBorders>
              <w:top w:val="nil"/>
              <w:left w:val="nil"/>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p>
        </w:tc>
        <w:tc>
          <w:tcPr>
            <w:tcW w:w="899" w:type="dxa"/>
            <w:tcBorders>
              <w:top w:val="nil"/>
              <w:left w:val="nil"/>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p>
        </w:tc>
        <w:tc>
          <w:tcPr>
            <w:tcW w:w="899" w:type="dxa"/>
            <w:tcBorders>
              <w:top w:val="nil"/>
              <w:left w:val="nil"/>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p>
        </w:tc>
        <w:tc>
          <w:tcPr>
            <w:tcW w:w="899" w:type="dxa"/>
            <w:tcBorders>
              <w:top w:val="nil"/>
              <w:left w:val="nil"/>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　</w:t>
            </w:r>
          </w:p>
        </w:tc>
        <w:tc>
          <w:tcPr>
            <w:tcW w:w="899" w:type="dxa"/>
            <w:tcBorders>
              <w:top w:val="nil"/>
              <w:left w:val="nil"/>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　</w:t>
            </w:r>
          </w:p>
        </w:tc>
        <w:tc>
          <w:tcPr>
            <w:tcW w:w="901" w:type="dxa"/>
            <w:tcBorders>
              <w:top w:val="nil"/>
              <w:left w:val="nil"/>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　</w:t>
            </w:r>
          </w:p>
        </w:tc>
        <w:tc>
          <w:tcPr>
            <w:tcW w:w="901" w:type="dxa"/>
            <w:tcBorders>
              <w:top w:val="nil"/>
              <w:left w:val="nil"/>
              <w:bottom w:val="single" w:color="000000" w:sz="4" w:space="0"/>
              <w:right w:val="single" w:color="000000"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　</w:t>
            </w:r>
          </w:p>
        </w:tc>
      </w:tr>
      <w:bookmarkEnd w:id="1"/>
    </w:tbl>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 xml:space="preserve">  2020年，我单位安排政府采购预算0万元，空表列示。 </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p>
    <w:p>
      <w:pPr>
        <w:keepNext w:val="0"/>
        <w:keepLines w:val="0"/>
        <w:widowControl/>
        <w:suppressLineNumbers w:val="0"/>
        <w:ind w:firstLine="620" w:firstLineChars="200"/>
        <w:jc w:val="left"/>
        <w:rPr>
          <w:rFonts w:hint="eastAsia" w:ascii="Arial Unicode MS" w:hAnsi="Arial Unicode MS" w:eastAsia="Arial Unicode MS" w:cs="Arial Unicode MS"/>
          <w:b/>
          <w:bCs/>
          <w:color w:val="000000"/>
          <w:kern w:val="0"/>
          <w:sz w:val="31"/>
          <w:szCs w:val="31"/>
          <w:lang w:val="en-US" w:eastAsia="zh-CN" w:bidi="ar"/>
        </w:rPr>
      </w:pPr>
      <w:r>
        <w:rPr>
          <w:rFonts w:hint="eastAsia" w:ascii="Arial Unicode MS" w:hAnsi="Arial Unicode MS" w:eastAsia="Arial Unicode MS" w:cs="Arial Unicode MS"/>
          <w:b/>
          <w:bCs/>
          <w:color w:val="000000"/>
          <w:kern w:val="0"/>
          <w:sz w:val="31"/>
          <w:szCs w:val="31"/>
          <w:lang w:val="en-US" w:eastAsia="zh-CN" w:bidi="ar"/>
        </w:rPr>
        <w:t>七、国有资产信息</w:t>
      </w:r>
    </w:p>
    <w:tbl>
      <w:tblPr>
        <w:tblStyle w:val="8"/>
        <w:tblW w:w="0" w:type="auto"/>
        <w:tblInd w:w="0" w:type="dxa"/>
        <w:tblLayout w:type="fixed"/>
        <w:tblCellMar>
          <w:top w:w="0" w:type="dxa"/>
          <w:left w:w="108" w:type="dxa"/>
          <w:bottom w:w="0" w:type="dxa"/>
          <w:right w:w="108" w:type="dxa"/>
        </w:tblCellMar>
      </w:tblPr>
      <w:tblGrid>
        <w:gridCol w:w="6362"/>
        <w:gridCol w:w="1890"/>
        <w:gridCol w:w="5922"/>
      </w:tblGrid>
      <w:tr>
        <w:tblPrEx>
          <w:tblCellMar>
            <w:top w:w="0" w:type="dxa"/>
            <w:left w:w="108" w:type="dxa"/>
            <w:bottom w:w="0" w:type="dxa"/>
            <w:right w:w="108" w:type="dxa"/>
          </w:tblCellMar>
        </w:tblPrEx>
        <w:trPr>
          <w:trHeight w:val="705" w:hRule="atLeast"/>
        </w:trPr>
        <w:tc>
          <w:tcPr>
            <w:tcW w:w="14174" w:type="dxa"/>
            <w:gridSpan w:val="3"/>
            <w:tcBorders>
              <w:top w:val="nil"/>
              <w:left w:val="nil"/>
              <w:bottom w:val="nil"/>
              <w:right w:val="nil"/>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 xml:space="preserve">           部门固定资产占用情况表</w:t>
            </w:r>
          </w:p>
        </w:tc>
      </w:tr>
      <w:tr>
        <w:tblPrEx>
          <w:tblCellMar>
            <w:top w:w="0" w:type="dxa"/>
            <w:left w:w="108" w:type="dxa"/>
            <w:bottom w:w="0" w:type="dxa"/>
            <w:right w:w="108" w:type="dxa"/>
          </w:tblCellMar>
        </w:tblPrEx>
        <w:trPr>
          <w:trHeight w:val="270" w:hRule="atLeast"/>
        </w:trPr>
        <w:tc>
          <w:tcPr>
            <w:tcW w:w="8252" w:type="dxa"/>
            <w:gridSpan w:val="2"/>
            <w:tcBorders>
              <w:top w:val="nil"/>
              <w:left w:val="nil"/>
              <w:bottom w:val="nil"/>
              <w:right w:val="nil"/>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编制部门：[319石家庄市桥西区审计局 ]</w:t>
            </w:r>
          </w:p>
        </w:tc>
        <w:tc>
          <w:tcPr>
            <w:tcW w:w="5922" w:type="dxa"/>
            <w:tcBorders>
              <w:top w:val="nil"/>
              <w:left w:val="nil"/>
              <w:bottom w:val="nil"/>
              <w:right w:val="nil"/>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 xml:space="preserve">                截止时间：2019年12月31日  </w:t>
            </w:r>
          </w:p>
        </w:tc>
      </w:tr>
      <w:tr>
        <w:tblPrEx>
          <w:tblCellMar>
            <w:top w:w="0" w:type="dxa"/>
            <w:left w:w="108" w:type="dxa"/>
            <w:bottom w:w="0" w:type="dxa"/>
            <w:right w:w="108" w:type="dxa"/>
          </w:tblCellMar>
        </w:tblPrEx>
        <w:trPr>
          <w:trHeight w:val="638" w:hRule="atLeast"/>
        </w:trPr>
        <w:tc>
          <w:tcPr>
            <w:tcW w:w="636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项   目</w:t>
            </w:r>
          </w:p>
        </w:tc>
        <w:tc>
          <w:tcPr>
            <w:tcW w:w="1890" w:type="dxa"/>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数量</w:t>
            </w:r>
          </w:p>
        </w:tc>
        <w:tc>
          <w:tcPr>
            <w:tcW w:w="5922" w:type="dxa"/>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价值（金额单位：万元）</w:t>
            </w:r>
          </w:p>
        </w:tc>
      </w:tr>
      <w:tr>
        <w:tblPrEx>
          <w:tblCellMar>
            <w:top w:w="0" w:type="dxa"/>
            <w:left w:w="108" w:type="dxa"/>
            <w:bottom w:w="0" w:type="dxa"/>
            <w:right w:w="108" w:type="dxa"/>
          </w:tblCellMar>
        </w:tblPrEx>
        <w:trPr>
          <w:trHeight w:val="564" w:hRule="atLeast"/>
        </w:trPr>
        <w:tc>
          <w:tcPr>
            <w:tcW w:w="6362" w:type="dxa"/>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资产总额</w:t>
            </w:r>
          </w:p>
        </w:tc>
        <w:tc>
          <w:tcPr>
            <w:tcW w:w="1890" w:type="dxa"/>
            <w:tcBorders>
              <w:top w:val="nil"/>
              <w:left w:val="nil"/>
              <w:bottom w:val="single" w:color="auto" w:sz="4" w:space="0"/>
              <w:right w:val="single" w:color="auto"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w:t>
            </w:r>
          </w:p>
        </w:tc>
        <w:tc>
          <w:tcPr>
            <w:tcW w:w="5922" w:type="dxa"/>
            <w:tcBorders>
              <w:top w:val="nil"/>
              <w:left w:val="nil"/>
              <w:bottom w:val="single" w:color="auto" w:sz="4" w:space="0"/>
              <w:right w:val="single" w:color="auto" w:sz="4" w:space="0"/>
            </w:tcBorders>
            <w:noWrap w:val="0"/>
            <w:vAlign w:val="center"/>
          </w:tcPr>
          <w:p>
            <w:pPr>
              <w:keepNext w:val="0"/>
              <w:keepLines w:val="0"/>
              <w:widowControl/>
              <w:suppressLineNumbers w:val="0"/>
              <w:ind w:firstLine="620" w:firstLineChars="200"/>
              <w:jc w:val="left"/>
              <w:rPr>
                <w:rFonts w:hint="default"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71.6097</w:t>
            </w:r>
          </w:p>
        </w:tc>
      </w:tr>
      <w:tr>
        <w:tblPrEx>
          <w:tblCellMar>
            <w:top w:w="0" w:type="dxa"/>
            <w:left w:w="108" w:type="dxa"/>
            <w:bottom w:w="0" w:type="dxa"/>
            <w:right w:w="108" w:type="dxa"/>
          </w:tblCellMar>
        </w:tblPrEx>
        <w:trPr>
          <w:trHeight w:val="612" w:hRule="atLeast"/>
        </w:trPr>
        <w:tc>
          <w:tcPr>
            <w:tcW w:w="6362" w:type="dxa"/>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1、房屋（平方米）</w:t>
            </w:r>
          </w:p>
        </w:tc>
        <w:tc>
          <w:tcPr>
            <w:tcW w:w="1890" w:type="dxa"/>
            <w:tcBorders>
              <w:top w:val="nil"/>
              <w:left w:val="nil"/>
              <w:bottom w:val="single" w:color="auto" w:sz="4" w:space="0"/>
              <w:right w:val="single" w:color="auto"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p>
        </w:tc>
        <w:tc>
          <w:tcPr>
            <w:tcW w:w="5922" w:type="dxa"/>
            <w:tcBorders>
              <w:top w:val="nil"/>
              <w:left w:val="nil"/>
              <w:bottom w:val="single" w:color="auto" w:sz="4" w:space="0"/>
              <w:right w:val="single" w:color="auto"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p>
        </w:tc>
      </w:tr>
      <w:tr>
        <w:tblPrEx>
          <w:tblCellMar>
            <w:top w:w="0" w:type="dxa"/>
            <w:left w:w="108" w:type="dxa"/>
            <w:bottom w:w="0" w:type="dxa"/>
            <w:right w:w="108" w:type="dxa"/>
          </w:tblCellMar>
        </w:tblPrEx>
        <w:trPr>
          <w:trHeight w:val="552" w:hRule="atLeast"/>
        </w:trPr>
        <w:tc>
          <w:tcPr>
            <w:tcW w:w="6362" w:type="dxa"/>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 xml:space="preserve">   其中：办公用房</w:t>
            </w:r>
          </w:p>
        </w:tc>
        <w:tc>
          <w:tcPr>
            <w:tcW w:w="1890" w:type="dxa"/>
            <w:tcBorders>
              <w:top w:val="nil"/>
              <w:left w:val="nil"/>
              <w:bottom w:val="single" w:color="auto" w:sz="4" w:space="0"/>
              <w:right w:val="single" w:color="auto"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p>
        </w:tc>
        <w:tc>
          <w:tcPr>
            <w:tcW w:w="5922" w:type="dxa"/>
            <w:tcBorders>
              <w:top w:val="nil"/>
              <w:left w:val="nil"/>
              <w:bottom w:val="single" w:color="auto" w:sz="4" w:space="0"/>
              <w:right w:val="single" w:color="auto"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p>
        </w:tc>
      </w:tr>
      <w:tr>
        <w:tblPrEx>
          <w:tblCellMar>
            <w:top w:w="0" w:type="dxa"/>
            <w:left w:w="108" w:type="dxa"/>
            <w:bottom w:w="0" w:type="dxa"/>
            <w:right w:w="108" w:type="dxa"/>
          </w:tblCellMar>
        </w:tblPrEx>
        <w:trPr>
          <w:trHeight w:val="576" w:hRule="atLeast"/>
        </w:trPr>
        <w:tc>
          <w:tcPr>
            <w:tcW w:w="6362" w:type="dxa"/>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2、车辆（台、辆）</w:t>
            </w:r>
          </w:p>
        </w:tc>
        <w:tc>
          <w:tcPr>
            <w:tcW w:w="1890" w:type="dxa"/>
            <w:tcBorders>
              <w:top w:val="nil"/>
              <w:left w:val="nil"/>
              <w:bottom w:val="single" w:color="auto" w:sz="4" w:space="0"/>
              <w:right w:val="single" w:color="auto"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1</w:t>
            </w:r>
          </w:p>
        </w:tc>
        <w:tc>
          <w:tcPr>
            <w:tcW w:w="5922" w:type="dxa"/>
            <w:tcBorders>
              <w:top w:val="nil"/>
              <w:left w:val="nil"/>
              <w:bottom w:val="single" w:color="auto" w:sz="4" w:space="0"/>
              <w:right w:val="single" w:color="auto"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13.34</w:t>
            </w:r>
          </w:p>
        </w:tc>
      </w:tr>
      <w:tr>
        <w:tblPrEx>
          <w:tblCellMar>
            <w:top w:w="0" w:type="dxa"/>
            <w:left w:w="108" w:type="dxa"/>
            <w:bottom w:w="0" w:type="dxa"/>
            <w:right w:w="108" w:type="dxa"/>
          </w:tblCellMar>
        </w:tblPrEx>
        <w:trPr>
          <w:trHeight w:val="555" w:hRule="atLeast"/>
        </w:trPr>
        <w:tc>
          <w:tcPr>
            <w:tcW w:w="636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3、单价在20万元以上的设备</w:t>
            </w:r>
          </w:p>
        </w:tc>
        <w:tc>
          <w:tcPr>
            <w:tcW w:w="1890" w:type="dxa"/>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w:t>
            </w:r>
          </w:p>
        </w:tc>
        <w:tc>
          <w:tcPr>
            <w:tcW w:w="5922" w:type="dxa"/>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p>
        </w:tc>
      </w:tr>
      <w:tr>
        <w:tblPrEx>
          <w:tblCellMar>
            <w:top w:w="0" w:type="dxa"/>
            <w:left w:w="108" w:type="dxa"/>
            <w:bottom w:w="0" w:type="dxa"/>
            <w:right w:w="108" w:type="dxa"/>
          </w:tblCellMar>
        </w:tblPrEx>
        <w:trPr>
          <w:trHeight w:val="555" w:hRule="atLeast"/>
        </w:trPr>
        <w:tc>
          <w:tcPr>
            <w:tcW w:w="6362" w:type="dxa"/>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4、其他固定资产</w:t>
            </w:r>
          </w:p>
        </w:tc>
        <w:tc>
          <w:tcPr>
            <w:tcW w:w="1890" w:type="dxa"/>
            <w:tcBorders>
              <w:top w:val="nil"/>
              <w:left w:val="nil"/>
              <w:bottom w:val="single" w:color="auto" w:sz="4" w:space="0"/>
              <w:right w:val="single" w:color="auto" w:sz="4" w:space="0"/>
            </w:tcBorders>
            <w:noWrap w:val="0"/>
            <w:vAlign w:val="center"/>
          </w:tcPr>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w:t>
            </w:r>
          </w:p>
        </w:tc>
        <w:tc>
          <w:tcPr>
            <w:tcW w:w="5922" w:type="dxa"/>
            <w:tcBorders>
              <w:top w:val="nil"/>
              <w:left w:val="nil"/>
              <w:bottom w:val="single" w:color="auto" w:sz="4" w:space="0"/>
              <w:right w:val="single" w:color="auto" w:sz="4" w:space="0"/>
            </w:tcBorders>
            <w:noWrap w:val="0"/>
            <w:vAlign w:val="center"/>
          </w:tcPr>
          <w:p>
            <w:pPr>
              <w:keepNext w:val="0"/>
              <w:keepLines w:val="0"/>
              <w:widowControl/>
              <w:suppressLineNumbers w:val="0"/>
              <w:ind w:firstLine="620" w:firstLineChars="200"/>
              <w:jc w:val="left"/>
              <w:rPr>
                <w:rFonts w:hint="default"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58.2697</w:t>
            </w:r>
          </w:p>
        </w:tc>
      </w:tr>
    </w:tbl>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石家庄市桥西区审计局上年末固定资产金额为71.6097万元，本年度无拟购固定在资产。</w:t>
      </w:r>
    </w:p>
    <w:p>
      <w:pPr>
        <w:keepNext w:val="0"/>
        <w:keepLines w:val="0"/>
        <w:widowControl/>
        <w:numPr>
          <w:ilvl w:val="0"/>
          <w:numId w:val="0"/>
        </w:numPr>
        <w:suppressLineNumbers w:val="0"/>
        <w:jc w:val="left"/>
        <w:rPr>
          <w:rFonts w:hint="eastAsia" w:ascii="Arial Unicode MS" w:hAnsi="Arial Unicode MS" w:eastAsia="Arial Unicode MS" w:cs="Arial Unicode MS"/>
          <w:b/>
          <w:bCs/>
          <w:color w:val="000000"/>
          <w:kern w:val="0"/>
          <w:sz w:val="31"/>
          <w:szCs w:val="31"/>
          <w:lang w:val="en-US" w:eastAsia="zh-CN" w:bidi="ar"/>
        </w:rPr>
      </w:pPr>
    </w:p>
    <w:p>
      <w:pPr>
        <w:keepNext w:val="0"/>
        <w:keepLines w:val="0"/>
        <w:widowControl/>
        <w:numPr>
          <w:ilvl w:val="0"/>
          <w:numId w:val="2"/>
        </w:numPr>
        <w:suppressLineNumbers w:val="0"/>
        <w:ind w:firstLine="620" w:firstLineChars="200"/>
        <w:jc w:val="left"/>
        <w:rPr>
          <w:rFonts w:hint="eastAsia" w:ascii="Arial Unicode MS" w:hAnsi="Arial Unicode MS" w:eastAsia="Arial Unicode MS" w:cs="Arial Unicode MS"/>
          <w:b/>
          <w:bCs/>
          <w:color w:val="000000"/>
          <w:kern w:val="0"/>
          <w:sz w:val="31"/>
          <w:szCs w:val="31"/>
          <w:lang w:val="en-US" w:eastAsia="zh-CN" w:bidi="ar"/>
        </w:rPr>
      </w:pPr>
      <w:r>
        <w:rPr>
          <w:rFonts w:hint="eastAsia" w:ascii="Arial Unicode MS" w:hAnsi="Arial Unicode MS" w:eastAsia="Arial Unicode MS" w:cs="Arial Unicode MS"/>
          <w:b/>
          <w:bCs/>
          <w:color w:val="000000"/>
          <w:kern w:val="0"/>
          <w:sz w:val="31"/>
          <w:szCs w:val="31"/>
          <w:lang w:val="en-US" w:eastAsia="zh-CN" w:bidi="ar"/>
        </w:rPr>
        <w:t>名词解释</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1、一般公共预算拨款收入：指财政当年拨付的资金。</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2、事业收入：指事业单位开展专业业务活动及辅助活动所取得的收入。</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3、其他收入：指除“一般公共预算拨款收入”、“事业收入”等以外的收入。主要是按规定动用的租房收入、存款利息收入等。</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4、基本支出：指为保障机构正常运转、完成日常工作任务而发生的人员支出和公用支出。</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5、项目支出：指在基本支出之外为完成特定行政任务和事业发展目标所发生的支出。</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6、上缴上级支出：指下级单位上缴上级的支出。</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7、“三公”经费：纳入财政预算管理的“三公”经费，是指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9、上年结转：指以前年度尚未完成、结转到本年仍按原规定用途继续使用的资金。</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10、事业单位经营支出：指事业单位在专业业务活动及其辅助活动之外开展非独立核算经营活动发生的支出。</w:t>
      </w:r>
    </w:p>
    <w:p>
      <w:pPr>
        <w:keepNext w:val="0"/>
        <w:keepLines w:val="0"/>
        <w:widowControl/>
        <w:suppressLineNumbers w:val="0"/>
        <w:ind w:firstLine="620" w:firstLineChars="200"/>
        <w:jc w:val="left"/>
        <w:rPr>
          <w:rFonts w:hint="eastAsia" w:ascii="Arial Unicode MS" w:hAnsi="Arial Unicode MS" w:eastAsia="Arial Unicode MS" w:cs="Arial Unicode MS"/>
          <w:b/>
          <w:bCs/>
          <w:color w:val="000000"/>
          <w:kern w:val="0"/>
          <w:sz w:val="31"/>
          <w:szCs w:val="31"/>
          <w:lang w:val="en-US" w:eastAsia="zh-CN" w:bidi="ar"/>
        </w:rPr>
      </w:pPr>
      <w:r>
        <w:rPr>
          <w:rFonts w:hint="eastAsia" w:ascii="Arial Unicode MS" w:hAnsi="Arial Unicode MS" w:eastAsia="Arial Unicode MS" w:cs="Arial Unicode MS"/>
          <w:b/>
          <w:bCs/>
          <w:color w:val="000000"/>
          <w:kern w:val="0"/>
          <w:sz w:val="31"/>
          <w:szCs w:val="31"/>
          <w:lang w:val="en-US" w:eastAsia="zh-CN" w:bidi="ar"/>
        </w:rPr>
        <w:t>九、其他需要说明的事项</w:t>
      </w:r>
    </w:p>
    <w:p>
      <w:pPr>
        <w:keepNext w:val="0"/>
        <w:keepLines w:val="0"/>
        <w:widowControl/>
        <w:suppressLineNumbers w:val="0"/>
        <w:ind w:firstLine="620" w:firstLineChars="200"/>
        <w:jc w:val="left"/>
        <w:rPr>
          <w:rFonts w:hint="eastAsia" w:ascii="Arial Unicode MS" w:hAnsi="Arial Unicode MS" w:eastAsia="Arial Unicode MS" w:cs="Arial Unicode MS"/>
          <w:color w:val="000000"/>
          <w:kern w:val="0"/>
          <w:sz w:val="31"/>
          <w:szCs w:val="31"/>
          <w:lang w:val="en-US" w:eastAsia="zh-CN" w:bidi="ar"/>
        </w:rPr>
      </w:pPr>
      <w:r>
        <w:rPr>
          <w:rFonts w:hint="eastAsia" w:ascii="Arial Unicode MS" w:hAnsi="Arial Unicode MS" w:eastAsia="Arial Unicode MS" w:cs="Arial Unicode MS"/>
          <w:color w:val="000000"/>
          <w:kern w:val="0"/>
          <w:sz w:val="31"/>
          <w:szCs w:val="31"/>
          <w:lang w:val="en-US" w:eastAsia="zh-CN" w:bidi="ar"/>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2000000000000000000"/>
    <w:charset w:val="86"/>
    <w:family w:val="script"/>
    <w:pitch w:val="default"/>
    <w:sig w:usb0="A00002BF" w:usb1="38CF7CFA" w:usb2="00082016" w:usb3="00000000" w:csb0="00040001" w:csb1="00000000"/>
  </w:font>
  <w:font w:name="Arial Unicode MS">
    <w:panose1 w:val="020B0604020202020204"/>
    <w:charset w:val="86"/>
    <w:family w:val="auto"/>
    <w:pitch w:val="default"/>
    <w:sig w:usb0="FFFFFFFF" w:usb1="E9FFFFFF" w:usb2="0000003F" w:usb3="00000000" w:csb0="603F01FF" w:csb1="FFFF0000"/>
  </w:font>
  <w:font w:name="方正仿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B26372"/>
    <w:multiLevelType w:val="singleLevel"/>
    <w:tmpl w:val="D8B26372"/>
    <w:lvl w:ilvl="0" w:tentative="0">
      <w:start w:val="3"/>
      <w:numFmt w:val="decimal"/>
      <w:suff w:val="nothing"/>
      <w:lvlText w:val="%1、"/>
      <w:lvlJc w:val="left"/>
    </w:lvl>
  </w:abstractNum>
  <w:abstractNum w:abstractNumId="1">
    <w:nsid w:val="FCADE3C9"/>
    <w:multiLevelType w:val="singleLevel"/>
    <w:tmpl w:val="FCADE3C9"/>
    <w:lvl w:ilvl="0" w:tentative="0">
      <w:start w:val="8"/>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hyphenationZone w:val="36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RkMDg5YzcyMTU4NTdjNTFhYWY4NWFhYzc5ZjFhNjQifQ=="/>
  </w:docVars>
  <w:rsids>
    <w:rsidRoot w:val="00F66032"/>
    <w:rsid w:val="00034786"/>
    <w:rsid w:val="00037AF6"/>
    <w:rsid w:val="00042F57"/>
    <w:rsid w:val="0006483E"/>
    <w:rsid w:val="00075D5F"/>
    <w:rsid w:val="0008102F"/>
    <w:rsid w:val="000B529B"/>
    <w:rsid w:val="000C3A19"/>
    <w:rsid w:val="001245BB"/>
    <w:rsid w:val="001251A3"/>
    <w:rsid w:val="00165294"/>
    <w:rsid w:val="001B4EF3"/>
    <w:rsid w:val="001F7873"/>
    <w:rsid w:val="00241FD4"/>
    <w:rsid w:val="00251B12"/>
    <w:rsid w:val="00296113"/>
    <w:rsid w:val="002A673A"/>
    <w:rsid w:val="002C07BE"/>
    <w:rsid w:val="002C5E13"/>
    <w:rsid w:val="002C62BC"/>
    <w:rsid w:val="002E0EB8"/>
    <w:rsid w:val="002F3E58"/>
    <w:rsid w:val="0030542C"/>
    <w:rsid w:val="00311B7A"/>
    <w:rsid w:val="00372FA3"/>
    <w:rsid w:val="003D417F"/>
    <w:rsid w:val="003F60E9"/>
    <w:rsid w:val="004248B8"/>
    <w:rsid w:val="00424943"/>
    <w:rsid w:val="0043175C"/>
    <w:rsid w:val="00437296"/>
    <w:rsid w:val="00451590"/>
    <w:rsid w:val="00451871"/>
    <w:rsid w:val="004631FC"/>
    <w:rsid w:val="004706DE"/>
    <w:rsid w:val="00472923"/>
    <w:rsid w:val="00496109"/>
    <w:rsid w:val="004B0C3A"/>
    <w:rsid w:val="004D5788"/>
    <w:rsid w:val="004E3066"/>
    <w:rsid w:val="004E74CD"/>
    <w:rsid w:val="00516E04"/>
    <w:rsid w:val="00565588"/>
    <w:rsid w:val="00572067"/>
    <w:rsid w:val="00573562"/>
    <w:rsid w:val="00590ECE"/>
    <w:rsid w:val="00592ADD"/>
    <w:rsid w:val="00614A29"/>
    <w:rsid w:val="00643AA7"/>
    <w:rsid w:val="00673D76"/>
    <w:rsid w:val="00674CD7"/>
    <w:rsid w:val="006854F0"/>
    <w:rsid w:val="006B1C4A"/>
    <w:rsid w:val="006B610D"/>
    <w:rsid w:val="006E49F5"/>
    <w:rsid w:val="007013C8"/>
    <w:rsid w:val="00717B1E"/>
    <w:rsid w:val="00753836"/>
    <w:rsid w:val="0075393C"/>
    <w:rsid w:val="00754592"/>
    <w:rsid w:val="00776C08"/>
    <w:rsid w:val="007C219A"/>
    <w:rsid w:val="007E1DA8"/>
    <w:rsid w:val="007F6C26"/>
    <w:rsid w:val="00813208"/>
    <w:rsid w:val="008334AE"/>
    <w:rsid w:val="00836FED"/>
    <w:rsid w:val="0083724E"/>
    <w:rsid w:val="00845CD2"/>
    <w:rsid w:val="00852B0D"/>
    <w:rsid w:val="00881692"/>
    <w:rsid w:val="00883D1A"/>
    <w:rsid w:val="008A25C2"/>
    <w:rsid w:val="008A6576"/>
    <w:rsid w:val="008B3CC5"/>
    <w:rsid w:val="008B52CD"/>
    <w:rsid w:val="008E4261"/>
    <w:rsid w:val="008F4662"/>
    <w:rsid w:val="00905D08"/>
    <w:rsid w:val="00922AEB"/>
    <w:rsid w:val="00925753"/>
    <w:rsid w:val="009425F4"/>
    <w:rsid w:val="00966C5C"/>
    <w:rsid w:val="00973104"/>
    <w:rsid w:val="00995BF0"/>
    <w:rsid w:val="009A16D5"/>
    <w:rsid w:val="009A353D"/>
    <w:rsid w:val="009B0B77"/>
    <w:rsid w:val="009B511E"/>
    <w:rsid w:val="00A44E3D"/>
    <w:rsid w:val="00A72D2E"/>
    <w:rsid w:val="00A74447"/>
    <w:rsid w:val="00A74CE5"/>
    <w:rsid w:val="00A911E7"/>
    <w:rsid w:val="00A939D9"/>
    <w:rsid w:val="00B07D9E"/>
    <w:rsid w:val="00B20712"/>
    <w:rsid w:val="00B43238"/>
    <w:rsid w:val="00B45DD3"/>
    <w:rsid w:val="00B52632"/>
    <w:rsid w:val="00B727A9"/>
    <w:rsid w:val="00B75216"/>
    <w:rsid w:val="00B91D52"/>
    <w:rsid w:val="00B9490F"/>
    <w:rsid w:val="00BA1ACD"/>
    <w:rsid w:val="00BD09F8"/>
    <w:rsid w:val="00CA7176"/>
    <w:rsid w:val="00CB3D48"/>
    <w:rsid w:val="00CB4665"/>
    <w:rsid w:val="00CC75B0"/>
    <w:rsid w:val="00CD2773"/>
    <w:rsid w:val="00CE143B"/>
    <w:rsid w:val="00D0024A"/>
    <w:rsid w:val="00D27003"/>
    <w:rsid w:val="00DB4A9B"/>
    <w:rsid w:val="00E167C7"/>
    <w:rsid w:val="00E2482E"/>
    <w:rsid w:val="00E73D47"/>
    <w:rsid w:val="00EC47F6"/>
    <w:rsid w:val="00EE156D"/>
    <w:rsid w:val="00EE65B8"/>
    <w:rsid w:val="00F149E2"/>
    <w:rsid w:val="00F66032"/>
    <w:rsid w:val="00F87C1E"/>
    <w:rsid w:val="00F958C2"/>
    <w:rsid w:val="01CF3DBB"/>
    <w:rsid w:val="0D6B2702"/>
    <w:rsid w:val="0FB81806"/>
    <w:rsid w:val="104F1DBC"/>
    <w:rsid w:val="14137C6E"/>
    <w:rsid w:val="18A942B7"/>
    <w:rsid w:val="1A300D71"/>
    <w:rsid w:val="1BE10A9A"/>
    <w:rsid w:val="20743E46"/>
    <w:rsid w:val="20AC777E"/>
    <w:rsid w:val="21AF242D"/>
    <w:rsid w:val="26F856F1"/>
    <w:rsid w:val="2AF06EA7"/>
    <w:rsid w:val="31481FDA"/>
    <w:rsid w:val="3305130A"/>
    <w:rsid w:val="33361BA1"/>
    <w:rsid w:val="354365A5"/>
    <w:rsid w:val="36801CC7"/>
    <w:rsid w:val="390A6845"/>
    <w:rsid w:val="3C73173D"/>
    <w:rsid w:val="401F1DFB"/>
    <w:rsid w:val="4136455D"/>
    <w:rsid w:val="45DC456C"/>
    <w:rsid w:val="48493533"/>
    <w:rsid w:val="4B4F521A"/>
    <w:rsid w:val="4FE3120D"/>
    <w:rsid w:val="52134F4C"/>
    <w:rsid w:val="53F62A90"/>
    <w:rsid w:val="585E2FD7"/>
    <w:rsid w:val="5D9D1876"/>
    <w:rsid w:val="6CED4F84"/>
    <w:rsid w:val="70B901C8"/>
    <w:rsid w:val="71270CD7"/>
    <w:rsid w:val="713A41AD"/>
    <w:rsid w:val="7A002C79"/>
    <w:rsid w:val="7F0D712E"/>
    <w:rsid w:val="FF7FEEA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9">
    <w:name w:val="Default Paragraph Font"/>
    <w:unhideWhenUsed/>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Balloon Text"/>
    <w:basedOn w:val="1"/>
    <w:link w:val="13"/>
    <w:unhideWhenUsed/>
    <w:qFormat/>
    <w:uiPriority w:val="99"/>
    <w:rPr>
      <w:sz w:val="18"/>
      <w:szCs w:val="18"/>
    </w:rPr>
  </w:style>
  <w:style w:type="paragraph" w:styleId="3">
    <w:name w:val="footer"/>
    <w:basedOn w:val="1"/>
    <w:link w:val="14"/>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link w:val="15"/>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5">
    <w:name w:val="toc 1"/>
    <w:basedOn w:val="1"/>
    <w:next w:val="1"/>
    <w:qFormat/>
    <w:uiPriority w:val="39"/>
    <w:rPr>
      <w:rFonts w:ascii="Times New Roman" w:hAnsi="Times New Roman" w:eastAsia="宋体" w:cs="Times New Roman"/>
      <w:szCs w:val="24"/>
    </w:rPr>
  </w:style>
  <w:style w:type="paragraph" w:styleId="6">
    <w:name w:val="footnote text"/>
    <w:basedOn w:val="1"/>
    <w:link w:val="16"/>
    <w:unhideWhenUsed/>
    <w:qFormat/>
    <w:uiPriority w:val="99"/>
    <w:pPr>
      <w:snapToGrid w:val="0"/>
      <w:jc w:val="left"/>
    </w:pPr>
    <w:rPr>
      <w:rFonts w:ascii="Calibri" w:hAnsi="Calibri" w:eastAsia="宋体" w:cs="Times New Roman"/>
      <w:sz w:val="18"/>
      <w:szCs w:val="18"/>
    </w:rPr>
  </w:style>
  <w:style w:type="paragraph" w:styleId="7">
    <w:name w:val="toc 2"/>
    <w:basedOn w:val="1"/>
    <w:next w:val="1"/>
    <w:qFormat/>
    <w:uiPriority w:val="39"/>
    <w:pPr>
      <w:ind w:left="420" w:leftChars="200"/>
    </w:pPr>
    <w:rPr>
      <w:rFonts w:ascii="Times New Roman" w:hAnsi="Times New Roman" w:eastAsia="宋体" w:cs="Times New Roman"/>
      <w:szCs w:val="24"/>
    </w:rPr>
  </w:style>
  <w:style w:type="character" w:styleId="10">
    <w:name w:val="page number"/>
    <w:unhideWhenUsed/>
    <w:qFormat/>
    <w:uiPriority w:val="99"/>
  </w:style>
  <w:style w:type="character" w:styleId="11">
    <w:name w:val="Hyperlink"/>
    <w:unhideWhenUsed/>
    <w:qFormat/>
    <w:uiPriority w:val="99"/>
    <w:rPr>
      <w:color w:val="0000FF"/>
      <w:u w:val="single"/>
    </w:rPr>
  </w:style>
  <w:style w:type="character" w:styleId="12">
    <w:name w:val="footnote reference"/>
    <w:unhideWhenUsed/>
    <w:qFormat/>
    <w:uiPriority w:val="99"/>
    <w:rPr>
      <w:vertAlign w:val="superscript"/>
    </w:rPr>
  </w:style>
  <w:style w:type="character" w:customStyle="1" w:styleId="13">
    <w:name w:val="批注框文本 Char"/>
    <w:basedOn w:val="9"/>
    <w:link w:val="2"/>
    <w:semiHidden/>
    <w:qFormat/>
    <w:uiPriority w:val="99"/>
    <w:rPr>
      <w:sz w:val="18"/>
      <w:szCs w:val="18"/>
    </w:rPr>
  </w:style>
  <w:style w:type="character" w:customStyle="1" w:styleId="14">
    <w:name w:val="页脚 Char"/>
    <w:basedOn w:val="9"/>
    <w:link w:val="3"/>
    <w:qFormat/>
    <w:uiPriority w:val="99"/>
    <w:rPr>
      <w:rFonts w:ascii="Times New Roman" w:hAnsi="Times New Roman" w:eastAsia="宋体" w:cs="Times New Roman"/>
      <w:sz w:val="18"/>
      <w:szCs w:val="18"/>
    </w:rPr>
  </w:style>
  <w:style w:type="character" w:customStyle="1" w:styleId="15">
    <w:name w:val="页眉 Char"/>
    <w:basedOn w:val="9"/>
    <w:link w:val="4"/>
    <w:qFormat/>
    <w:uiPriority w:val="99"/>
    <w:rPr>
      <w:rFonts w:ascii="Times New Roman" w:hAnsi="Times New Roman" w:eastAsia="宋体" w:cs="Times New Roman"/>
      <w:sz w:val="18"/>
      <w:szCs w:val="18"/>
    </w:rPr>
  </w:style>
  <w:style w:type="character" w:customStyle="1" w:styleId="16">
    <w:name w:val="脚注文本 Char"/>
    <w:basedOn w:val="9"/>
    <w:link w:val="6"/>
    <w:semiHidden/>
    <w:qFormat/>
    <w:uiPriority w:val="99"/>
    <w:rPr>
      <w:rFonts w:ascii="Calibri" w:hAnsi="Calibri" w:eastAsia="宋体" w:cs="Times New Roman"/>
      <w:sz w:val="18"/>
      <w:szCs w:val="18"/>
    </w:rPr>
  </w:style>
  <w:style w:type="paragraph" w:customStyle="1" w:styleId="17">
    <w:name w:val="Default"/>
    <w:qFormat/>
    <w:uiPriority w:val="0"/>
    <w:pPr>
      <w:widowControl w:val="0"/>
      <w:autoSpaceDE w:val="0"/>
      <w:autoSpaceDN w:val="0"/>
      <w:adjustRightInd w:val="0"/>
    </w:pPr>
    <w:rPr>
      <w:rFonts w:ascii="Times New Roman" w:hAnsi="Times New Roman" w:eastAsia="宋体" w:cs="Times New Roman"/>
      <w:color w:val="000000"/>
      <w:kern w:val="0"/>
      <w:sz w:val="24"/>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17</Pages>
  <Words>5879</Words>
  <Characters>6140</Characters>
  <Lines>145</Lines>
  <Paragraphs>41</Paragraphs>
  <TotalTime>1</TotalTime>
  <ScaleCrop>false</ScaleCrop>
  <LinksUpToDate>false</LinksUpToDate>
  <CharactersWithSpaces>6222</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2019-01-15T08:52:00Z</dcterms:created>
  <dc:creator>guest</dc:creator>
  <cp:lastModifiedBy>念</cp:lastModifiedBy>
  <cp:lastPrinted>2017-11-09T09:12:00Z</cp:lastPrinted>
  <dcterms:modified xsi:type="dcterms:W3CDTF">2026-05-25T06:37:33Z</dcterms:modified>
  <dc:title>河北省财政厅2019年部门预算信息公开情况说明</dc:title>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4D257BA964B84159A0CAE6AAA0001D07</vt:lpwstr>
  </property>
</Properties>
</file>