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26EDD">
      <w:pPr>
        <w:spacing w:line="660" w:lineRule="exact"/>
        <w:jc w:val="center"/>
        <w:rPr>
          <w:rFonts w:ascii="宋体" w:hAnsi="宋体"/>
          <w:spacing w:val="30"/>
          <w:sz w:val="44"/>
          <w:szCs w:val="44"/>
          <w:highlight w:val="none"/>
        </w:rPr>
      </w:pPr>
      <w:r>
        <w:rPr>
          <w:rFonts w:hint="eastAsia" w:ascii="宋体" w:hAnsi="宋体"/>
          <w:spacing w:val="30"/>
          <w:sz w:val="44"/>
          <w:szCs w:val="44"/>
          <w:highlight w:val="none"/>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9163050</wp:posOffset>
                </wp:positionV>
                <wp:extent cx="635" cy="0"/>
                <wp:effectExtent l="0" t="0" r="0" b="0"/>
                <wp:wrapNone/>
                <wp:docPr id="2" name="Line 2"/>
                <wp:cNvGraphicFramePr/>
                <a:graphic xmlns:a="http://schemas.openxmlformats.org/drawingml/2006/main">
                  <a:graphicData uri="http://schemas.microsoft.com/office/word/2010/wordprocessingShape">
                    <wps:wsp>
                      <wps:cNvCnPr/>
                      <wps:spPr bwMode="auto">
                        <a:xfrm>
                          <a:off x="0" y="0"/>
                          <a:ext cx="635" cy="0"/>
                        </a:xfrm>
                        <a:prstGeom prst="line">
                          <a:avLst/>
                        </a:prstGeom>
                        <a:noFill/>
                        <a:ln w="9525" cmpd="sng">
                          <a:solidFill>
                            <a:srgbClr val="000000"/>
                          </a:solidFill>
                          <a:round/>
                        </a:ln>
                      </wps:spPr>
                      <wps:bodyPr/>
                    </wps:wsp>
                  </a:graphicData>
                </a:graphic>
              </wp:anchor>
            </w:drawing>
          </mc:Choice>
          <mc:Fallback>
            <w:pict>
              <v:line id="Line 2" o:spid="_x0000_s1026" o:spt="20" style="position:absolute;left:0pt;margin-left:-27pt;margin-top:721.5pt;height:0pt;width:0.05pt;z-index:251660288;mso-width-relative:page;mso-height-relative:page;" filled="f" stroked="t" coordsize="21600,21600" o:gfxdata="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vx&#10;xlnYAAAADQEAAA8AAAAAAAAAAQAgAAAAIgAAAGRycy9kb3ducmV2LnhtbFBLAQIUABQAAAAIAIdO&#10;4kBQwiM6sQEAAHQDAAAOAAAAAAAAAAEAIAAAACcBAABkcnMvZTJvRG9jLnhtbFBLBQYAAAAABgAG&#10;AFkBAABKBQAAAAA=&#10;">
                <v:fill on="f" focussize="0,0"/>
                <v:stroke color="#000000" joinstyle="round"/>
                <v:imagedata o:title=""/>
                <o:lock v:ext="edit" aspectratio="f"/>
              </v:line>
            </w:pict>
          </mc:Fallback>
        </mc:AlternateContent>
      </w:r>
      <w:r>
        <w:rPr>
          <w:rFonts w:hint="eastAsia" w:ascii="宋体" w:hAnsi="宋体"/>
          <w:spacing w:val="30"/>
          <w:sz w:val="44"/>
          <w:szCs w:val="44"/>
          <w:highlight w:val="none"/>
        </w:rPr>
        <w:t>河北方舟会计师事务所有限责任公司</w:t>
      </w:r>
    </w:p>
    <w:p w14:paraId="622BF6CD">
      <w:pPr>
        <w:tabs>
          <w:tab w:val="left" w:pos="7560"/>
        </w:tabs>
        <w:spacing w:line="660" w:lineRule="exact"/>
        <w:rPr>
          <w:rFonts w:ascii="宋体" w:hAnsi="宋体"/>
          <w:spacing w:val="30"/>
          <w:sz w:val="44"/>
          <w:szCs w:val="44"/>
          <w:highlight w:val="none"/>
        </w:rPr>
      </w:pPr>
      <w:r>
        <w:rPr>
          <w:rFonts w:hint="eastAsia" w:ascii="宋体" w:hAnsi="宋体"/>
          <w:spacing w:val="30"/>
          <w:sz w:val="44"/>
          <w:szCs w:val="44"/>
          <w:highlight w:val="none"/>
        </w:rPr>
        <mc:AlternateContent>
          <mc:Choice Requires="wps">
            <w:drawing>
              <wp:anchor distT="0" distB="0" distL="114300" distR="114300" simplePos="0" relativeHeight="251659264" behindDoc="0" locked="0" layoutInCell="1" allowOverlap="1">
                <wp:simplePos x="0" y="0"/>
                <wp:positionH relativeFrom="column">
                  <wp:posOffset>71120</wp:posOffset>
                </wp:positionH>
                <wp:positionV relativeFrom="paragraph">
                  <wp:posOffset>69850</wp:posOffset>
                </wp:positionV>
                <wp:extent cx="5600700" cy="0"/>
                <wp:effectExtent l="0" t="0" r="0" b="0"/>
                <wp:wrapNone/>
                <wp:docPr id="1" name="Line 3"/>
                <wp:cNvGraphicFramePr/>
                <a:graphic xmlns:a="http://schemas.openxmlformats.org/drawingml/2006/main">
                  <a:graphicData uri="http://schemas.microsoft.com/office/word/2010/wordprocessingShape">
                    <wps:wsp>
                      <wps:cNvCnPr/>
                      <wps:spPr bwMode="auto">
                        <a:xfrm>
                          <a:off x="0" y="0"/>
                          <a:ext cx="5600700" cy="0"/>
                        </a:xfrm>
                        <a:prstGeom prst="line">
                          <a:avLst/>
                        </a:prstGeom>
                        <a:noFill/>
                        <a:ln w="15875" cmpd="sng">
                          <a:solidFill>
                            <a:srgbClr val="000000"/>
                          </a:solidFill>
                          <a:round/>
                        </a:ln>
                      </wps:spPr>
                      <wps:bodyPr/>
                    </wps:wsp>
                  </a:graphicData>
                </a:graphic>
              </wp:anchor>
            </w:drawing>
          </mc:Choice>
          <mc:Fallback>
            <w:pict>
              <v:line id="Line 3" o:spid="_x0000_s1026" o:spt="20" style="position:absolute;left:0pt;margin-left:5.6pt;margin-top:5.5pt;height:0pt;width:441pt;z-index:251659264;mso-width-relative:page;mso-height-relative:page;" filled="f" stroked="t" coordsize="21600,21600" o:gfxdata="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K5E&#10;WdQAAAAIAQAADwAAAAAAAAABACAAAAAiAAAAZHJzL2Rvd25yZXYueG1sUEsBAhQAFAAAAAgAh07i&#10;QKV3fgK0AQAAeQMAAA4AAAAAAAAAAQAgAAAAIwEAAGRycy9lMm9Eb2MueG1sUEsFBgAAAAAGAAYA&#10;WQEAAEkFAAAAAA==&#10;">
                <v:fill on="f" focussize="0,0"/>
                <v:stroke weight="1.25pt" color="#000000" joinstyle="round"/>
                <v:imagedata o:title=""/>
                <o:lock v:ext="edit" aspectratio="f"/>
              </v:line>
            </w:pict>
          </mc:Fallback>
        </mc:AlternateContent>
      </w:r>
    </w:p>
    <w:p w14:paraId="49712D53">
      <w:pPr>
        <w:spacing w:line="560" w:lineRule="exact"/>
        <w:jc w:val="center"/>
        <w:rPr>
          <w:rFonts w:hint="eastAsia" w:ascii="仿宋" w:hAnsi="仿宋" w:eastAsia="仿宋"/>
          <w:b/>
          <w:sz w:val="36"/>
          <w:szCs w:val="36"/>
          <w:highlight w:val="none"/>
          <w:lang w:eastAsia="zh-CN"/>
        </w:rPr>
      </w:pPr>
    </w:p>
    <w:p w14:paraId="00F0D297">
      <w:pPr>
        <w:pageBreakBefore w:val="0"/>
        <w:widowControl w:val="0"/>
        <w:kinsoku/>
        <w:wordWrap/>
        <w:overflowPunct/>
        <w:topLinePunct w:val="0"/>
        <w:bidi w:val="0"/>
        <w:snapToGrid/>
        <w:spacing w:line="640" w:lineRule="exact"/>
        <w:jc w:val="center"/>
        <w:textAlignment w:val="auto"/>
        <w:rPr>
          <w:rFonts w:hint="eastAsia" w:ascii="仿宋" w:hAnsi="仿宋" w:eastAsia="仿宋" w:cs="Times New Roman"/>
          <w:b/>
          <w:sz w:val="36"/>
          <w:szCs w:val="36"/>
          <w:highlight w:val="none"/>
          <w:lang w:val="en-US" w:eastAsia="zh-CN"/>
        </w:rPr>
      </w:pPr>
      <w:r>
        <w:rPr>
          <w:rFonts w:hint="eastAsia" w:ascii="仿宋" w:hAnsi="仿宋" w:eastAsia="仿宋" w:cs="Times New Roman"/>
          <w:b/>
          <w:sz w:val="36"/>
          <w:szCs w:val="36"/>
          <w:highlight w:val="none"/>
          <w:lang w:val="en-US" w:eastAsia="zh-CN"/>
        </w:rPr>
        <w:t>中国共产主义青年团石家庄市桥西区委员会</w:t>
      </w:r>
    </w:p>
    <w:p w14:paraId="3FBF5021">
      <w:pPr>
        <w:pageBreakBefore w:val="0"/>
        <w:widowControl w:val="0"/>
        <w:kinsoku/>
        <w:wordWrap/>
        <w:overflowPunct/>
        <w:topLinePunct w:val="0"/>
        <w:bidi w:val="0"/>
        <w:snapToGrid/>
        <w:spacing w:line="640" w:lineRule="exact"/>
        <w:jc w:val="center"/>
        <w:textAlignment w:val="auto"/>
        <w:rPr>
          <w:rFonts w:hint="eastAsia" w:ascii="仿宋" w:hAnsi="仿宋" w:eastAsia="仿宋" w:cs="Times New Roman"/>
          <w:b/>
          <w:sz w:val="36"/>
          <w:szCs w:val="36"/>
          <w:highlight w:val="none"/>
          <w:lang w:eastAsia="zh-CN"/>
        </w:rPr>
      </w:pPr>
      <w:r>
        <w:rPr>
          <w:rFonts w:hint="eastAsia" w:ascii="仿宋" w:hAnsi="仿宋" w:eastAsia="仿宋" w:cs="Times New Roman"/>
          <w:b/>
          <w:sz w:val="36"/>
          <w:szCs w:val="36"/>
          <w:highlight w:val="none"/>
          <w:lang w:val="en-US" w:eastAsia="zh-CN"/>
        </w:rPr>
        <w:t>2022年度部门整体支出绩效</w:t>
      </w:r>
      <w:r>
        <w:rPr>
          <w:rFonts w:hint="eastAsia" w:ascii="仿宋" w:hAnsi="仿宋" w:eastAsia="仿宋" w:cs="Times New Roman"/>
          <w:b/>
          <w:sz w:val="36"/>
          <w:szCs w:val="36"/>
          <w:highlight w:val="none"/>
          <w:lang w:eastAsia="zh-CN"/>
        </w:rPr>
        <w:t>评价报告</w:t>
      </w:r>
    </w:p>
    <w:p w14:paraId="368063D3">
      <w:pPr>
        <w:widowControl w:val="0"/>
        <w:wordWrap/>
        <w:spacing w:line="560" w:lineRule="exact"/>
        <w:ind w:left="0" w:leftChars="0" w:right="0"/>
        <w:jc w:val="center"/>
        <w:textAlignment w:val="auto"/>
        <w:outlineLvl w:val="9"/>
        <w:rPr>
          <w:rFonts w:ascii="华文楷体" w:eastAsia="华文楷体"/>
          <w:sz w:val="32"/>
          <w:szCs w:val="32"/>
          <w:highlight w:val="none"/>
        </w:rPr>
      </w:pPr>
    </w:p>
    <w:p w14:paraId="558CAF6C">
      <w:pPr>
        <w:pageBreakBefore w:val="0"/>
        <w:widowControl w:val="0"/>
        <w:kinsoku/>
        <w:wordWrap/>
        <w:overflowPunct/>
        <w:topLinePunct w:val="0"/>
        <w:autoSpaceDE/>
        <w:autoSpaceDN/>
        <w:bidi w:val="0"/>
        <w:adjustRightInd w:val="0"/>
        <w:snapToGrid w:val="0"/>
        <w:spacing w:line="600" w:lineRule="exact"/>
        <w:ind w:left="0" w:leftChars="0" w:right="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贯彻落实</w:t>
      </w:r>
      <w:r>
        <w:rPr>
          <w:rFonts w:hint="eastAsia" w:ascii="仿宋" w:hAnsi="仿宋" w:eastAsia="仿宋" w:cs="仿宋"/>
          <w:sz w:val="28"/>
          <w:szCs w:val="28"/>
          <w:highlight w:val="none"/>
          <w:lang w:eastAsia="zh-CN"/>
        </w:rPr>
        <w:t>市委市政府《关于全面落实预算绩效管理的实施意见》（石发﹝</w:t>
      </w:r>
      <w:r>
        <w:rPr>
          <w:rFonts w:hint="eastAsia" w:ascii="仿宋" w:hAnsi="仿宋" w:eastAsia="仿宋" w:cs="仿宋"/>
          <w:sz w:val="28"/>
          <w:szCs w:val="28"/>
          <w:highlight w:val="none"/>
          <w:lang w:val="en-US" w:eastAsia="zh-CN"/>
        </w:rPr>
        <w:t>2019</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8号</w:t>
      </w:r>
      <w:r>
        <w:rPr>
          <w:rFonts w:hint="eastAsia" w:ascii="仿宋" w:hAnsi="仿宋" w:eastAsia="仿宋" w:cs="仿宋"/>
          <w:sz w:val="28"/>
          <w:szCs w:val="28"/>
          <w:highlight w:val="none"/>
          <w:lang w:eastAsia="zh-CN"/>
        </w:rPr>
        <w:t>）文件精神，遵循“科学性、规范性、客观性和公正性”的原则，我们接受中国共产主义青年团石家庄市桥西区委员会的委托，我所承担中国共产主义青年团石家庄市桥西区委员会（以下简称“区团委”）</w:t>
      </w:r>
      <w:r>
        <w:rPr>
          <w:rFonts w:hint="eastAsia" w:ascii="仿宋" w:hAnsi="仿宋" w:eastAsia="仿宋" w:cs="仿宋"/>
          <w:sz w:val="28"/>
          <w:szCs w:val="28"/>
          <w:highlight w:val="none"/>
          <w:lang w:val="en-US" w:eastAsia="zh-CN"/>
        </w:rPr>
        <w:t>2022年部门整体支出</w:t>
      </w:r>
      <w:r>
        <w:rPr>
          <w:rFonts w:hint="eastAsia" w:ascii="仿宋" w:hAnsi="仿宋" w:eastAsia="仿宋" w:cs="仿宋"/>
          <w:sz w:val="28"/>
          <w:szCs w:val="28"/>
          <w:highlight w:val="none"/>
          <w:lang w:eastAsia="zh-CN"/>
        </w:rPr>
        <w:t>绩效评价工作，形成本评价报告。</w:t>
      </w:r>
    </w:p>
    <w:p w14:paraId="1AD5DE22">
      <w:pPr>
        <w:pageBreakBefore w:val="0"/>
        <w:widowControl w:val="0"/>
        <w:kinsoku/>
        <w:wordWrap/>
        <w:overflowPunct/>
        <w:topLinePunct w:val="0"/>
        <w:autoSpaceDE/>
        <w:autoSpaceDN/>
        <w:bidi w:val="0"/>
        <w:adjustRightInd w:val="0"/>
        <w:snapToGrid w:val="0"/>
        <w:spacing w:line="600" w:lineRule="exact"/>
        <w:ind w:left="0" w:leftChars="0" w:right="0"/>
        <w:textAlignment w:val="auto"/>
        <w:outlineLvl w:val="9"/>
        <w:rPr>
          <w:rFonts w:hint="eastAsia" w:ascii="仿宋" w:hAnsi="仿宋" w:eastAsia="仿宋" w:cs="仿宋"/>
          <w:b/>
          <w:bCs/>
          <w:sz w:val="28"/>
          <w:szCs w:val="28"/>
          <w:highlight w:val="none"/>
        </w:rPr>
      </w:pPr>
      <w:r>
        <w:rPr>
          <w:rFonts w:hint="eastAsia" w:ascii="仿宋" w:hAnsi="仿宋" w:eastAsia="仿宋" w:cs="仿宋"/>
          <w:sz w:val="28"/>
          <w:szCs w:val="28"/>
          <w:highlight w:val="none"/>
        </w:rPr>
        <w:t xml:space="preserve">   </w:t>
      </w:r>
      <w:r>
        <w:rPr>
          <w:rFonts w:hint="eastAsia" w:ascii="仿宋" w:hAnsi="仿宋" w:eastAsia="仿宋" w:cs="仿宋"/>
          <w:b/>
          <w:bCs/>
          <w:sz w:val="28"/>
          <w:szCs w:val="28"/>
          <w:highlight w:val="none"/>
        </w:rPr>
        <w:t xml:space="preserve"> 一、</w:t>
      </w:r>
      <w:r>
        <w:rPr>
          <w:rFonts w:hint="eastAsia" w:ascii="仿宋" w:hAnsi="仿宋" w:eastAsia="仿宋" w:cs="仿宋"/>
          <w:b/>
          <w:bCs/>
          <w:sz w:val="28"/>
          <w:szCs w:val="28"/>
          <w:highlight w:val="none"/>
          <w:lang w:eastAsia="zh-CN"/>
        </w:rPr>
        <w:t>部门</w:t>
      </w:r>
      <w:r>
        <w:rPr>
          <w:rFonts w:hint="eastAsia" w:ascii="仿宋" w:hAnsi="仿宋" w:eastAsia="仿宋" w:cs="仿宋"/>
          <w:b/>
          <w:bCs/>
          <w:sz w:val="28"/>
          <w:szCs w:val="28"/>
          <w:highlight w:val="none"/>
        </w:rPr>
        <w:t>基本情况</w:t>
      </w:r>
    </w:p>
    <w:p w14:paraId="1FF26448">
      <w:pPr>
        <w:pageBreakBefore w:val="0"/>
        <w:widowControl w:val="0"/>
        <w:kinsoku/>
        <w:wordWrap/>
        <w:overflowPunct/>
        <w:topLinePunct w:val="0"/>
        <w:autoSpaceDE/>
        <w:autoSpaceDN/>
        <w:bidi w:val="0"/>
        <w:adjustRightInd w:val="0"/>
        <w:snapToGrid w:val="0"/>
        <w:spacing w:line="600" w:lineRule="exact"/>
        <w:ind w:left="0" w:leftChars="0" w:right="0" w:firstLine="562" w:firstLineChars="200"/>
        <w:textAlignment w:val="auto"/>
        <w:outlineLvl w:val="9"/>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（一）</w:t>
      </w:r>
      <w:r>
        <w:rPr>
          <w:rFonts w:hint="eastAsia" w:ascii="仿宋" w:hAnsi="仿宋" w:eastAsia="仿宋" w:cs="仿宋"/>
          <w:b/>
          <w:bCs/>
          <w:sz w:val="28"/>
          <w:szCs w:val="28"/>
          <w:highlight w:val="none"/>
          <w:lang w:eastAsia="zh-CN"/>
        </w:rPr>
        <w:t>部门</w:t>
      </w:r>
      <w:r>
        <w:rPr>
          <w:rFonts w:hint="eastAsia" w:ascii="仿宋" w:hAnsi="仿宋" w:eastAsia="仿宋" w:cs="仿宋"/>
          <w:b/>
          <w:bCs/>
          <w:sz w:val="28"/>
          <w:szCs w:val="28"/>
          <w:highlight w:val="none"/>
        </w:rPr>
        <w:t>概况</w:t>
      </w:r>
    </w:p>
    <w:p w14:paraId="3AD1B754">
      <w:pPr>
        <w:pageBreakBefore w:val="0"/>
        <w:widowControl w:val="0"/>
        <w:kinsoku/>
        <w:wordWrap/>
        <w:overflowPunct/>
        <w:topLinePunct w:val="0"/>
        <w:autoSpaceDE/>
        <w:autoSpaceDN/>
        <w:bidi w:val="0"/>
        <w:adjustRightInd w:val="0"/>
        <w:snapToGrid w:val="0"/>
        <w:spacing w:line="600" w:lineRule="exact"/>
        <w:ind w:left="0" w:leftChars="0" w:right="0" w:firstLine="560" w:firstLineChars="200"/>
        <w:textAlignment w:val="auto"/>
        <w:outlineLvl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1、部门职能概述</w:t>
      </w:r>
    </w:p>
    <w:p w14:paraId="6444951E">
      <w:pPr>
        <w:pageBreakBefore w:val="0"/>
        <w:widowControl w:val="0"/>
        <w:kinsoku/>
        <w:wordWrap/>
        <w:overflowPunct/>
        <w:topLinePunct w:val="0"/>
        <w:autoSpaceDE/>
        <w:autoSpaceDN/>
        <w:bidi w:val="0"/>
        <w:adjustRightInd w:val="0"/>
        <w:snapToGrid w:val="0"/>
        <w:spacing w:line="600" w:lineRule="exact"/>
        <w:ind w:left="0" w:leftChars="0" w:right="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根据《中国共产主义青年团石家庄市桥西区委员会职能配置、内设机构和人员编制规定》，区团委的主要职责是：</w:t>
      </w:r>
    </w:p>
    <w:p w14:paraId="05F681C5">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广泛开展对青少年进行爱国主义、集体主义和社会主义思想道德教育；</w:t>
      </w:r>
    </w:p>
    <w:p w14:paraId="236C4E8F">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广泛开展对青年志愿者活动和完善“青年志愿者服务</w:t>
      </w:r>
      <w:r>
        <w:rPr>
          <w:rFonts w:hint="eastAsia" w:ascii="仿宋" w:hAnsi="仿宋" w:eastAsia="仿宋" w:cs="仿宋"/>
          <w:sz w:val="28"/>
          <w:szCs w:val="28"/>
          <w:highlight w:val="none"/>
          <w:lang w:eastAsia="zh-CN"/>
        </w:rPr>
        <w:t>站</w:t>
      </w:r>
      <w:r>
        <w:rPr>
          <w:rFonts w:hint="eastAsia" w:ascii="仿宋" w:hAnsi="仿宋" w:eastAsia="仿宋" w:cs="仿宋"/>
          <w:sz w:val="28"/>
          <w:szCs w:val="28"/>
          <w:highlight w:val="none"/>
        </w:rPr>
        <w:t>”的建设；</w:t>
      </w:r>
    </w:p>
    <w:p w14:paraId="3E0F7F5B">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实施绿色希望工程，推进“新世界青少年绿色行”；</w:t>
      </w:r>
    </w:p>
    <w:p w14:paraId="09931723">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深入开展</w:t>
      </w:r>
      <w:r>
        <w:rPr>
          <w:rFonts w:hint="eastAsia" w:ascii="仿宋" w:hAnsi="仿宋" w:eastAsia="仿宋" w:cs="仿宋"/>
          <w:sz w:val="28"/>
          <w:szCs w:val="28"/>
          <w:highlight w:val="none"/>
          <w:lang w:eastAsia="zh-CN"/>
        </w:rPr>
        <w:t>青年岗位能手和青年文明号活动；</w:t>
      </w:r>
    </w:p>
    <w:p w14:paraId="325B4658">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深化青年文明社区创建活动；</w:t>
      </w:r>
    </w:p>
    <w:p w14:paraId="3DA2AEBA">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开展“城乡青年</w:t>
      </w:r>
      <w:r>
        <w:rPr>
          <w:rFonts w:hint="eastAsia" w:ascii="仿宋" w:hAnsi="仿宋" w:eastAsia="仿宋" w:cs="仿宋"/>
          <w:sz w:val="28"/>
          <w:szCs w:val="28"/>
          <w:highlight w:val="none"/>
          <w:lang w:val="en-US" w:eastAsia="zh-CN"/>
        </w:rPr>
        <w:t>1+1</w:t>
      </w:r>
      <w:r>
        <w:rPr>
          <w:rFonts w:hint="eastAsia" w:ascii="仿宋" w:hAnsi="仿宋" w:eastAsia="仿宋" w:cs="仿宋"/>
          <w:sz w:val="28"/>
          <w:szCs w:val="28"/>
          <w:highlight w:val="none"/>
          <w:lang w:eastAsia="zh-CN"/>
        </w:rPr>
        <w:t>，双学促求发展”活动；</w:t>
      </w:r>
    </w:p>
    <w:p w14:paraId="7813F7C9">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进一步加强青少年权益工作，创建“优秀青少年维权岗”；</w:t>
      </w:r>
    </w:p>
    <w:p w14:paraId="575492DE">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深化青年拔尖人才工作，培养一大批德才兼备的优秀人才；</w:t>
      </w:r>
    </w:p>
    <w:p w14:paraId="43486201">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积极实施新世纪企业青年创新创效活动；</w:t>
      </w:r>
    </w:p>
    <w:p w14:paraId="56278B4E">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以“党建带区建”加强团的基层组织建设；</w:t>
      </w:r>
    </w:p>
    <w:p w14:paraId="6A83BAA4">
      <w:pPr>
        <w:pageBreakBefore w:val="0"/>
        <w:widowControl w:val="0"/>
        <w:numPr>
          <w:ilvl w:val="0"/>
          <w:numId w:val="1"/>
        </w:numPr>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加强团干部队伍和团员队伍建设</w:t>
      </w:r>
      <w:r>
        <w:rPr>
          <w:rFonts w:hint="eastAsia" w:ascii="仿宋" w:hAnsi="仿宋" w:eastAsia="仿宋" w:cs="仿宋"/>
          <w:sz w:val="28"/>
          <w:szCs w:val="28"/>
          <w:highlight w:val="none"/>
        </w:rPr>
        <w:t>。</w:t>
      </w:r>
    </w:p>
    <w:p w14:paraId="1AF061FB">
      <w:pPr>
        <w:pageBreakBefore w:val="0"/>
        <w:widowControl w:val="0"/>
        <w:kinsoku/>
        <w:wordWrap/>
        <w:overflowPunct/>
        <w:topLinePunct w:val="0"/>
        <w:autoSpaceDE/>
        <w:autoSpaceDN/>
        <w:bidi w:val="0"/>
        <w:adjustRightInd w:val="0"/>
        <w:snapToGrid w:val="0"/>
        <w:spacing w:line="600" w:lineRule="exact"/>
        <w:ind w:right="0" w:firstLine="560" w:firstLineChars="200"/>
        <w:textAlignment w:val="auto"/>
        <w:outlineLvl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部门组织机构及人员情况</w:t>
      </w:r>
    </w:p>
    <w:p w14:paraId="458CD6D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560" w:firstLineChars="200"/>
        <w:textAlignment w:val="auto"/>
        <w:outlineLvl w:val="9"/>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区团委为正科级行政单位，编制人数</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lang w:eastAsia="zh-CN"/>
        </w:rPr>
        <w:t>人，现在职人员</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lang w:eastAsia="zh-CN"/>
        </w:rPr>
        <w:t>人。</w:t>
      </w:r>
    </w:p>
    <w:p w14:paraId="16A03A0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30" w:beforeAutospacing="0" w:after="30" w:afterAutospacing="0" w:line="600" w:lineRule="exact"/>
        <w:ind w:right="0"/>
        <w:jc w:val="left"/>
        <w:textAlignment w:val="center"/>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 xml:space="preserve">    3、部门资产情况</w:t>
      </w:r>
    </w:p>
    <w:p w14:paraId="78DA1C30">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30" w:beforeAutospacing="0" w:after="30" w:afterAutospacing="0" w:line="600" w:lineRule="exact"/>
        <w:ind w:right="0" w:rightChars="0" w:firstLine="560" w:firstLineChars="200"/>
        <w:jc w:val="left"/>
        <w:textAlignment w:val="center"/>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截至2022年12月31日，</w:t>
      </w:r>
      <w:r>
        <w:rPr>
          <w:rFonts w:hint="eastAsia" w:ascii="仿宋" w:hAnsi="仿宋" w:eastAsia="仿宋" w:cs="仿宋"/>
          <w:sz w:val="28"/>
          <w:szCs w:val="28"/>
          <w:highlight w:val="none"/>
          <w:lang w:eastAsia="zh-CN"/>
        </w:rPr>
        <w:t>区团委</w:t>
      </w:r>
      <w:r>
        <w:rPr>
          <w:rFonts w:hint="eastAsia" w:ascii="仿宋" w:hAnsi="仿宋" w:eastAsia="仿宋" w:cs="仿宋"/>
          <w:kern w:val="2"/>
          <w:sz w:val="28"/>
          <w:szCs w:val="28"/>
          <w:highlight w:val="none"/>
          <w:lang w:val="en-US" w:eastAsia="zh-CN" w:bidi="ar-SA"/>
        </w:rPr>
        <w:t>资产总计为17,259.19元，其中：货币资金14,701.73元，固定资产净值2,182.46元，无形资产净值375.00元，核定车辆编制0台，实有公务用车0台。</w:t>
      </w:r>
    </w:p>
    <w:p w14:paraId="3E11751C">
      <w:pPr>
        <w:pageBreakBefore w:val="0"/>
        <w:widowControl w:val="0"/>
        <w:kinsoku/>
        <w:wordWrap/>
        <w:overflowPunct/>
        <w:topLinePunct w:val="0"/>
        <w:autoSpaceDE/>
        <w:autoSpaceDN/>
        <w:bidi w:val="0"/>
        <w:adjustRightInd w:val="0"/>
        <w:snapToGrid w:val="0"/>
        <w:spacing w:line="600" w:lineRule="exact"/>
        <w:ind w:left="0" w:leftChars="0" w:right="0" w:firstLine="562" w:firstLineChars="200"/>
        <w:textAlignment w:val="auto"/>
        <w:outlineLvl w:val="9"/>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rPr>
        <w:t>（二）</w:t>
      </w:r>
      <w:r>
        <w:rPr>
          <w:rFonts w:hint="eastAsia" w:ascii="仿宋" w:hAnsi="仿宋" w:eastAsia="仿宋" w:cs="仿宋"/>
          <w:b/>
          <w:bCs/>
          <w:sz w:val="28"/>
          <w:szCs w:val="28"/>
          <w:highlight w:val="none"/>
          <w:lang w:eastAsia="zh-CN"/>
        </w:rPr>
        <w:t>部门收支预决算情况</w:t>
      </w:r>
    </w:p>
    <w:p w14:paraId="35E7040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560" w:firstLineChars="200"/>
        <w:textAlignment w:val="auto"/>
        <w:outlineLvl w:val="9"/>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1、部门财政资金收入情况</w:t>
      </w:r>
    </w:p>
    <w:p w14:paraId="47D953C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560" w:firstLineChars="200"/>
        <w:textAlignment w:val="auto"/>
        <w:outlineLvl w:val="9"/>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2022年度收入年初预算数为625,200.00元，调整预算数为1,002,031.06元，决算数为1,002,031.06元，全部为一般公共预算财政拨款收入，2022年年初结转资金101,485.62元。</w:t>
      </w:r>
    </w:p>
    <w:p w14:paraId="7EDF1A7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560" w:firstLineChars="200"/>
        <w:textAlignment w:val="auto"/>
        <w:outlineLvl w:val="9"/>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2、部门财政资金支出情况</w:t>
      </w:r>
    </w:p>
    <w:p w14:paraId="77816D6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560" w:firstLineChars="200"/>
        <w:textAlignment w:val="auto"/>
        <w:outlineLvl w:val="9"/>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2022年度支出年初预算数为625,200.00元，调整预算数为1,002,031.06元，决算数为1,002,031.06元，其中：工资福利支出769,268.99元、商品和服务支出217,213.00元、对个人和家庭的补助990.00元，2022年年末结转14,559.07元。2022年度基本支出年初预算数为487,300.00元；调整预算数为850,549.06元，其中：人员经费支出784,818.06元、日常公用经费支出65,731.00元；决算数为151,482.00元。2022年度项目支出年初预算数为137,900.00元，调整预算数为151,482.00元，决算数为151,482.00元。</w:t>
      </w:r>
    </w:p>
    <w:p w14:paraId="36CAE5A8">
      <w:pPr>
        <w:pageBreakBefore w:val="0"/>
        <w:widowControl w:val="0"/>
        <w:kinsoku/>
        <w:wordWrap/>
        <w:overflowPunct/>
        <w:topLinePunct w:val="0"/>
        <w:autoSpaceDE/>
        <w:autoSpaceDN/>
        <w:bidi w:val="0"/>
        <w:adjustRightInd w:val="0"/>
        <w:snapToGrid w:val="0"/>
        <w:spacing w:line="600" w:lineRule="exact"/>
        <w:ind w:left="0" w:leftChars="0" w:right="0" w:firstLine="562" w:firstLineChars="200"/>
        <w:textAlignment w:val="auto"/>
        <w:outlineLvl w:val="9"/>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lang w:eastAsia="zh-CN"/>
        </w:rPr>
        <w:t>（三）部门整体支出绩效目标、指标</w:t>
      </w:r>
    </w:p>
    <w:p w14:paraId="377683B0">
      <w:pPr>
        <w:pStyle w:val="11"/>
        <w:pageBreakBefore w:val="0"/>
        <w:kinsoku/>
        <w:wordWrap/>
        <w:overflowPunct/>
        <w:topLinePunct w:val="0"/>
        <w:autoSpaceDE/>
        <w:autoSpaceDN/>
        <w:bidi w:val="0"/>
        <w:spacing w:line="600" w:lineRule="exact"/>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2022年以来，区团委在区委的坚强领导下，强化共青团政治属性，紧紧围绕党委工作中心，服务大局，凝聚青年、服务青年、引领青年，当好党的助手和生力军，全面推进桥西区共青团工作科学发展。</w:t>
      </w:r>
      <w:r>
        <w:rPr>
          <w:rFonts w:hint="eastAsia" w:ascii="仿宋" w:hAnsi="仿宋" w:eastAsia="仿宋" w:cs="仿宋"/>
          <w:b/>
          <w:bCs/>
          <w:kern w:val="2"/>
          <w:sz w:val="28"/>
          <w:szCs w:val="28"/>
          <w:highlight w:val="none"/>
          <w:lang w:val="en-US" w:eastAsia="zh-CN" w:bidi="ar-SA"/>
        </w:rPr>
        <w:t>组织建设和宣传教育。</w:t>
      </w:r>
      <w:r>
        <w:rPr>
          <w:rFonts w:hint="eastAsia" w:ascii="仿宋" w:hAnsi="仿宋" w:eastAsia="仿宋" w:cs="仿宋"/>
          <w:kern w:val="2"/>
          <w:sz w:val="28"/>
          <w:szCs w:val="28"/>
          <w:highlight w:val="none"/>
          <w:lang w:val="en-US" w:eastAsia="zh-CN" w:bidi="ar-SA"/>
        </w:rPr>
        <w:t>领导全区共青团工作，协助区相关部门做好学生教育管理工作，开展好党建带团建工作、团干部培训、志愿服务组织建设等活动。绩效指标设定为开展团干部培训会不少于3次。</w:t>
      </w:r>
      <w:r>
        <w:rPr>
          <w:rFonts w:hint="eastAsia" w:ascii="仿宋" w:hAnsi="仿宋" w:eastAsia="仿宋" w:cs="仿宋"/>
          <w:b/>
          <w:bCs/>
          <w:kern w:val="2"/>
          <w:sz w:val="28"/>
          <w:szCs w:val="28"/>
          <w:highlight w:val="none"/>
          <w:lang w:val="en-US" w:eastAsia="zh-CN" w:bidi="ar-SA"/>
        </w:rPr>
        <w:t>服务、引导青少年工作。</w:t>
      </w:r>
      <w:r>
        <w:rPr>
          <w:rFonts w:hint="eastAsia" w:ascii="仿宋" w:hAnsi="仿宋" w:eastAsia="仿宋" w:cs="仿宋"/>
          <w:kern w:val="2"/>
          <w:sz w:val="28"/>
          <w:szCs w:val="28"/>
          <w:highlight w:val="none"/>
          <w:lang w:val="en-US" w:eastAsia="zh-CN" w:bidi="ar-SA"/>
        </w:rPr>
        <w:t>调查青年思想动态和工作状况，研究青少年运动、青少年工作理论和思想教育问题并开展各种活动；组织和带领青年在经济建设中发挥生力军和突击队作用；丰富青少年活动，服务青年学习成才、交流交友、社会融入等现实需求，开展助力青年创业就业工作、“团干部如何健康成长”大讨论、青年读书班及全年常态志愿服务活动。绩效指标设定为开展青少年思想引领活动不少于3次。</w:t>
      </w:r>
      <w:r>
        <w:rPr>
          <w:rFonts w:hint="eastAsia" w:ascii="仿宋" w:hAnsi="仿宋" w:eastAsia="仿宋" w:cs="仿宋"/>
          <w:b/>
          <w:bCs/>
          <w:kern w:val="2"/>
          <w:sz w:val="28"/>
          <w:szCs w:val="28"/>
          <w:highlight w:val="none"/>
          <w:lang w:val="en-US" w:eastAsia="zh-CN" w:bidi="ar-SA"/>
        </w:rPr>
        <w:t>团组织阵地建设。</w:t>
      </w:r>
      <w:r>
        <w:rPr>
          <w:rFonts w:hint="eastAsia" w:ascii="仿宋" w:hAnsi="仿宋" w:eastAsia="仿宋" w:cs="仿宋"/>
          <w:kern w:val="2"/>
          <w:sz w:val="28"/>
          <w:szCs w:val="28"/>
          <w:highlight w:val="none"/>
          <w:lang w:val="en-US" w:eastAsia="zh-CN" w:bidi="ar-SA"/>
        </w:rPr>
        <w:t>在全区范围内建立团组织服务阵地，使青少年能就近找到团的组织及活动场所，并可以在其中寻求帮助、开展活动，做好社区青少年服务中心建设、青年中心建设及“青年之声”工作。绩效指标设定为组织青少年活动不少于5次。</w:t>
      </w:r>
      <w:r>
        <w:rPr>
          <w:rFonts w:hint="eastAsia" w:ascii="仿宋" w:hAnsi="仿宋" w:eastAsia="仿宋" w:cs="仿宋"/>
          <w:b/>
          <w:bCs/>
          <w:kern w:val="2"/>
          <w:sz w:val="28"/>
          <w:szCs w:val="28"/>
          <w:highlight w:val="none"/>
          <w:lang w:val="en-US" w:eastAsia="zh-CN" w:bidi="ar-SA"/>
        </w:rPr>
        <w:t>维护青少年权益。</w:t>
      </w:r>
      <w:r>
        <w:rPr>
          <w:rFonts w:hint="eastAsia" w:ascii="仿宋" w:hAnsi="仿宋" w:eastAsia="仿宋" w:cs="仿宋"/>
          <w:kern w:val="2"/>
          <w:sz w:val="28"/>
          <w:szCs w:val="28"/>
          <w:highlight w:val="none"/>
          <w:lang w:val="en-US" w:eastAsia="zh-CN" w:bidi="ar-SA"/>
        </w:rPr>
        <w:t>不断完善维护青少年权益工作体系，加强青少年维权及自护教育工作，开展预防青少年犯罪工作宣传活动。绩效指标设定为开展自护教育活动不少于5次。</w:t>
      </w:r>
      <w:r>
        <w:rPr>
          <w:rFonts w:hint="eastAsia" w:ascii="仿宋" w:hAnsi="仿宋" w:eastAsia="仿宋" w:cs="仿宋"/>
          <w:b/>
          <w:bCs/>
          <w:kern w:val="2"/>
          <w:sz w:val="28"/>
          <w:szCs w:val="28"/>
          <w:highlight w:val="none"/>
          <w:lang w:val="en-US" w:eastAsia="zh-CN" w:bidi="ar-SA"/>
        </w:rPr>
        <w:t>在各时间节点开展纪念活动。</w:t>
      </w:r>
      <w:r>
        <w:rPr>
          <w:rFonts w:hint="eastAsia" w:ascii="仿宋" w:hAnsi="仿宋" w:eastAsia="仿宋" w:cs="仿宋"/>
          <w:kern w:val="2"/>
          <w:sz w:val="28"/>
          <w:szCs w:val="28"/>
          <w:highlight w:val="none"/>
          <w:lang w:val="en-US" w:eastAsia="zh-CN" w:bidi="ar-SA"/>
        </w:rPr>
        <w:t>在与青少年有关的各时间节点开展有益青少年身心健康、能对青少年起到教育引导作用的纪念活动，做好“三·五”学雷锋日活动、“三·一八”成人节活动、“五四”纪念活动、“六一”庆祝活动、“七一”庆祝活动、“10·13”少先队建队日活动及“十二·五”国际志愿者日活动等。绩效指标设定为在不同时间节点不少于5次纪念活动。</w:t>
      </w:r>
    </w:p>
    <w:p w14:paraId="1C5E0830">
      <w:pPr>
        <w:pageBreakBefore w:val="0"/>
        <w:widowControl w:val="0"/>
        <w:kinsoku/>
        <w:wordWrap/>
        <w:overflowPunct/>
        <w:topLinePunct w:val="0"/>
        <w:autoSpaceDE/>
        <w:autoSpaceDN/>
        <w:bidi w:val="0"/>
        <w:adjustRightInd w:val="0"/>
        <w:snapToGrid w:val="0"/>
        <w:spacing w:line="600" w:lineRule="exact"/>
        <w:ind w:left="0" w:leftChars="0" w:right="0" w:firstLine="562" w:firstLineChars="200"/>
        <w:textAlignment w:val="auto"/>
        <w:outlineLvl w:val="9"/>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二、自评工作</w:t>
      </w:r>
      <w:r>
        <w:rPr>
          <w:rFonts w:hint="eastAsia" w:ascii="仿宋" w:hAnsi="仿宋" w:eastAsia="仿宋" w:cs="仿宋"/>
          <w:b/>
          <w:bCs/>
          <w:sz w:val="28"/>
          <w:szCs w:val="28"/>
          <w:highlight w:val="none"/>
          <w:lang w:eastAsia="zh-CN"/>
        </w:rPr>
        <w:t>开展</w:t>
      </w:r>
      <w:r>
        <w:rPr>
          <w:rFonts w:hint="eastAsia" w:ascii="仿宋" w:hAnsi="仿宋" w:eastAsia="仿宋" w:cs="仿宋"/>
          <w:b/>
          <w:bCs/>
          <w:sz w:val="28"/>
          <w:szCs w:val="28"/>
          <w:highlight w:val="none"/>
        </w:rPr>
        <w:t>情况</w:t>
      </w:r>
    </w:p>
    <w:p w14:paraId="77FA0F71">
      <w:pPr>
        <w:pageBreakBefore w:val="0"/>
        <w:widowControl w:val="0"/>
        <w:kinsoku/>
        <w:wordWrap/>
        <w:overflowPunct/>
        <w:topLinePunct w:val="0"/>
        <w:autoSpaceDE/>
        <w:autoSpaceDN/>
        <w:bidi w:val="0"/>
        <w:spacing w:line="600" w:lineRule="exact"/>
        <w:ind w:left="0" w:leftChars="0" w:right="0"/>
        <w:textAlignment w:val="auto"/>
        <w:outlineLvl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 xml:space="preserve">    </w:t>
      </w:r>
      <w:r>
        <w:rPr>
          <w:rFonts w:hint="eastAsia" w:ascii="仿宋" w:hAnsi="仿宋" w:eastAsia="仿宋" w:cs="仿宋"/>
          <w:b/>
          <w:bCs/>
          <w:sz w:val="28"/>
          <w:szCs w:val="28"/>
          <w:highlight w:val="none"/>
        </w:rPr>
        <w:t>（一）自评的组织工作</w:t>
      </w:r>
    </w:p>
    <w:p w14:paraId="0E9B8AF7">
      <w:pPr>
        <w:pageBreakBefore w:val="0"/>
        <w:widowControl w:val="0"/>
        <w:kinsoku/>
        <w:wordWrap/>
        <w:overflowPunct/>
        <w:topLinePunct w:val="0"/>
        <w:autoSpaceDE/>
        <w:autoSpaceDN/>
        <w:bidi w:val="0"/>
        <w:spacing w:line="600" w:lineRule="exact"/>
        <w:ind w:left="0" w:leftChars="0" w:right="0" w:firstLine="560" w:firstLineChars="200"/>
        <w:textAlignment w:val="auto"/>
        <w:outlineLvl w:val="9"/>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根据石家庄市桥西区财政局《关于开展2023年绩效自评工作的通知》（西财[2023]8号）文件精神，区团委</w:t>
      </w:r>
      <w:r>
        <w:rPr>
          <w:rFonts w:hint="eastAsia" w:ascii="仿宋" w:hAnsi="仿宋" w:eastAsia="仿宋" w:cs="仿宋"/>
          <w:sz w:val="28"/>
          <w:szCs w:val="28"/>
          <w:highlight w:val="none"/>
        </w:rPr>
        <w:t>专门成立了</w:t>
      </w:r>
      <w:r>
        <w:rPr>
          <w:rFonts w:hint="eastAsia" w:ascii="仿宋" w:hAnsi="仿宋" w:eastAsia="仿宋" w:cs="仿宋"/>
          <w:sz w:val="28"/>
          <w:szCs w:val="28"/>
          <w:highlight w:val="none"/>
          <w:lang w:eastAsia="zh-CN"/>
        </w:rPr>
        <w:t>部门整体</w:t>
      </w:r>
      <w:r>
        <w:rPr>
          <w:rFonts w:hint="eastAsia" w:ascii="仿宋" w:hAnsi="仿宋" w:eastAsia="仿宋" w:cs="仿宋"/>
          <w:sz w:val="28"/>
          <w:szCs w:val="28"/>
          <w:highlight w:val="none"/>
        </w:rPr>
        <w:t>绩效评价工作小组，</w:t>
      </w:r>
      <w:r>
        <w:rPr>
          <w:rFonts w:hint="eastAsia" w:ascii="仿宋" w:hAnsi="仿宋" w:eastAsia="仿宋" w:cs="仿宋"/>
          <w:sz w:val="28"/>
          <w:szCs w:val="28"/>
          <w:highlight w:val="none"/>
          <w:lang w:eastAsia="zh-CN"/>
        </w:rPr>
        <w:t>负责该项工作的组织领导和实施。</w:t>
      </w:r>
      <w:r>
        <w:rPr>
          <w:rFonts w:hint="eastAsia" w:ascii="仿宋" w:hAnsi="仿宋" w:eastAsia="仿宋" w:cs="仿宋"/>
          <w:sz w:val="28"/>
          <w:szCs w:val="28"/>
          <w:highlight w:val="none"/>
        </w:rPr>
        <w:t>工作小组下设办公室，办公室设在财务科，由办公室负责项目材料报送、</w:t>
      </w:r>
      <w:r>
        <w:rPr>
          <w:rFonts w:hint="eastAsia" w:ascii="仿宋" w:hAnsi="仿宋" w:eastAsia="仿宋" w:cs="仿宋"/>
          <w:sz w:val="28"/>
          <w:szCs w:val="28"/>
          <w:highlight w:val="none"/>
          <w:lang w:eastAsia="zh-CN"/>
        </w:rPr>
        <w:t>绩效</w:t>
      </w:r>
      <w:r>
        <w:rPr>
          <w:rFonts w:hint="eastAsia" w:ascii="仿宋" w:hAnsi="仿宋" w:eastAsia="仿宋" w:cs="仿宋"/>
          <w:sz w:val="28"/>
          <w:szCs w:val="28"/>
          <w:highlight w:val="none"/>
        </w:rPr>
        <w:t>评价等事项。按照全覆盖原则，对</w:t>
      </w:r>
      <w:r>
        <w:rPr>
          <w:rFonts w:hint="eastAsia" w:ascii="仿宋" w:hAnsi="仿宋" w:eastAsia="仿宋" w:cs="仿宋"/>
          <w:sz w:val="28"/>
          <w:szCs w:val="28"/>
          <w:highlight w:val="none"/>
          <w:lang w:eastAsia="zh-CN"/>
        </w:rPr>
        <w:t>2022年度部门整体</w:t>
      </w:r>
      <w:r>
        <w:rPr>
          <w:rFonts w:hint="eastAsia" w:ascii="仿宋" w:hAnsi="仿宋" w:eastAsia="仿宋" w:cs="仿宋"/>
          <w:sz w:val="28"/>
          <w:szCs w:val="28"/>
          <w:highlight w:val="none"/>
        </w:rPr>
        <w:t>进行绩效自评</w:t>
      </w:r>
      <w:r>
        <w:rPr>
          <w:rFonts w:hint="eastAsia" w:ascii="仿宋" w:hAnsi="仿宋" w:eastAsia="仿宋" w:cs="仿宋"/>
          <w:sz w:val="28"/>
          <w:szCs w:val="28"/>
          <w:highlight w:val="none"/>
          <w:lang w:eastAsia="zh-CN"/>
        </w:rPr>
        <w:t>工作</w:t>
      </w:r>
      <w:r>
        <w:rPr>
          <w:rFonts w:hint="eastAsia" w:ascii="仿宋" w:hAnsi="仿宋" w:eastAsia="仿宋" w:cs="仿宋"/>
          <w:sz w:val="28"/>
          <w:szCs w:val="28"/>
          <w:highlight w:val="none"/>
        </w:rPr>
        <w:t>。</w:t>
      </w:r>
    </w:p>
    <w:p w14:paraId="732C98D9">
      <w:pPr>
        <w:pageBreakBefore w:val="0"/>
        <w:widowControl w:val="0"/>
        <w:numPr>
          <w:ilvl w:val="0"/>
          <w:numId w:val="0"/>
        </w:numPr>
        <w:kinsoku/>
        <w:wordWrap/>
        <w:overflowPunct/>
        <w:topLinePunct w:val="0"/>
        <w:autoSpaceDE/>
        <w:autoSpaceDN/>
        <w:bidi w:val="0"/>
        <w:spacing w:line="600" w:lineRule="exact"/>
        <w:ind w:right="0" w:rightChars="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lang w:eastAsia="zh-CN"/>
        </w:rPr>
        <w:t>收集基础数据。工作小组按照要求详细查阅并收集了部门2022年度预算决算资料和相关财务资料，并就部门评价报告情况与各科室负责人深入交流；</w:t>
      </w:r>
    </w:p>
    <w:p w14:paraId="7FF3C9FB">
      <w:pPr>
        <w:pageBreakBefore w:val="0"/>
        <w:widowControl w:val="0"/>
        <w:numPr>
          <w:ilvl w:val="0"/>
          <w:numId w:val="0"/>
        </w:numPr>
        <w:kinsoku/>
        <w:wordWrap/>
        <w:overflowPunct/>
        <w:topLinePunct w:val="0"/>
        <w:autoSpaceDE/>
        <w:autoSpaceDN/>
        <w:bidi w:val="0"/>
        <w:spacing w:line="600" w:lineRule="exact"/>
        <w:ind w:right="0" w:rightChars="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lang w:eastAsia="zh-CN"/>
        </w:rPr>
        <w:t>确定绩效评价指标体系。在准备阶段初步拟定的绩效评价指标体系的基础上，结合单位自身工作特点，确定部门整体支出绩效评价的指标体系；</w:t>
      </w:r>
    </w:p>
    <w:p w14:paraId="0E1D580A">
      <w:pPr>
        <w:pageBreakBefore w:val="0"/>
        <w:widowControl w:val="0"/>
        <w:numPr>
          <w:ilvl w:val="0"/>
          <w:numId w:val="0"/>
        </w:numPr>
        <w:kinsoku/>
        <w:wordWrap/>
        <w:overflowPunct/>
        <w:topLinePunct w:val="0"/>
        <w:autoSpaceDE/>
        <w:autoSpaceDN/>
        <w:bidi w:val="0"/>
        <w:spacing w:line="600" w:lineRule="exact"/>
        <w:ind w:right="0" w:rightChars="0" w:firstLine="560" w:firstLineChars="200"/>
        <w:textAlignment w:val="auto"/>
        <w:outlineLvl w:val="9"/>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lang w:eastAsia="zh-CN"/>
        </w:rPr>
        <w:t>分析评价。现场收集资料完成以后，小组成员对所收集的资料进行了审查核实。对各项管理工作、投入与产出进行对比，分析单位预算编制工作、预算执行工作、预算管理工作及部门人员编制情况、部门履职效果等，严格按照文件要求对单位2022年度部门整体支出情况开展绩效评价。</w:t>
      </w:r>
    </w:p>
    <w:p w14:paraId="11BE2DBF">
      <w:pPr>
        <w:pageBreakBefore w:val="0"/>
        <w:widowControl w:val="0"/>
        <w:numPr>
          <w:ilvl w:val="0"/>
          <w:numId w:val="2"/>
        </w:numPr>
        <w:kinsoku/>
        <w:wordWrap/>
        <w:overflowPunct/>
        <w:topLinePunct w:val="0"/>
        <w:autoSpaceDE/>
        <w:autoSpaceDN/>
        <w:bidi w:val="0"/>
        <w:spacing w:line="600" w:lineRule="exact"/>
        <w:ind w:left="642" w:leftChars="0" w:right="0" w:firstLine="0" w:firstLineChars="0"/>
        <w:textAlignment w:val="auto"/>
        <w:outlineLvl w:val="9"/>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自评的方法和过程</w:t>
      </w:r>
    </w:p>
    <w:p w14:paraId="767BC092">
      <w:pPr>
        <w:pageBreakBefore w:val="0"/>
        <w:widowControl w:val="0"/>
        <w:numPr>
          <w:ilvl w:val="0"/>
          <w:numId w:val="0"/>
        </w:numPr>
        <w:kinsoku/>
        <w:wordWrap/>
        <w:overflowPunct/>
        <w:topLinePunct w:val="0"/>
        <w:autoSpaceDE/>
        <w:autoSpaceDN/>
        <w:bidi w:val="0"/>
        <w:spacing w:line="600" w:lineRule="exact"/>
        <w:ind w:right="0" w:rightChars="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绩效评价注重财政资金管理使用的有效性、规范性和及时性，严格执行规定的程序，采用定量和定性相结合的方法</w:t>
      </w:r>
      <w:r>
        <w:rPr>
          <w:rFonts w:hint="eastAsia" w:ascii="仿宋" w:hAnsi="仿宋" w:eastAsia="仿宋" w:cs="仿宋"/>
          <w:sz w:val="28"/>
          <w:szCs w:val="28"/>
          <w:highlight w:val="none"/>
          <w:lang w:eastAsia="zh-CN"/>
        </w:rPr>
        <w:t>，方法主要有成本效益分析法、比较法、因素分析法、最低成本法、公众评判法等。</w:t>
      </w:r>
    </w:p>
    <w:p w14:paraId="0401935A">
      <w:pPr>
        <w:pageBreakBefore w:val="0"/>
        <w:widowControl w:val="0"/>
        <w:numPr>
          <w:ilvl w:val="0"/>
          <w:numId w:val="0"/>
        </w:numPr>
        <w:kinsoku/>
        <w:wordWrap/>
        <w:overflowPunct/>
        <w:topLinePunct w:val="0"/>
        <w:autoSpaceDE/>
        <w:autoSpaceDN/>
        <w:bidi w:val="0"/>
        <w:spacing w:line="600" w:lineRule="exact"/>
        <w:ind w:right="0" w:rightChars="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lang w:eastAsia="zh-CN"/>
        </w:rPr>
        <w:t>成本效益分析法。是指将一定时期内的支出与效益进行对比分析，以评价绩效目标的实现程度。</w:t>
      </w:r>
    </w:p>
    <w:p w14:paraId="62266EDF">
      <w:pPr>
        <w:pageBreakBefore w:val="0"/>
        <w:widowControl w:val="0"/>
        <w:numPr>
          <w:ilvl w:val="0"/>
          <w:numId w:val="0"/>
        </w:numPr>
        <w:kinsoku/>
        <w:wordWrap/>
        <w:overflowPunct/>
        <w:topLinePunct w:val="0"/>
        <w:autoSpaceDE/>
        <w:autoSpaceDN/>
        <w:bidi w:val="0"/>
        <w:spacing w:line="600" w:lineRule="exact"/>
        <w:ind w:right="0" w:rightChars="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lang w:eastAsia="zh-CN"/>
        </w:rPr>
        <w:t>比较法。是指通过对绩效目标与实施效果、历史与当期情况、不同部门和地区同类支出的比较，综合分析绩效目标实现程度。</w:t>
      </w:r>
    </w:p>
    <w:p w14:paraId="69AC0396">
      <w:pPr>
        <w:pageBreakBefore w:val="0"/>
        <w:widowControl w:val="0"/>
        <w:numPr>
          <w:ilvl w:val="0"/>
          <w:numId w:val="0"/>
        </w:numPr>
        <w:kinsoku/>
        <w:wordWrap/>
        <w:overflowPunct/>
        <w:topLinePunct w:val="0"/>
        <w:autoSpaceDE/>
        <w:autoSpaceDN/>
        <w:bidi w:val="0"/>
        <w:spacing w:line="600" w:lineRule="exact"/>
        <w:ind w:right="0" w:rightChars="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lang w:eastAsia="zh-CN"/>
        </w:rPr>
        <w:t>因素分析法。是指通过综合分析影响绩效目标实现、实施效果的内外因素，评价绩效目标实现程度。</w:t>
      </w:r>
    </w:p>
    <w:p w14:paraId="77E79D7B">
      <w:pPr>
        <w:pageBreakBefore w:val="0"/>
        <w:widowControl w:val="0"/>
        <w:numPr>
          <w:ilvl w:val="0"/>
          <w:numId w:val="0"/>
        </w:numPr>
        <w:kinsoku/>
        <w:wordWrap/>
        <w:overflowPunct/>
        <w:topLinePunct w:val="0"/>
        <w:autoSpaceDE/>
        <w:autoSpaceDN/>
        <w:bidi w:val="0"/>
        <w:spacing w:line="600" w:lineRule="exact"/>
        <w:ind w:right="0" w:rightChars="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lang w:eastAsia="zh-CN"/>
        </w:rPr>
        <w:t>最低成本法。是指对效益确定却不易计量的多个同类对象的实施成本进行比较，评价绩效目标实现程度。</w:t>
      </w:r>
    </w:p>
    <w:p w14:paraId="062A80B9">
      <w:pPr>
        <w:pageBreakBefore w:val="0"/>
        <w:widowControl w:val="0"/>
        <w:numPr>
          <w:ilvl w:val="0"/>
          <w:numId w:val="0"/>
        </w:numPr>
        <w:kinsoku/>
        <w:wordWrap/>
        <w:overflowPunct/>
        <w:topLinePunct w:val="0"/>
        <w:autoSpaceDE/>
        <w:autoSpaceDN/>
        <w:bidi w:val="0"/>
        <w:spacing w:line="600" w:lineRule="exact"/>
        <w:ind w:right="0" w:rightChars="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lang w:eastAsia="zh-CN"/>
        </w:rPr>
        <w:t>公众评判法。是指通过公众问卷及抽样调查等对预算支出效果进行评判，评价绩效目标实现程度。</w:t>
      </w:r>
    </w:p>
    <w:p w14:paraId="7D2D88B0">
      <w:pPr>
        <w:pageBreakBefore w:val="0"/>
        <w:widowControl w:val="0"/>
        <w:numPr>
          <w:ilvl w:val="0"/>
          <w:numId w:val="0"/>
        </w:numPr>
        <w:kinsoku/>
        <w:wordWrap/>
        <w:overflowPunct/>
        <w:topLinePunct w:val="0"/>
        <w:autoSpaceDE/>
        <w:autoSpaceDN/>
        <w:bidi w:val="0"/>
        <w:spacing w:line="600" w:lineRule="exact"/>
        <w:ind w:right="0" w:rightChars="0" w:firstLine="560" w:firstLineChars="200"/>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通过以上方法收集有关资料，进行研究分析，确定各项指标完成程度及得分，找出实施中存在的问题，分析原因，提出建议，形成绩效评价报告。</w:t>
      </w:r>
    </w:p>
    <w:p w14:paraId="4D697420">
      <w:pPr>
        <w:pageBreakBefore w:val="0"/>
        <w:widowControl w:val="0"/>
        <w:numPr>
          <w:ilvl w:val="0"/>
          <w:numId w:val="0"/>
        </w:numPr>
        <w:kinsoku/>
        <w:wordWrap/>
        <w:overflowPunct/>
        <w:topLinePunct w:val="0"/>
        <w:autoSpaceDE/>
        <w:autoSpaceDN/>
        <w:bidi w:val="0"/>
        <w:spacing w:line="600" w:lineRule="exact"/>
        <w:ind w:right="0" w:rightChars="0" w:firstLine="562" w:firstLineChars="200"/>
        <w:textAlignment w:val="auto"/>
        <w:outlineLvl w:val="9"/>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三、部门整体支出绩效目标实现情况及指标分析</w:t>
      </w:r>
    </w:p>
    <w:p w14:paraId="0619F116">
      <w:pPr>
        <w:pageBreakBefore w:val="0"/>
        <w:kinsoku/>
        <w:wordWrap/>
        <w:overflowPunct/>
        <w:topLinePunct w:val="0"/>
        <w:autoSpaceDE/>
        <w:autoSpaceDN/>
        <w:bidi w:val="0"/>
        <w:adjustRightInd/>
        <w:snapToGrid/>
        <w:spacing w:line="600" w:lineRule="exact"/>
        <w:ind w:firstLine="562" w:firstLineChars="200"/>
        <w:jc w:val="lef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（一）总体绩效目标实现情况</w:t>
      </w:r>
    </w:p>
    <w:p w14:paraId="7A4813AB">
      <w:pPr>
        <w:pageBreakBefore w:val="0"/>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lang w:eastAsia="zh-CN"/>
        </w:rPr>
        <w:t>区团委</w:t>
      </w:r>
      <w:r>
        <w:rPr>
          <w:rFonts w:hint="eastAsia" w:ascii="仿宋" w:hAnsi="仿宋" w:eastAsia="仿宋" w:cs="仿宋"/>
          <w:b w:val="0"/>
          <w:bCs w:val="0"/>
          <w:sz w:val="28"/>
          <w:szCs w:val="28"/>
          <w:highlight w:val="none"/>
        </w:rPr>
        <w:t>深入贯彻落实党的</w:t>
      </w:r>
      <w:r>
        <w:rPr>
          <w:rFonts w:hint="eastAsia" w:ascii="仿宋" w:hAnsi="仿宋" w:eastAsia="仿宋" w:cs="仿宋"/>
          <w:b w:val="0"/>
          <w:bCs w:val="0"/>
          <w:sz w:val="28"/>
          <w:szCs w:val="28"/>
          <w:highlight w:val="none"/>
          <w:lang w:eastAsia="zh-CN"/>
        </w:rPr>
        <w:t>二十</w:t>
      </w:r>
      <w:r>
        <w:rPr>
          <w:rFonts w:hint="eastAsia" w:ascii="仿宋" w:hAnsi="仿宋" w:eastAsia="仿宋" w:cs="仿宋"/>
          <w:b w:val="0"/>
          <w:bCs w:val="0"/>
          <w:sz w:val="28"/>
          <w:szCs w:val="28"/>
          <w:highlight w:val="none"/>
        </w:rPr>
        <w:t>大精神和习近平</w:t>
      </w:r>
      <w:r>
        <w:rPr>
          <w:rFonts w:hint="eastAsia" w:ascii="仿宋" w:hAnsi="仿宋" w:eastAsia="仿宋" w:cs="仿宋"/>
          <w:b w:val="0"/>
          <w:bCs w:val="0"/>
          <w:sz w:val="28"/>
          <w:szCs w:val="28"/>
          <w:highlight w:val="none"/>
          <w:lang w:eastAsia="zh-CN"/>
        </w:rPr>
        <w:t>法治思想、</w:t>
      </w:r>
      <w:r>
        <w:rPr>
          <w:rFonts w:hint="eastAsia" w:ascii="仿宋" w:hAnsi="仿宋" w:eastAsia="仿宋" w:cs="仿宋"/>
          <w:b w:val="0"/>
          <w:bCs w:val="0"/>
          <w:sz w:val="28"/>
          <w:szCs w:val="28"/>
          <w:highlight w:val="none"/>
        </w:rPr>
        <w:t>新时代中国特色社会主义思想，在区委、区政府的正确领导下，较好的完成了各项工作任务。</w:t>
      </w:r>
    </w:p>
    <w:p w14:paraId="2A49252F">
      <w:pPr>
        <w:pageBreakBefore w:val="0"/>
        <w:kinsoku/>
        <w:wordWrap/>
        <w:overflowPunct/>
        <w:topLinePunct w:val="0"/>
        <w:autoSpaceDE/>
        <w:autoSpaceDN/>
        <w:bidi w:val="0"/>
        <w:adjustRightInd/>
        <w:snapToGrid/>
        <w:spacing w:line="600" w:lineRule="exact"/>
        <w:ind w:firstLine="562" w:firstLineChars="200"/>
        <w:jc w:val="lef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（二）分项绩效目标实现情况及指标分析</w:t>
      </w:r>
    </w:p>
    <w:p w14:paraId="145B0162">
      <w:pPr>
        <w:pageBreakBefore w:val="0"/>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根据</w:t>
      </w:r>
      <w:r>
        <w:rPr>
          <w:rFonts w:hint="eastAsia" w:ascii="仿宋" w:hAnsi="仿宋" w:eastAsia="仿宋" w:cs="仿宋"/>
          <w:b w:val="0"/>
          <w:bCs w:val="0"/>
          <w:sz w:val="28"/>
          <w:szCs w:val="28"/>
          <w:highlight w:val="none"/>
          <w:lang w:eastAsia="zh-CN"/>
        </w:rPr>
        <w:t>部门整体支出</w:t>
      </w:r>
      <w:r>
        <w:rPr>
          <w:rFonts w:hint="eastAsia" w:ascii="仿宋" w:hAnsi="仿宋" w:eastAsia="仿宋" w:cs="仿宋"/>
          <w:b w:val="0"/>
          <w:bCs w:val="0"/>
          <w:sz w:val="28"/>
          <w:szCs w:val="28"/>
          <w:highlight w:val="none"/>
        </w:rPr>
        <w:t>绩效评价情况，围绕绩效评价指标体系，对项目决策、管理、产出、预算执行率、效益和满意度六个方面进行分析，指标得分97</w:t>
      </w:r>
      <w:r>
        <w:rPr>
          <w:rFonts w:hint="eastAsia" w:ascii="仿宋" w:hAnsi="仿宋" w:eastAsia="仿宋" w:cs="仿宋"/>
          <w:b w:val="0"/>
          <w:bCs w:val="0"/>
          <w:sz w:val="28"/>
          <w:szCs w:val="28"/>
          <w:highlight w:val="none"/>
          <w:lang w:eastAsia="zh-CN"/>
        </w:rPr>
        <w:t>分</w:t>
      </w:r>
      <w:r>
        <w:rPr>
          <w:rFonts w:hint="eastAsia" w:ascii="仿宋" w:hAnsi="仿宋" w:eastAsia="仿宋" w:cs="仿宋"/>
          <w:b w:val="0"/>
          <w:bCs w:val="0"/>
          <w:sz w:val="28"/>
          <w:szCs w:val="28"/>
          <w:highlight w:val="none"/>
        </w:rPr>
        <w:t>，失分</w:t>
      </w:r>
      <w:r>
        <w:rPr>
          <w:rFonts w:hint="eastAsia" w:ascii="仿宋" w:hAnsi="仿宋" w:eastAsia="仿宋" w:cs="仿宋"/>
          <w:b w:val="0"/>
          <w:bCs w:val="0"/>
          <w:sz w:val="28"/>
          <w:szCs w:val="28"/>
          <w:highlight w:val="none"/>
          <w:lang w:val="en-US" w:eastAsia="zh-CN"/>
        </w:rPr>
        <w:t>3</w:t>
      </w:r>
      <w:r>
        <w:rPr>
          <w:rFonts w:hint="eastAsia" w:ascii="仿宋" w:hAnsi="仿宋" w:eastAsia="仿宋" w:cs="仿宋"/>
          <w:b w:val="0"/>
          <w:bCs w:val="0"/>
          <w:sz w:val="28"/>
          <w:szCs w:val="28"/>
          <w:highlight w:val="none"/>
        </w:rPr>
        <w:t>分，分解如下：</w:t>
      </w:r>
    </w:p>
    <w:p w14:paraId="2B5970D5">
      <w:pPr>
        <w:pageBreakBefore w:val="0"/>
        <w:kinsoku/>
        <w:wordWrap/>
        <w:overflowPunct/>
        <w:topLinePunct w:val="0"/>
        <w:autoSpaceDE/>
        <w:autoSpaceDN/>
        <w:bidi w:val="0"/>
        <w:adjustRightInd/>
        <w:snapToGrid/>
        <w:spacing w:line="600" w:lineRule="exact"/>
        <w:ind w:firstLine="562" w:firstLineChars="200"/>
        <w:jc w:val="lef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1、</w:t>
      </w:r>
      <w:r>
        <w:rPr>
          <w:rFonts w:hint="eastAsia" w:ascii="仿宋" w:hAnsi="仿宋" w:eastAsia="仿宋" w:cs="仿宋"/>
          <w:b/>
          <w:bCs/>
          <w:sz w:val="28"/>
          <w:szCs w:val="28"/>
          <w:highlight w:val="none"/>
          <w:lang w:eastAsia="zh-CN"/>
        </w:rPr>
        <w:t>决策指标</w:t>
      </w:r>
    </w:p>
    <w:p w14:paraId="3F61A4FB">
      <w:pPr>
        <w:pageBreakBefore w:val="0"/>
        <w:widowControl/>
        <w:kinsoku/>
        <w:wordWrap/>
        <w:overflowPunct/>
        <w:topLinePunct w:val="0"/>
        <w:autoSpaceDE/>
        <w:autoSpaceDN/>
        <w:bidi w:val="0"/>
        <w:adjustRightInd/>
        <w:snapToGrid/>
        <w:spacing w:line="600" w:lineRule="exact"/>
        <w:ind w:firstLine="640"/>
        <w:jc w:val="left"/>
        <w:textAlignment w:val="auto"/>
        <w:rPr>
          <w:rFonts w:hint="eastAsia" w:ascii="仿宋" w:hAnsi="仿宋" w:eastAsia="仿宋" w:cs="仿宋"/>
          <w:b/>
          <w:bCs/>
          <w:sz w:val="28"/>
          <w:szCs w:val="28"/>
          <w:highlight w:val="none"/>
        </w:rPr>
      </w:pPr>
      <w:r>
        <w:rPr>
          <w:rFonts w:hint="eastAsia" w:ascii="仿宋" w:hAnsi="仿宋" w:eastAsia="仿宋" w:cs="仿宋"/>
          <w:b/>
          <w:bCs w:val="0"/>
          <w:sz w:val="28"/>
          <w:szCs w:val="28"/>
          <w:highlight w:val="none"/>
        </w:rPr>
        <w:t>（1）</w:t>
      </w:r>
      <w:r>
        <w:rPr>
          <w:rFonts w:hint="eastAsia" w:ascii="仿宋" w:hAnsi="仿宋" w:eastAsia="仿宋" w:cs="仿宋"/>
          <w:b/>
          <w:bCs/>
          <w:sz w:val="28"/>
          <w:szCs w:val="28"/>
          <w:highlight w:val="none"/>
          <w:lang w:eastAsia="zh-CN"/>
        </w:rPr>
        <w:t>绩效目标</w:t>
      </w:r>
    </w:p>
    <w:p w14:paraId="5D5DA00C">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lang w:eastAsia="zh-CN"/>
        </w:rPr>
        <w:t>①绩效目标合理性</w:t>
      </w:r>
    </w:p>
    <w:p w14:paraId="225BF1E4">
      <w:pPr>
        <w:pStyle w:val="11"/>
        <w:pageBreakBefore w:val="0"/>
        <w:kinsoku/>
        <w:wordWrap/>
        <w:overflowPunct/>
        <w:topLinePunct w:val="0"/>
        <w:autoSpaceDE/>
        <w:autoSpaceDN/>
        <w:bidi w:val="0"/>
        <w:adjustRightInd/>
        <w:snapToGrid/>
        <w:spacing w:line="600" w:lineRule="exact"/>
        <w:ind w:left="0" w:leftChars="0" w:firstLine="560" w:firstLineChars="200"/>
        <w:textAlignment w:val="auto"/>
        <w:rPr>
          <w:rFonts w:hint="eastAsia" w:ascii="仿宋" w:hAnsi="仿宋" w:eastAsia="仿宋" w:cs="仿宋"/>
          <w:sz w:val="28"/>
          <w:szCs w:val="28"/>
          <w:highlight w:val="none"/>
        </w:rPr>
      </w:pPr>
      <w:r>
        <w:rPr>
          <w:rFonts w:hint="eastAsia" w:ascii="仿宋" w:hAnsi="仿宋" w:eastAsia="仿宋" w:cs="仿宋"/>
          <w:bCs/>
          <w:sz w:val="28"/>
          <w:szCs w:val="28"/>
          <w:highlight w:val="none"/>
        </w:rPr>
        <w:t>该指标用于反映和考核</w:t>
      </w:r>
      <w:r>
        <w:rPr>
          <w:rFonts w:hint="eastAsia" w:ascii="仿宋" w:hAnsi="仿宋" w:eastAsia="仿宋" w:cs="仿宋"/>
          <w:bCs/>
          <w:sz w:val="28"/>
          <w:szCs w:val="28"/>
          <w:highlight w:val="none"/>
          <w:lang w:eastAsia="zh-CN"/>
        </w:rPr>
        <w:t>部门整体</w:t>
      </w:r>
      <w:r>
        <w:rPr>
          <w:rFonts w:hint="eastAsia" w:ascii="仿宋" w:hAnsi="仿宋" w:eastAsia="仿宋" w:cs="仿宋"/>
          <w:bCs/>
          <w:sz w:val="28"/>
          <w:szCs w:val="28"/>
          <w:highlight w:val="none"/>
        </w:rPr>
        <w:t>绩效目标与</w:t>
      </w:r>
      <w:r>
        <w:rPr>
          <w:rFonts w:hint="eastAsia" w:ascii="仿宋" w:hAnsi="仿宋" w:eastAsia="仿宋" w:cs="仿宋"/>
          <w:bCs/>
          <w:sz w:val="28"/>
          <w:szCs w:val="28"/>
          <w:highlight w:val="none"/>
          <w:lang w:eastAsia="zh-CN"/>
        </w:rPr>
        <w:t>各项管理工作</w:t>
      </w:r>
      <w:r>
        <w:rPr>
          <w:rFonts w:hint="eastAsia" w:ascii="仿宋" w:hAnsi="仿宋" w:eastAsia="仿宋" w:cs="仿宋"/>
          <w:bCs/>
          <w:sz w:val="28"/>
          <w:szCs w:val="28"/>
          <w:highlight w:val="none"/>
        </w:rPr>
        <w:t>实施的相符情况</w:t>
      </w:r>
      <w:r>
        <w:rPr>
          <w:rFonts w:hint="eastAsia" w:ascii="仿宋" w:hAnsi="仿宋" w:eastAsia="仿宋" w:cs="仿宋"/>
          <w:sz w:val="28"/>
          <w:szCs w:val="28"/>
          <w:highlight w:val="none"/>
          <w:lang w:eastAsia="zh-CN"/>
        </w:rPr>
        <w:t>。</w:t>
      </w:r>
      <w:r>
        <w:rPr>
          <w:rFonts w:hint="eastAsia" w:ascii="仿宋" w:hAnsi="仿宋" w:eastAsia="仿宋" w:cs="仿宋"/>
          <w:color w:val="000000"/>
          <w:kern w:val="0"/>
          <w:sz w:val="28"/>
          <w:szCs w:val="28"/>
          <w:highlight w:val="none"/>
          <w:lang w:val="en-US" w:eastAsia="zh-CN" w:bidi="ar"/>
        </w:rPr>
        <w:t>根据区财政局关于预算绩效管理工作有关通知要求，在编制2022年部门预算时，按要求开展部门预算项目和部门整体绩效目标编审工作。区团委所有预算项目均纳入绩效目标管理范围，且均按照“部门职责—工作任务—年度目标”的原则和方式梳理编制2022年度部门整体绩效目标，实现了绩效目标全覆盖，</w:t>
      </w:r>
      <w:r>
        <w:rPr>
          <w:rFonts w:hint="eastAsia" w:ascii="仿宋" w:hAnsi="仿宋" w:eastAsia="仿宋" w:cs="仿宋"/>
          <w:sz w:val="28"/>
          <w:szCs w:val="28"/>
          <w:highlight w:val="none"/>
          <w:lang w:eastAsia="zh-CN"/>
        </w:rPr>
        <w:t>绩效目标的制定具体、详细、合理，不存在以偏概全的情况。</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5分，根据评分标准扣0分，得分</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5分</w:t>
      </w:r>
      <w:r>
        <w:rPr>
          <w:rFonts w:hint="eastAsia" w:ascii="仿宋" w:hAnsi="仿宋" w:eastAsia="仿宋" w:cs="仿宋"/>
          <w:color w:val="1E1E1E"/>
          <w:sz w:val="28"/>
          <w:szCs w:val="28"/>
          <w:highlight w:val="none"/>
          <w:shd w:val="clear" w:color="auto" w:fill="FFFFFF"/>
        </w:rPr>
        <w:t>。</w:t>
      </w:r>
    </w:p>
    <w:p w14:paraId="00AF765F">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lang w:eastAsia="zh-CN"/>
        </w:rPr>
        <w:t>②绩效指标明确性</w:t>
      </w:r>
    </w:p>
    <w:p w14:paraId="05B5D5F0">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color w:val="1E1E1E"/>
          <w:sz w:val="28"/>
          <w:szCs w:val="28"/>
          <w:highlight w:val="none"/>
          <w:shd w:val="clear" w:color="auto" w:fill="FFFFFF"/>
        </w:rPr>
      </w:pPr>
      <w:r>
        <w:rPr>
          <w:rFonts w:hint="eastAsia" w:ascii="仿宋" w:hAnsi="仿宋" w:eastAsia="仿宋" w:cs="仿宋"/>
          <w:bCs/>
          <w:sz w:val="28"/>
          <w:szCs w:val="28"/>
          <w:highlight w:val="none"/>
        </w:rPr>
        <w:t>该指标用于反映和考核</w:t>
      </w:r>
      <w:r>
        <w:rPr>
          <w:rFonts w:hint="eastAsia" w:ascii="仿宋" w:hAnsi="仿宋" w:eastAsia="仿宋" w:cs="仿宋"/>
          <w:bCs/>
          <w:sz w:val="28"/>
          <w:szCs w:val="28"/>
          <w:highlight w:val="none"/>
          <w:lang w:eastAsia="zh-CN"/>
        </w:rPr>
        <w:t>部门</w:t>
      </w:r>
      <w:r>
        <w:rPr>
          <w:rFonts w:hint="eastAsia" w:ascii="仿宋" w:hAnsi="仿宋" w:eastAsia="仿宋" w:cs="仿宋"/>
          <w:bCs/>
          <w:sz w:val="28"/>
          <w:szCs w:val="28"/>
          <w:highlight w:val="none"/>
        </w:rPr>
        <w:t>绩效目标的明细化情况</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2022年所开展的项目绩效自评中所确定的绩效指标主要分为定量指标和定性指标，根据项目性质不同，绩效指标较为清晰，但绩效指标有待细化，个别指标较难以量化。</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5分，根据评分标准扣</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分，得分</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5分</w:t>
      </w:r>
      <w:r>
        <w:rPr>
          <w:rFonts w:hint="eastAsia" w:ascii="仿宋" w:hAnsi="仿宋" w:eastAsia="仿宋" w:cs="仿宋"/>
          <w:color w:val="1E1E1E"/>
          <w:sz w:val="28"/>
          <w:szCs w:val="28"/>
          <w:highlight w:val="none"/>
          <w:shd w:val="clear" w:color="auto" w:fill="FFFFFF"/>
        </w:rPr>
        <w:t>。</w:t>
      </w:r>
    </w:p>
    <w:p w14:paraId="03717855">
      <w:pPr>
        <w:pStyle w:val="11"/>
        <w:pageBreakBefore w:val="0"/>
        <w:kinsoku/>
        <w:wordWrap/>
        <w:overflowPunct/>
        <w:topLinePunct w:val="0"/>
        <w:autoSpaceDE/>
        <w:autoSpaceDN/>
        <w:bidi w:val="0"/>
        <w:adjustRightInd/>
        <w:snapToGrid/>
        <w:spacing w:line="600" w:lineRule="exact"/>
        <w:ind w:firstLine="562"/>
        <w:textAlignment w:val="auto"/>
        <w:rPr>
          <w:rFonts w:hint="eastAsia" w:ascii="仿宋" w:hAnsi="仿宋" w:eastAsia="仿宋" w:cs="仿宋"/>
          <w:color w:val="1E1E1E"/>
          <w:sz w:val="28"/>
          <w:szCs w:val="28"/>
          <w:highlight w:val="none"/>
          <w:shd w:val="clear" w:color="auto" w:fill="FFFFFF"/>
        </w:rPr>
      </w:pPr>
      <w:r>
        <w:rPr>
          <w:rFonts w:hint="eastAsia" w:ascii="仿宋" w:hAnsi="仿宋" w:eastAsia="仿宋" w:cs="仿宋"/>
          <w:b/>
          <w:bCs/>
          <w:sz w:val="28"/>
          <w:szCs w:val="28"/>
          <w:highlight w:val="none"/>
          <w:lang w:val="en-US" w:eastAsia="zh-CN"/>
        </w:rPr>
        <w:t>（2）</w:t>
      </w:r>
      <w:r>
        <w:rPr>
          <w:rFonts w:hint="eastAsia" w:ascii="仿宋" w:hAnsi="仿宋" w:eastAsia="仿宋" w:cs="仿宋"/>
          <w:b/>
          <w:bCs/>
          <w:sz w:val="28"/>
          <w:szCs w:val="28"/>
          <w:highlight w:val="none"/>
          <w:lang w:eastAsia="zh-CN"/>
        </w:rPr>
        <w:t>预算配置</w:t>
      </w:r>
    </w:p>
    <w:p w14:paraId="6CDCE068">
      <w:pPr>
        <w:pStyle w:val="11"/>
        <w:pageBreakBefore w:val="0"/>
        <w:kinsoku/>
        <w:wordWrap/>
        <w:overflowPunct/>
        <w:topLinePunct w:val="0"/>
        <w:autoSpaceDE/>
        <w:autoSpaceDN/>
        <w:bidi w:val="0"/>
        <w:adjustRightInd/>
        <w:snapToGrid/>
        <w:spacing w:line="600" w:lineRule="exact"/>
        <w:ind w:firstLine="560"/>
        <w:textAlignment w:val="auto"/>
        <w:rPr>
          <w:rFonts w:hint="eastAsia" w:ascii="仿宋" w:hAnsi="仿宋" w:eastAsia="仿宋" w:cs="仿宋"/>
          <w:color w:val="1E1E1E"/>
          <w:sz w:val="28"/>
          <w:szCs w:val="28"/>
          <w:highlight w:val="none"/>
          <w:shd w:val="clear" w:color="auto" w:fill="FFFFFF"/>
        </w:rPr>
      </w:pPr>
      <w:r>
        <w:rPr>
          <w:rFonts w:hint="eastAsia" w:ascii="仿宋" w:hAnsi="仿宋" w:eastAsia="仿宋" w:cs="仿宋"/>
          <w:bCs/>
          <w:sz w:val="28"/>
          <w:szCs w:val="28"/>
          <w:highlight w:val="none"/>
          <w:lang w:eastAsia="zh-CN"/>
        </w:rPr>
        <w:t>①</w:t>
      </w:r>
      <w:r>
        <w:rPr>
          <w:rFonts w:hint="eastAsia" w:ascii="仿宋" w:hAnsi="仿宋" w:eastAsia="仿宋" w:cs="仿宋"/>
          <w:color w:val="1E1E1E"/>
          <w:sz w:val="28"/>
          <w:szCs w:val="28"/>
          <w:highlight w:val="none"/>
          <w:shd w:val="clear" w:color="auto" w:fill="FFFFFF"/>
          <w:lang w:eastAsia="zh-CN"/>
        </w:rPr>
        <w:t>预算编制科学性</w:t>
      </w:r>
    </w:p>
    <w:p w14:paraId="484CBB89">
      <w:pPr>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lang w:eastAsia="zh-CN"/>
        </w:rPr>
        <w:t>该指标用于反映和考核预算编制的科学性、合理性情况。</w:t>
      </w:r>
      <w:r>
        <w:rPr>
          <w:rFonts w:hint="eastAsia" w:ascii="仿宋" w:hAnsi="仿宋" w:eastAsia="仿宋" w:cs="仿宋"/>
          <w:sz w:val="28"/>
          <w:szCs w:val="28"/>
          <w:highlight w:val="none"/>
          <w:lang w:val="en-US" w:eastAsia="zh-CN"/>
        </w:rPr>
        <w:t>2022年度部门预算依据年度项目支出情况以及本部门职能职责编制，做到了有依有据</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5分，根据评分标准扣0分，得分</w:t>
      </w:r>
      <w:r>
        <w:rPr>
          <w:rFonts w:hint="eastAsia" w:ascii="仿宋" w:hAnsi="仿宋" w:eastAsia="仿宋" w:cs="仿宋"/>
          <w:sz w:val="28"/>
          <w:szCs w:val="28"/>
          <w:highlight w:val="none"/>
          <w:lang w:val="en-US" w:eastAsia="zh-CN"/>
        </w:rPr>
        <w:t>2.5</w:t>
      </w:r>
      <w:r>
        <w:rPr>
          <w:rFonts w:hint="eastAsia" w:ascii="仿宋" w:hAnsi="仿宋" w:eastAsia="仿宋" w:cs="仿宋"/>
          <w:sz w:val="28"/>
          <w:szCs w:val="28"/>
          <w:highlight w:val="none"/>
        </w:rPr>
        <w:t>分</w:t>
      </w:r>
      <w:r>
        <w:rPr>
          <w:rFonts w:hint="eastAsia" w:ascii="仿宋" w:hAnsi="仿宋" w:eastAsia="仿宋" w:cs="仿宋"/>
          <w:sz w:val="28"/>
          <w:szCs w:val="28"/>
          <w:highlight w:val="none"/>
          <w:shd w:val="clear" w:color="auto" w:fill="FFFFFF"/>
        </w:rPr>
        <w:t>。</w:t>
      </w:r>
    </w:p>
    <w:p w14:paraId="68170CBD">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lang w:eastAsia="zh-CN"/>
        </w:rPr>
        <w:t>②资金分配合理性</w:t>
      </w:r>
    </w:p>
    <w:p w14:paraId="34C8D472">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Cs/>
          <w:sz w:val="28"/>
          <w:szCs w:val="28"/>
          <w:highlight w:val="none"/>
        </w:rPr>
        <w:t>该指标用于反映和考核预算资金分配的科学性、合理性情况</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根据</w:t>
      </w:r>
      <w:r>
        <w:rPr>
          <w:rFonts w:hint="eastAsia" w:ascii="仿宋" w:hAnsi="仿宋" w:eastAsia="仿宋" w:cs="仿宋"/>
          <w:sz w:val="28"/>
          <w:szCs w:val="28"/>
          <w:highlight w:val="none"/>
          <w:lang w:val="en-US" w:eastAsia="zh-CN"/>
        </w:rPr>
        <w:t>2022年度部门整体支出情况，</w:t>
      </w:r>
      <w:r>
        <w:rPr>
          <w:rFonts w:hint="eastAsia" w:ascii="仿宋" w:hAnsi="仿宋" w:eastAsia="仿宋" w:cs="仿宋"/>
          <w:bCs/>
          <w:sz w:val="28"/>
          <w:szCs w:val="28"/>
          <w:highlight w:val="none"/>
          <w:lang w:eastAsia="zh-CN"/>
        </w:rPr>
        <w:t>区团委</w:t>
      </w:r>
      <w:r>
        <w:rPr>
          <w:rFonts w:hint="eastAsia" w:ascii="仿宋" w:hAnsi="仿宋" w:eastAsia="仿宋" w:cs="仿宋"/>
          <w:sz w:val="28"/>
          <w:szCs w:val="28"/>
          <w:highlight w:val="none"/>
          <w:lang w:val="en-US" w:eastAsia="zh-CN"/>
        </w:rPr>
        <w:t>紧紧围绕本部门整体绩效目标开展，做到分配合理；根据单位职能职责，对重点项目进行重点保障，做到资金预算主次分明。</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5分，根据评分标准扣0分，得分</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5分</w:t>
      </w:r>
      <w:r>
        <w:rPr>
          <w:rFonts w:hint="eastAsia" w:ascii="仿宋" w:hAnsi="仿宋" w:eastAsia="仿宋" w:cs="仿宋"/>
          <w:color w:val="1E1E1E"/>
          <w:sz w:val="28"/>
          <w:szCs w:val="28"/>
          <w:highlight w:val="none"/>
          <w:shd w:val="clear" w:color="auto" w:fill="FFFFFF"/>
        </w:rPr>
        <w:t>。</w:t>
      </w:r>
    </w:p>
    <w:p w14:paraId="3C44AAF6">
      <w:pPr>
        <w:pageBreakBefore w:val="0"/>
        <w:kinsoku/>
        <w:wordWrap/>
        <w:overflowPunct/>
        <w:topLinePunct w:val="0"/>
        <w:autoSpaceDE/>
        <w:autoSpaceDN/>
        <w:bidi w:val="0"/>
        <w:adjustRightInd/>
        <w:snapToGrid/>
        <w:spacing w:line="600" w:lineRule="exact"/>
        <w:ind w:firstLine="562" w:firstLineChars="200"/>
        <w:jc w:val="lef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2、</w:t>
      </w:r>
      <w:r>
        <w:rPr>
          <w:rFonts w:hint="eastAsia" w:ascii="仿宋" w:hAnsi="仿宋" w:eastAsia="仿宋" w:cs="仿宋"/>
          <w:b/>
          <w:bCs/>
          <w:sz w:val="28"/>
          <w:szCs w:val="28"/>
          <w:highlight w:val="none"/>
          <w:lang w:eastAsia="zh-CN"/>
        </w:rPr>
        <w:t>管理指标</w:t>
      </w:r>
    </w:p>
    <w:p w14:paraId="07EF7EB8">
      <w:pPr>
        <w:pStyle w:val="11"/>
        <w:pageBreakBefore w:val="0"/>
        <w:kinsoku/>
        <w:wordWrap/>
        <w:overflowPunct/>
        <w:topLinePunct w:val="0"/>
        <w:autoSpaceDE/>
        <w:autoSpaceDN/>
        <w:bidi w:val="0"/>
        <w:adjustRightInd/>
        <w:snapToGrid/>
        <w:spacing w:line="600" w:lineRule="exact"/>
        <w:ind w:firstLine="562"/>
        <w:textAlignment w:val="auto"/>
        <w:rPr>
          <w:rFonts w:hint="eastAsia" w:ascii="仿宋" w:hAnsi="仿宋" w:eastAsia="仿宋" w:cs="仿宋"/>
          <w:b/>
          <w:color w:val="1E1E1E"/>
          <w:sz w:val="28"/>
          <w:szCs w:val="28"/>
          <w:highlight w:val="none"/>
          <w:shd w:val="clear" w:color="auto" w:fill="FFFFFF"/>
        </w:rPr>
      </w:pPr>
      <w:r>
        <w:rPr>
          <w:rFonts w:hint="eastAsia" w:ascii="仿宋" w:hAnsi="仿宋" w:eastAsia="仿宋" w:cs="仿宋"/>
          <w:b/>
          <w:sz w:val="28"/>
          <w:szCs w:val="28"/>
          <w:highlight w:val="none"/>
          <w:lang w:eastAsia="zh-CN"/>
        </w:rPr>
        <w:t>（</w:t>
      </w:r>
      <w:r>
        <w:rPr>
          <w:rFonts w:hint="eastAsia" w:ascii="仿宋" w:hAnsi="仿宋" w:eastAsia="仿宋" w:cs="仿宋"/>
          <w:b/>
          <w:sz w:val="28"/>
          <w:szCs w:val="28"/>
          <w:highlight w:val="none"/>
          <w:lang w:val="en-US" w:eastAsia="zh-CN"/>
        </w:rPr>
        <w:t>1</w:t>
      </w:r>
      <w:r>
        <w:rPr>
          <w:rFonts w:hint="eastAsia" w:ascii="仿宋" w:hAnsi="仿宋" w:eastAsia="仿宋" w:cs="仿宋"/>
          <w:b/>
          <w:sz w:val="28"/>
          <w:szCs w:val="28"/>
          <w:highlight w:val="none"/>
          <w:lang w:eastAsia="zh-CN"/>
        </w:rPr>
        <w:t>）预算管理</w:t>
      </w:r>
    </w:p>
    <w:p w14:paraId="03EBB3B3">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lang w:eastAsia="zh-CN"/>
        </w:rPr>
        <w:t>①公用经费控制率</w:t>
      </w:r>
    </w:p>
    <w:p w14:paraId="74C6CB7D">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bCs/>
          <w:sz w:val="28"/>
          <w:szCs w:val="28"/>
          <w:highlight w:val="none"/>
        </w:rPr>
        <w:t>该指标用于反映和考核</w:t>
      </w:r>
      <w:r>
        <w:rPr>
          <w:rFonts w:hint="eastAsia" w:ascii="仿宋" w:hAnsi="仿宋" w:eastAsia="仿宋" w:cs="仿宋"/>
          <w:bCs/>
          <w:sz w:val="28"/>
          <w:szCs w:val="28"/>
          <w:highlight w:val="none"/>
          <w:lang w:eastAsia="zh-CN"/>
        </w:rPr>
        <w:t>部门对机构运转成本的实际控制程度。</w:t>
      </w:r>
      <w:r>
        <w:rPr>
          <w:rFonts w:hint="eastAsia" w:ascii="仿宋" w:hAnsi="仿宋" w:eastAsia="仿宋" w:cs="仿宋"/>
          <w:bCs/>
          <w:sz w:val="28"/>
          <w:szCs w:val="28"/>
          <w:highlight w:val="none"/>
          <w:lang w:val="en-US" w:eastAsia="zh-CN"/>
        </w:rPr>
        <w:t>2022年度部门</w:t>
      </w:r>
      <w:r>
        <w:rPr>
          <w:rFonts w:hint="eastAsia" w:ascii="仿宋" w:hAnsi="仿宋" w:eastAsia="仿宋" w:cs="仿宋"/>
          <w:bCs/>
          <w:sz w:val="28"/>
          <w:szCs w:val="28"/>
          <w:highlight w:val="none"/>
          <w:lang w:eastAsia="zh-CN"/>
        </w:rPr>
        <w:t>三公经费实际支出</w:t>
      </w:r>
      <w:r>
        <w:rPr>
          <w:rFonts w:hint="eastAsia" w:ascii="仿宋" w:hAnsi="仿宋" w:eastAsia="仿宋" w:cs="仿宋"/>
          <w:kern w:val="2"/>
          <w:sz w:val="28"/>
          <w:szCs w:val="28"/>
          <w:highlight w:val="none"/>
          <w:lang w:val="en-US" w:eastAsia="zh-CN" w:bidi="ar-SA"/>
        </w:rPr>
        <w:t>0.00</w:t>
      </w:r>
      <w:r>
        <w:rPr>
          <w:rFonts w:hint="eastAsia" w:ascii="仿宋" w:hAnsi="仿宋" w:eastAsia="仿宋" w:cs="仿宋"/>
          <w:bCs/>
          <w:sz w:val="28"/>
          <w:szCs w:val="28"/>
          <w:highlight w:val="none"/>
          <w:lang w:val="en-US" w:eastAsia="zh-CN"/>
        </w:rPr>
        <w:t>元，调整预算数为</w:t>
      </w:r>
      <w:r>
        <w:rPr>
          <w:rFonts w:hint="eastAsia" w:ascii="仿宋" w:hAnsi="仿宋" w:eastAsia="仿宋" w:cs="仿宋"/>
          <w:kern w:val="2"/>
          <w:sz w:val="28"/>
          <w:szCs w:val="28"/>
          <w:highlight w:val="none"/>
          <w:lang w:val="en-US" w:eastAsia="zh-CN" w:bidi="ar-SA"/>
        </w:rPr>
        <w:t>0.00</w:t>
      </w:r>
      <w:r>
        <w:rPr>
          <w:rFonts w:hint="eastAsia" w:ascii="仿宋" w:hAnsi="仿宋" w:eastAsia="仿宋" w:cs="仿宋"/>
          <w:bCs/>
          <w:sz w:val="28"/>
          <w:szCs w:val="28"/>
          <w:highlight w:val="none"/>
          <w:lang w:val="en-US" w:eastAsia="zh-CN"/>
        </w:rPr>
        <w:t>元，三公经费控制率为100%。2022年区团委认真贯彻落实重要八项规定要求，规范日常公用经费的使用，厉行节约、做到了严格控制支出。</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分，根据评分标准扣0分，得分</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w:t>
      </w:r>
    </w:p>
    <w:p w14:paraId="771D26BC">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lang w:eastAsia="zh-CN"/>
        </w:rPr>
        <w:t>②管理制度健全性</w:t>
      </w:r>
    </w:p>
    <w:p w14:paraId="4F6C5684">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b w:val="0"/>
          <w:bCs/>
          <w:kern w:val="2"/>
          <w:sz w:val="28"/>
          <w:szCs w:val="28"/>
          <w:highlight w:val="none"/>
          <w:lang w:val="en-US" w:eastAsia="zh-CN" w:bidi="ar-SA"/>
        </w:rPr>
      </w:pPr>
      <w:r>
        <w:rPr>
          <w:rFonts w:hint="eastAsia" w:ascii="仿宋" w:hAnsi="仿宋" w:eastAsia="仿宋" w:cs="仿宋"/>
          <w:bCs/>
          <w:sz w:val="28"/>
          <w:szCs w:val="28"/>
          <w:highlight w:val="none"/>
        </w:rPr>
        <w:t>该指标用于反映和考核业务管理制度对</w:t>
      </w:r>
      <w:r>
        <w:rPr>
          <w:rFonts w:hint="eastAsia" w:ascii="仿宋" w:hAnsi="仿宋" w:eastAsia="仿宋" w:cs="仿宋"/>
          <w:bCs/>
          <w:sz w:val="28"/>
          <w:szCs w:val="28"/>
          <w:highlight w:val="none"/>
          <w:lang w:eastAsia="zh-CN"/>
        </w:rPr>
        <w:t>各项工作</w:t>
      </w:r>
      <w:r>
        <w:rPr>
          <w:rFonts w:hint="eastAsia" w:ascii="仿宋" w:hAnsi="仿宋" w:eastAsia="仿宋" w:cs="仿宋"/>
          <w:bCs/>
          <w:sz w:val="28"/>
          <w:szCs w:val="28"/>
          <w:highlight w:val="none"/>
        </w:rPr>
        <w:t>实施的保障情况</w:t>
      </w:r>
      <w:r>
        <w:rPr>
          <w:rFonts w:hint="eastAsia" w:ascii="仿宋" w:hAnsi="仿宋" w:eastAsia="仿宋" w:cs="仿宋"/>
          <w:bCs/>
          <w:sz w:val="28"/>
          <w:szCs w:val="28"/>
          <w:highlight w:val="none"/>
          <w:lang w:eastAsia="zh-CN"/>
        </w:rPr>
        <w:t>。为加强区团委财务管理，健全财务制度，使区团委的预算编制走向科学化、规范化和法制化，强化资金绩效管理，保证支出预算执行的安全性、完整性和有效性，做到专款专用，充分发挥资金使用效益，并结合实际制定相应的财务管理制度、资产管理制度、内部控制制度等相关制度。相关管理制度合法、合规、较为完整，并得到了有效执行。</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分，根据评分标准扣</w:t>
      </w:r>
      <w:r>
        <w:rPr>
          <w:rFonts w:hint="eastAsia" w:ascii="仿宋" w:hAnsi="仿宋" w:eastAsia="仿宋" w:cs="仿宋"/>
          <w:sz w:val="28"/>
          <w:szCs w:val="28"/>
          <w:highlight w:val="none"/>
          <w:lang w:val="en-US" w:eastAsia="zh-CN"/>
        </w:rPr>
        <w:t>0</w:t>
      </w:r>
      <w:r>
        <w:rPr>
          <w:rFonts w:hint="eastAsia" w:ascii="仿宋" w:hAnsi="仿宋" w:eastAsia="仿宋" w:cs="仿宋"/>
          <w:sz w:val="28"/>
          <w:szCs w:val="28"/>
          <w:highlight w:val="none"/>
        </w:rPr>
        <w:t>分，得分</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w:t>
      </w:r>
    </w:p>
    <w:p w14:paraId="78BC9434">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lang w:eastAsia="zh-CN"/>
        </w:rPr>
        <w:t>③财务合规性</w:t>
      </w:r>
    </w:p>
    <w:p w14:paraId="55D6425A">
      <w:pPr>
        <w:pageBreakBefore w:val="0"/>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b w:val="0"/>
          <w:kern w:val="2"/>
          <w:sz w:val="28"/>
          <w:szCs w:val="28"/>
          <w:highlight w:val="none"/>
          <w:lang w:val="en-US" w:eastAsia="zh-CN" w:bidi="ar-SA"/>
        </w:rPr>
      </w:pPr>
      <w:r>
        <w:rPr>
          <w:rFonts w:hint="eastAsia" w:ascii="仿宋" w:hAnsi="仿宋" w:eastAsia="仿宋" w:cs="仿宋"/>
          <w:sz w:val="28"/>
          <w:szCs w:val="28"/>
          <w:highlight w:val="none"/>
        </w:rPr>
        <w:t>该指标用于反映和考核</w:t>
      </w:r>
      <w:r>
        <w:rPr>
          <w:rFonts w:hint="eastAsia" w:ascii="仿宋" w:hAnsi="仿宋" w:eastAsia="仿宋" w:cs="仿宋"/>
          <w:sz w:val="28"/>
          <w:szCs w:val="28"/>
          <w:highlight w:val="none"/>
          <w:lang w:eastAsia="zh-CN"/>
        </w:rPr>
        <w:t>财务</w:t>
      </w:r>
      <w:r>
        <w:rPr>
          <w:rFonts w:hint="eastAsia" w:ascii="仿宋" w:hAnsi="仿宋" w:eastAsia="仿宋" w:cs="仿宋"/>
          <w:sz w:val="28"/>
          <w:szCs w:val="28"/>
          <w:highlight w:val="none"/>
        </w:rPr>
        <w:t>规范运行的情况。</w:t>
      </w:r>
      <w:r>
        <w:rPr>
          <w:rFonts w:hint="eastAsia" w:ascii="仿宋" w:hAnsi="仿宋" w:eastAsia="仿宋" w:cs="仿宋"/>
          <w:sz w:val="28"/>
          <w:szCs w:val="28"/>
          <w:highlight w:val="none"/>
          <w:lang w:val="en-US" w:eastAsia="zh-CN"/>
        </w:rPr>
        <w:t>2022年资金管理严格按照国家财经法规和单位内部财务管理规定开展工作，资金的支付有完整的审批程序和手续，资金的使用符合部门预算批复的用途，不存在截留、挤占、挪用、虚列支出等情况；资金调整、调剂符合规定。</w:t>
      </w:r>
      <w:r>
        <w:rPr>
          <w:rFonts w:hint="eastAsia" w:ascii="仿宋" w:hAnsi="仿宋" w:eastAsia="仿宋" w:cs="仿宋"/>
          <w:b w:val="0"/>
          <w:kern w:val="2"/>
          <w:sz w:val="28"/>
          <w:szCs w:val="28"/>
          <w:highlight w:val="none"/>
          <w:lang w:val="en-US" w:eastAsia="zh-CN" w:bidi="ar-SA"/>
        </w:rPr>
        <w:t>该指标满分5分，根据评分标准扣0分，得分5分。</w:t>
      </w:r>
    </w:p>
    <w:p w14:paraId="7897A210">
      <w:pPr>
        <w:pStyle w:val="4"/>
        <w:pageBreakBefore w:val="0"/>
        <w:kinsoku/>
        <w:wordWrap/>
        <w:overflowPunct/>
        <w:topLinePunct w:val="0"/>
        <w:autoSpaceDE/>
        <w:autoSpaceDN/>
        <w:bidi w:val="0"/>
        <w:spacing w:line="600" w:lineRule="exact"/>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eastAsia="zh-CN"/>
        </w:rPr>
        <w:t>④预决算信息公开</w:t>
      </w:r>
    </w:p>
    <w:p w14:paraId="4EF07B33">
      <w:pPr>
        <w:pStyle w:val="11"/>
        <w:rPr>
          <w:rFonts w:hint="eastAsia" w:ascii="仿宋" w:hAnsi="仿宋" w:eastAsia="仿宋" w:cs="仿宋"/>
          <w:b w:val="0"/>
          <w:kern w:val="2"/>
          <w:sz w:val="28"/>
          <w:szCs w:val="28"/>
          <w:highlight w:val="none"/>
          <w:lang w:val="en-US" w:eastAsia="zh-CN" w:bidi="ar-SA"/>
        </w:rPr>
      </w:pPr>
      <w:r>
        <w:rPr>
          <w:rFonts w:hint="eastAsia" w:ascii="仿宋" w:hAnsi="仿宋" w:eastAsia="仿宋" w:cs="仿宋"/>
          <w:b w:val="0"/>
          <w:kern w:val="2"/>
          <w:sz w:val="28"/>
          <w:szCs w:val="28"/>
          <w:highlight w:val="none"/>
          <w:lang w:val="en-US" w:eastAsia="zh-CN" w:bidi="ar-SA"/>
        </w:rPr>
        <w:t>该指标用于反映和考核部门预决算管理的公开透明情况。按照预决算</w:t>
      </w:r>
    </w:p>
    <w:p w14:paraId="692CA1E3">
      <w:pPr>
        <w:pStyle w:val="11"/>
        <w:ind w:left="0" w:leftChars="0" w:firstLine="0" w:firstLineChars="0"/>
        <w:rPr>
          <w:rFonts w:hint="eastAsia" w:ascii="仿宋" w:hAnsi="仿宋" w:eastAsia="仿宋" w:cs="仿宋"/>
          <w:b w:val="0"/>
          <w:kern w:val="2"/>
          <w:sz w:val="28"/>
          <w:szCs w:val="28"/>
          <w:highlight w:val="none"/>
          <w:lang w:val="en-US" w:eastAsia="zh-CN" w:bidi="ar-SA"/>
        </w:rPr>
      </w:pPr>
      <w:r>
        <w:rPr>
          <w:rFonts w:hint="eastAsia" w:ascii="仿宋" w:hAnsi="仿宋" w:eastAsia="仿宋" w:cs="仿宋"/>
          <w:b w:val="0"/>
          <w:kern w:val="2"/>
          <w:sz w:val="28"/>
          <w:szCs w:val="28"/>
          <w:highlight w:val="none"/>
          <w:lang w:val="en-US" w:eastAsia="zh-CN" w:bidi="ar-SA"/>
        </w:rPr>
        <w:t>信息公开有关要求，区团委在桥西区官方政府网站公开了2022年度部门预算等信息，公开信息内容完整且清晰。该指标满分5分，根据评分标准扣0分，得分5分。</w:t>
      </w:r>
    </w:p>
    <w:p w14:paraId="2670528F">
      <w:pPr>
        <w:pStyle w:val="11"/>
        <w:pageBreakBefore w:val="0"/>
        <w:kinsoku/>
        <w:wordWrap/>
        <w:overflowPunct/>
        <w:topLinePunct w:val="0"/>
        <w:autoSpaceDE/>
        <w:autoSpaceDN/>
        <w:bidi w:val="0"/>
        <w:adjustRightInd/>
        <w:snapToGrid/>
        <w:spacing w:line="600" w:lineRule="exact"/>
        <w:ind w:firstLine="562"/>
        <w:textAlignment w:val="auto"/>
        <w:rPr>
          <w:rFonts w:hint="eastAsia" w:ascii="仿宋" w:hAnsi="仿宋" w:eastAsia="仿宋" w:cs="仿宋"/>
          <w:b/>
          <w:color w:val="1E1E1E"/>
          <w:sz w:val="28"/>
          <w:szCs w:val="28"/>
          <w:highlight w:val="none"/>
          <w:shd w:val="clear" w:color="auto" w:fill="FFFFFF"/>
        </w:rPr>
      </w:pPr>
      <w:r>
        <w:rPr>
          <w:rFonts w:hint="eastAsia" w:ascii="仿宋" w:hAnsi="仿宋" w:eastAsia="仿宋" w:cs="仿宋"/>
          <w:b/>
          <w:sz w:val="28"/>
          <w:szCs w:val="28"/>
          <w:highlight w:val="none"/>
          <w:lang w:val="en-US" w:eastAsia="zh-CN"/>
        </w:rPr>
        <w:t>（2）</w:t>
      </w:r>
      <w:r>
        <w:rPr>
          <w:rFonts w:hint="eastAsia" w:ascii="仿宋" w:hAnsi="仿宋" w:eastAsia="仿宋" w:cs="仿宋"/>
          <w:b/>
          <w:sz w:val="28"/>
          <w:szCs w:val="28"/>
          <w:highlight w:val="none"/>
          <w:lang w:eastAsia="zh-CN"/>
        </w:rPr>
        <w:t>资产管理</w:t>
      </w:r>
    </w:p>
    <w:p w14:paraId="54358FC7">
      <w:pPr>
        <w:pageBreakBefore w:val="0"/>
        <w:widowControl/>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bCs/>
          <w:sz w:val="28"/>
          <w:szCs w:val="28"/>
          <w:highlight w:val="none"/>
          <w:lang w:eastAsia="zh-CN"/>
        </w:rPr>
        <w:t>①</w:t>
      </w:r>
      <w:r>
        <w:rPr>
          <w:rFonts w:hint="eastAsia" w:ascii="仿宋" w:hAnsi="仿宋" w:eastAsia="仿宋" w:cs="仿宋"/>
          <w:sz w:val="28"/>
          <w:szCs w:val="28"/>
          <w:highlight w:val="none"/>
          <w:lang w:eastAsia="zh-CN"/>
        </w:rPr>
        <w:t>资产管理规范性</w:t>
      </w:r>
    </w:p>
    <w:p w14:paraId="741ACB1E">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该指标用于</w:t>
      </w:r>
      <w:r>
        <w:rPr>
          <w:rFonts w:hint="eastAsia" w:ascii="仿宋" w:hAnsi="仿宋" w:eastAsia="仿宋" w:cs="仿宋"/>
          <w:sz w:val="28"/>
          <w:szCs w:val="28"/>
          <w:highlight w:val="none"/>
          <w:lang w:eastAsia="zh-CN"/>
        </w:rPr>
        <w:t>反映和考核资产管理的安全性和规范性。在资产管理方面严格按照规定程序审批，做到了购置有预算，配置合理、保存完整，实物有专人管理，资产处置规范，处置收入及时足额上缴财政。</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分，根据评分标准扣0分，得分</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w:t>
      </w:r>
      <w:r>
        <w:rPr>
          <w:rFonts w:hint="eastAsia" w:ascii="仿宋" w:hAnsi="仿宋" w:eastAsia="仿宋" w:cs="仿宋"/>
          <w:color w:val="1E1E1E"/>
          <w:sz w:val="28"/>
          <w:szCs w:val="28"/>
          <w:highlight w:val="none"/>
          <w:shd w:val="clear" w:color="auto" w:fill="FFFFFF"/>
        </w:rPr>
        <w:t>。</w:t>
      </w:r>
    </w:p>
    <w:p w14:paraId="19A2C1B8">
      <w:pPr>
        <w:pageBreakBefore w:val="0"/>
        <w:kinsoku/>
        <w:wordWrap/>
        <w:overflowPunct/>
        <w:topLinePunct w:val="0"/>
        <w:autoSpaceDE/>
        <w:autoSpaceDN/>
        <w:bidi w:val="0"/>
        <w:spacing w:line="600" w:lineRule="exact"/>
        <w:ind w:firstLine="560" w:firstLineChars="200"/>
        <w:rPr>
          <w:rFonts w:hint="eastAsia" w:ascii="仿宋" w:hAnsi="仿宋" w:eastAsia="仿宋" w:cs="仿宋"/>
          <w:sz w:val="28"/>
          <w:szCs w:val="28"/>
          <w:highlight w:val="none"/>
        </w:rPr>
      </w:pPr>
      <w:r>
        <w:rPr>
          <w:rFonts w:hint="eastAsia" w:ascii="仿宋" w:hAnsi="仿宋" w:eastAsia="仿宋" w:cs="仿宋"/>
          <w:bCs/>
          <w:sz w:val="28"/>
          <w:szCs w:val="28"/>
          <w:highlight w:val="none"/>
          <w:lang w:eastAsia="zh-CN"/>
        </w:rPr>
        <w:t>②</w:t>
      </w:r>
      <w:r>
        <w:rPr>
          <w:rFonts w:hint="eastAsia" w:ascii="仿宋" w:hAnsi="仿宋" w:eastAsia="仿宋" w:cs="仿宋"/>
          <w:sz w:val="28"/>
          <w:szCs w:val="28"/>
          <w:highlight w:val="none"/>
          <w:lang w:eastAsia="zh-CN"/>
        </w:rPr>
        <w:t>固定资产利用率</w:t>
      </w:r>
    </w:p>
    <w:p w14:paraId="1BE9564E">
      <w:pPr>
        <w:pageBreakBefore w:val="0"/>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b/>
          <w:bCs/>
          <w:sz w:val="28"/>
          <w:szCs w:val="28"/>
          <w:highlight w:val="none"/>
        </w:rPr>
      </w:pPr>
      <w:r>
        <w:rPr>
          <w:rFonts w:hint="eastAsia" w:ascii="仿宋" w:hAnsi="仿宋" w:eastAsia="仿宋" w:cs="仿宋"/>
          <w:sz w:val="28"/>
          <w:szCs w:val="28"/>
          <w:highlight w:val="none"/>
        </w:rPr>
        <w:t>该指标用于</w:t>
      </w:r>
      <w:r>
        <w:rPr>
          <w:rFonts w:hint="eastAsia" w:ascii="仿宋" w:hAnsi="仿宋" w:eastAsia="仿宋" w:cs="仿宋"/>
          <w:sz w:val="28"/>
          <w:szCs w:val="28"/>
          <w:highlight w:val="none"/>
          <w:lang w:eastAsia="zh-CN"/>
        </w:rPr>
        <w:t>反映和考核部门固定资产使用效率程度</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区团委</w:t>
      </w:r>
      <w:r>
        <w:rPr>
          <w:rFonts w:hint="eastAsia" w:ascii="仿宋" w:hAnsi="仿宋" w:eastAsia="仿宋" w:cs="仿宋"/>
          <w:sz w:val="28"/>
          <w:szCs w:val="28"/>
          <w:highlight w:val="none"/>
        </w:rPr>
        <w:t>实际在用固定资产总额</w:t>
      </w:r>
      <w:r>
        <w:rPr>
          <w:rFonts w:hint="eastAsia" w:ascii="仿宋" w:hAnsi="仿宋" w:eastAsia="仿宋" w:cs="仿宋"/>
          <w:kern w:val="2"/>
          <w:sz w:val="28"/>
          <w:szCs w:val="28"/>
          <w:highlight w:val="none"/>
          <w:lang w:val="en-US" w:eastAsia="zh-CN" w:bidi="ar-SA"/>
        </w:rPr>
        <w:t>4.83</w:t>
      </w:r>
      <w:r>
        <w:rPr>
          <w:rFonts w:hint="eastAsia" w:ascii="仿宋" w:hAnsi="仿宋" w:eastAsia="仿宋" w:cs="仿宋"/>
          <w:sz w:val="28"/>
          <w:szCs w:val="28"/>
          <w:highlight w:val="none"/>
        </w:rPr>
        <w:t>万元，固定资产利用率为100%</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分，根据评分标准扣</w:t>
      </w:r>
      <w:r>
        <w:rPr>
          <w:rFonts w:hint="eastAsia" w:ascii="仿宋" w:hAnsi="仿宋" w:eastAsia="仿宋" w:cs="仿宋"/>
          <w:sz w:val="28"/>
          <w:szCs w:val="28"/>
          <w:highlight w:val="none"/>
          <w:lang w:val="en-US" w:eastAsia="zh-CN"/>
        </w:rPr>
        <w:t>0</w:t>
      </w:r>
      <w:r>
        <w:rPr>
          <w:rFonts w:hint="eastAsia" w:ascii="仿宋" w:hAnsi="仿宋" w:eastAsia="仿宋" w:cs="仿宋"/>
          <w:sz w:val="28"/>
          <w:szCs w:val="28"/>
          <w:highlight w:val="none"/>
        </w:rPr>
        <w:t>分，得分</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w:t>
      </w:r>
      <w:r>
        <w:rPr>
          <w:rFonts w:hint="eastAsia" w:ascii="仿宋" w:hAnsi="仿宋" w:eastAsia="仿宋" w:cs="仿宋"/>
          <w:color w:val="1E1E1E"/>
          <w:sz w:val="28"/>
          <w:szCs w:val="28"/>
          <w:highlight w:val="none"/>
          <w:shd w:val="clear" w:color="auto" w:fill="FFFFFF"/>
        </w:rPr>
        <w:t>。</w:t>
      </w:r>
    </w:p>
    <w:p w14:paraId="63371245">
      <w:pPr>
        <w:pageBreakBefore w:val="0"/>
        <w:kinsoku/>
        <w:wordWrap/>
        <w:overflowPunct/>
        <w:topLinePunct w:val="0"/>
        <w:autoSpaceDE/>
        <w:autoSpaceDN/>
        <w:bidi w:val="0"/>
        <w:adjustRightInd/>
        <w:snapToGrid/>
        <w:spacing w:line="600" w:lineRule="exact"/>
        <w:ind w:firstLine="562" w:firstLineChars="200"/>
        <w:jc w:val="lef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产出</w:t>
      </w:r>
      <w:r>
        <w:rPr>
          <w:rFonts w:hint="eastAsia" w:ascii="仿宋" w:hAnsi="仿宋" w:eastAsia="仿宋" w:cs="仿宋"/>
          <w:b/>
          <w:bCs/>
          <w:sz w:val="28"/>
          <w:szCs w:val="28"/>
          <w:highlight w:val="none"/>
          <w:lang w:eastAsia="zh-CN"/>
        </w:rPr>
        <w:t>指标</w:t>
      </w:r>
    </w:p>
    <w:p w14:paraId="2FFCBABA">
      <w:pPr>
        <w:pageBreakBefore w:val="0"/>
        <w:widowControl/>
        <w:kinsoku/>
        <w:wordWrap/>
        <w:overflowPunct/>
        <w:topLinePunct w:val="0"/>
        <w:autoSpaceDE/>
        <w:autoSpaceDN/>
        <w:bidi w:val="0"/>
        <w:adjustRightInd/>
        <w:snapToGrid/>
        <w:spacing w:line="600" w:lineRule="exact"/>
        <w:ind w:firstLine="640"/>
        <w:jc w:val="lef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eastAsia="zh-CN"/>
        </w:rPr>
        <w:t>（</w:t>
      </w:r>
      <w:r>
        <w:rPr>
          <w:rFonts w:hint="eastAsia" w:ascii="仿宋" w:hAnsi="仿宋" w:eastAsia="仿宋" w:cs="仿宋"/>
          <w:b/>
          <w:bCs/>
          <w:sz w:val="28"/>
          <w:szCs w:val="28"/>
          <w:highlight w:val="none"/>
          <w:lang w:val="en-US" w:eastAsia="zh-CN"/>
        </w:rPr>
        <w:t>1</w:t>
      </w:r>
      <w:r>
        <w:rPr>
          <w:rFonts w:hint="eastAsia" w:ascii="仿宋" w:hAnsi="仿宋" w:eastAsia="仿宋" w:cs="仿宋"/>
          <w:b/>
          <w:bCs/>
          <w:sz w:val="28"/>
          <w:szCs w:val="28"/>
          <w:highlight w:val="none"/>
          <w:lang w:eastAsia="zh-CN"/>
        </w:rPr>
        <w:t>）</w:t>
      </w:r>
      <w:r>
        <w:rPr>
          <w:rFonts w:hint="eastAsia" w:ascii="仿宋" w:hAnsi="仿宋" w:eastAsia="仿宋" w:cs="仿宋"/>
          <w:b/>
          <w:bCs/>
          <w:sz w:val="28"/>
          <w:szCs w:val="28"/>
          <w:highlight w:val="none"/>
        </w:rPr>
        <w:t>数量指标</w:t>
      </w:r>
    </w:p>
    <w:p w14:paraId="31F486D8">
      <w:pPr>
        <w:pageBreakBefore w:val="0"/>
        <w:widowControl/>
        <w:kinsoku/>
        <w:wordWrap/>
        <w:overflowPunct/>
        <w:topLinePunct w:val="0"/>
        <w:autoSpaceDE/>
        <w:autoSpaceDN/>
        <w:bidi w:val="0"/>
        <w:adjustRightInd/>
        <w:snapToGrid/>
        <w:spacing w:line="600" w:lineRule="exact"/>
        <w:ind w:firstLine="640"/>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重点工作完成率</w:t>
      </w:r>
    </w:p>
    <w:p w14:paraId="1EB5619F">
      <w:pPr>
        <w:pageBreakBefore w:val="0"/>
        <w:widowControl/>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该指标用于</w:t>
      </w:r>
      <w:r>
        <w:rPr>
          <w:rFonts w:hint="eastAsia" w:ascii="仿宋" w:hAnsi="仿宋" w:eastAsia="仿宋" w:cs="仿宋"/>
          <w:sz w:val="28"/>
          <w:szCs w:val="28"/>
          <w:highlight w:val="none"/>
          <w:lang w:eastAsia="zh-CN"/>
        </w:rPr>
        <w:t>反映和考核项目实际完成与预期目标实现的程度。区团委</w:t>
      </w:r>
      <w:r>
        <w:rPr>
          <w:rFonts w:hint="eastAsia" w:ascii="仿宋" w:hAnsi="仿宋" w:eastAsia="仿宋" w:cs="仿宋"/>
          <w:sz w:val="28"/>
          <w:szCs w:val="28"/>
          <w:highlight w:val="none"/>
          <w:lang w:val="en-US" w:eastAsia="zh-CN"/>
        </w:rPr>
        <w:t>2022年重点工作均按照年初计划完成，具体情况如下：</w:t>
      </w:r>
    </w:p>
    <w:p w14:paraId="0CBCD6B6">
      <w:pPr>
        <w:pageBreakBefore w:val="0"/>
        <w:widowControl/>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一是坚持“政治有站位”，切实履行引导广大青年听党话、跟党走的政治职责。</w:t>
      </w:r>
      <w:r>
        <w:rPr>
          <w:rFonts w:hint="eastAsia" w:ascii="仿宋" w:hAnsi="仿宋" w:eastAsia="仿宋" w:cs="仿宋"/>
          <w:b/>
          <w:bCs/>
          <w:sz w:val="28"/>
          <w:szCs w:val="28"/>
          <w:highlight w:val="none"/>
          <w:lang w:eastAsia="zh-CN"/>
        </w:rPr>
        <w:t>不断强化青少年思想引领工作</w:t>
      </w:r>
      <w:r>
        <w:rPr>
          <w:rFonts w:hint="eastAsia" w:ascii="仿宋" w:hAnsi="仿宋" w:eastAsia="仿宋" w:cs="仿宋"/>
          <w:sz w:val="28"/>
          <w:szCs w:val="28"/>
          <w:highlight w:val="none"/>
          <w:lang w:eastAsia="zh-CN"/>
        </w:rPr>
        <w:t>。采取新媒体及线上宣讲的形式，开展党的二十大精神宣讲，公众号发布视频23期，线上宣讲4次，参与7800人次。召开青年马克思主义培训班，涵盖5个领域17余团干部、少先队大队辅导员。“青年大学习”29期，学习涵盖1390个团支部、3万余名团员，学习达40万人次。</w:t>
      </w:r>
      <w:r>
        <w:rPr>
          <w:rFonts w:hint="eastAsia" w:ascii="仿宋" w:hAnsi="仿宋" w:eastAsia="仿宋" w:cs="仿宋"/>
          <w:b/>
          <w:bCs/>
          <w:sz w:val="28"/>
          <w:szCs w:val="28"/>
          <w:highlight w:val="none"/>
          <w:lang w:eastAsia="zh-CN"/>
        </w:rPr>
        <w:t>夯实基层基础，不断提升团的组织力</w:t>
      </w:r>
      <w:r>
        <w:rPr>
          <w:rFonts w:hint="eastAsia" w:ascii="仿宋" w:hAnsi="仿宋" w:eastAsia="仿宋" w:cs="仿宋"/>
          <w:b w:val="0"/>
          <w:bCs w:val="0"/>
          <w:sz w:val="28"/>
          <w:szCs w:val="28"/>
          <w:highlight w:val="none"/>
          <w:lang w:eastAsia="zh-CN"/>
        </w:rPr>
        <w:t>。</w:t>
      </w:r>
      <w:r>
        <w:rPr>
          <w:rFonts w:hint="eastAsia" w:ascii="仿宋" w:hAnsi="仿宋" w:eastAsia="仿宋" w:cs="仿宋"/>
          <w:sz w:val="28"/>
          <w:szCs w:val="28"/>
          <w:highlight w:val="none"/>
          <w:lang w:eastAsia="zh-CN"/>
        </w:rPr>
        <w:t>严格入团标准和程序，全年2339个发展名额第一时间分配完毕。严把培优关口，落实推优入党制度，联合区委组织部出台《桥西区“推优入党”工作实施办法》，经过组织部重点考察，目前已有10名发展成预备党员，极大激发了广大团员青年向党组织靠拢的积极性。7月召开了第六次团代会，在全市率先完成了换届工作。全面吹</w:t>
      </w:r>
      <w:bookmarkStart w:id="1" w:name="_GoBack"/>
      <w:bookmarkEnd w:id="1"/>
      <w:r>
        <w:rPr>
          <w:rFonts w:hint="eastAsia" w:ascii="仿宋" w:hAnsi="仿宋" w:eastAsia="仿宋" w:cs="仿宋"/>
          <w:sz w:val="28"/>
          <w:szCs w:val="28"/>
          <w:highlight w:val="none"/>
          <w:lang w:eastAsia="zh-CN"/>
        </w:rPr>
        <w:t>响新时代共青团改革“冲锋号”，于10月确立为团中央基层组织改革试点单位，已完成前期数据摸排及青年调查问卷工作。</w:t>
      </w:r>
      <w:r>
        <w:rPr>
          <w:rFonts w:hint="eastAsia" w:ascii="仿宋" w:hAnsi="仿宋" w:eastAsia="仿宋" w:cs="仿宋"/>
          <w:b/>
          <w:bCs/>
          <w:sz w:val="28"/>
          <w:szCs w:val="28"/>
          <w:highlight w:val="none"/>
          <w:lang w:eastAsia="zh-CN"/>
        </w:rPr>
        <w:t>完善组织架构，让少先队事业“红起来”</w:t>
      </w:r>
      <w:r>
        <w:rPr>
          <w:rFonts w:hint="eastAsia" w:ascii="仿宋" w:hAnsi="仿宋" w:eastAsia="仿宋" w:cs="仿宋"/>
          <w:sz w:val="28"/>
          <w:szCs w:val="28"/>
          <w:highlight w:val="none"/>
          <w:lang w:eastAsia="zh-CN"/>
        </w:rPr>
        <w:t>。利用清明、6·1、10·13等时间节点，组织丰富多彩的主题教育活动，深化少先队员思想政治引领作用。持续开展“红领巾研学国际化省会”、“学习二十大，争做好队员”主题教育活动、开展“红领巾讲解员”、红领巾校外实践等活动。实地走访调研，建立区级校外实践基地5个，服务桥西区5万余少先队员校外实践活动阵地，其中推荐石家庄市公安局桥西分局吕建江先进事迹展室、石家庄市桥西区中华南大街消防救援站为石家庄市少先队校外实践教育基地。</w:t>
      </w:r>
    </w:p>
    <w:p w14:paraId="69A67987">
      <w:pPr>
        <w:pageBreakBefore w:val="0"/>
        <w:widowControl/>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二是投身疫情防控，展青年新形象。组织精干力量前往疫情防控一线，6月以来坚持驻守火车站防疫点，每4天一个班，24小时三班倒，严格落实“落地即检、应检尽检”以及人员转运等工作，切实把好疫情防控源头关；在黄庄公寓连续奋战近20天，累计服务保障隔离人员700余人，协调解决隔离人员各类问题，在关键时刻为全区疫情防控做了突出贡献。组织桥西区青年文明号创建单位主动发挥自身职能，助力疫情数据统计、核算样本采集、防疫物资转运等工作。向桥西各社会领域的青年突击队发出抗疫动员，根据疫情状况迅速组建25支青年突击队，3200多名队员积极响应号召请缨出战，不畏风险，为打赢疫情防控这场大仗硬仗贡献了青春力量。</w:t>
      </w:r>
    </w:p>
    <w:p w14:paraId="7AA104C4">
      <w:pPr>
        <w:pageBreakBefore w:val="0"/>
        <w:widowControl/>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三是开展“电动车挂牌”志愿服务。积极响应区委、区政府电动车专项治理行动，动员全区团组织开展了“电动车挂牌”志愿服务活动。向居民讲解登记备案流程和文明驾驶规范，累计发放宣传材料18000余份，解答居民咨询15000余人次。</w:t>
      </w:r>
    </w:p>
    <w:p w14:paraId="05D777D2">
      <w:pPr>
        <w:pageBreakBefore w:val="0"/>
        <w:widowControl/>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四是聚焦“社会功能”，让青年更有获得感。全年建立非公企业团支部36个，超额完成市下达的考核指标；引导3个团属社会组织开展丰富多彩的社会活动，在青年创新、创业、文化体育活动、志愿服务活动中使团员青年有收获。组织开展各类青少年零犯罪、零受害社区平安创建活动40余次，荣获全国“青少年维权岗”荣誉称号。联合公检法司有关单位开展法律宣讲，累计开展活动70余次。指导民办学校河北外国语学院参与“面对面”调研工作并提交调研报告，《加强新时代青少年爱国主义教育——网上开展青少年爱国主义教育的难点和对策研究》荣获2022年“共青团与人大代表、政协委员面对面”主题调研活动全国县区级优秀调研报告。积极引导辖区各领域青少年参与模拟政协提案活动，收集提案276条，其中《探索生活垃圾，减少垃圾污染，保护环境》成功入选全国青少年参与模拟政协提案全国优秀案例。落实青年发展规划工作，召开桥西区青年联席会议第四次全体会议，出台了2022年度重点工作，联合成员单位成功开展助力青年成长成才的活动32次。</w:t>
      </w:r>
    </w:p>
    <w:p w14:paraId="701F4B5A">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综上所述，</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分，根据评分标准扣0分，得分</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分</w:t>
      </w:r>
      <w:r>
        <w:rPr>
          <w:rFonts w:hint="eastAsia" w:ascii="仿宋" w:hAnsi="仿宋" w:eastAsia="仿宋" w:cs="仿宋"/>
          <w:color w:val="1E1E1E"/>
          <w:sz w:val="28"/>
          <w:szCs w:val="28"/>
          <w:highlight w:val="none"/>
          <w:shd w:val="clear" w:color="auto" w:fill="FFFFFF"/>
        </w:rPr>
        <w:t>。</w:t>
      </w:r>
    </w:p>
    <w:p w14:paraId="4B2CFF68">
      <w:pPr>
        <w:pageBreakBefore w:val="0"/>
        <w:widowControl/>
        <w:kinsoku/>
        <w:wordWrap/>
        <w:overflowPunct/>
        <w:topLinePunct w:val="0"/>
        <w:autoSpaceDE/>
        <w:autoSpaceDN/>
        <w:bidi w:val="0"/>
        <w:adjustRightInd/>
        <w:snapToGrid/>
        <w:spacing w:line="600" w:lineRule="exact"/>
        <w:ind w:firstLine="640"/>
        <w:jc w:val="lef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eastAsia="zh-CN"/>
        </w:rPr>
        <w:t>（</w:t>
      </w:r>
      <w:r>
        <w:rPr>
          <w:rFonts w:hint="eastAsia" w:ascii="仿宋" w:hAnsi="仿宋" w:eastAsia="仿宋" w:cs="仿宋"/>
          <w:b/>
          <w:bCs/>
          <w:sz w:val="28"/>
          <w:szCs w:val="28"/>
          <w:highlight w:val="none"/>
        </w:rPr>
        <w:t>2</w:t>
      </w:r>
      <w:r>
        <w:rPr>
          <w:rFonts w:hint="eastAsia" w:ascii="仿宋" w:hAnsi="仿宋" w:eastAsia="仿宋" w:cs="仿宋"/>
          <w:b/>
          <w:bCs/>
          <w:sz w:val="28"/>
          <w:szCs w:val="28"/>
          <w:highlight w:val="none"/>
          <w:lang w:eastAsia="zh-CN"/>
        </w:rPr>
        <w:t>）</w:t>
      </w:r>
      <w:r>
        <w:rPr>
          <w:rFonts w:hint="eastAsia" w:ascii="仿宋" w:hAnsi="仿宋" w:eastAsia="仿宋" w:cs="仿宋"/>
          <w:b/>
          <w:bCs/>
          <w:sz w:val="28"/>
          <w:szCs w:val="28"/>
          <w:highlight w:val="none"/>
        </w:rPr>
        <w:t>质量指标</w:t>
      </w:r>
    </w:p>
    <w:p w14:paraId="5BBC89A2">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lang w:eastAsia="zh-CN"/>
        </w:rPr>
        <w:t>质量完成率</w:t>
      </w:r>
    </w:p>
    <w:p w14:paraId="04078412">
      <w:pPr>
        <w:pStyle w:val="11"/>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28"/>
          <w:szCs w:val="28"/>
          <w:highlight w:val="none"/>
        </w:rPr>
      </w:pPr>
      <w:r>
        <w:rPr>
          <w:rFonts w:hint="eastAsia" w:ascii="仿宋" w:hAnsi="仿宋" w:eastAsia="仿宋" w:cs="仿宋"/>
          <w:bCs/>
          <w:sz w:val="28"/>
          <w:szCs w:val="28"/>
          <w:highlight w:val="none"/>
        </w:rPr>
        <w:t>该指标用于评</w:t>
      </w:r>
      <w:r>
        <w:rPr>
          <w:rFonts w:hint="eastAsia" w:ascii="仿宋" w:hAnsi="仿宋" w:eastAsia="仿宋" w:cs="仿宋"/>
          <w:sz w:val="28"/>
          <w:szCs w:val="28"/>
          <w:highlight w:val="none"/>
          <w:lang w:eastAsia="zh-CN"/>
        </w:rPr>
        <w:t>价部门各项工作任务</w:t>
      </w:r>
      <w:r>
        <w:rPr>
          <w:rFonts w:hint="eastAsia" w:ascii="仿宋" w:hAnsi="仿宋" w:eastAsia="仿宋" w:cs="仿宋"/>
          <w:bCs/>
          <w:sz w:val="28"/>
          <w:szCs w:val="28"/>
          <w:highlight w:val="none"/>
          <w:lang w:eastAsia="zh-CN"/>
        </w:rPr>
        <w:t>的</w:t>
      </w:r>
      <w:r>
        <w:rPr>
          <w:rFonts w:hint="eastAsia" w:ascii="仿宋" w:hAnsi="仿宋" w:eastAsia="仿宋" w:cs="仿宋"/>
          <w:bCs/>
          <w:sz w:val="28"/>
          <w:szCs w:val="28"/>
          <w:highlight w:val="none"/>
        </w:rPr>
        <w:t>完成</w:t>
      </w:r>
      <w:r>
        <w:rPr>
          <w:rFonts w:hint="eastAsia" w:ascii="仿宋" w:hAnsi="仿宋" w:eastAsia="仿宋" w:cs="仿宋"/>
          <w:bCs/>
          <w:sz w:val="28"/>
          <w:szCs w:val="28"/>
          <w:highlight w:val="none"/>
          <w:lang w:eastAsia="zh-CN"/>
        </w:rPr>
        <w:t>情况。</w:t>
      </w:r>
      <w:r>
        <w:rPr>
          <w:rFonts w:hint="eastAsia" w:ascii="仿宋" w:hAnsi="仿宋" w:eastAsia="仿宋" w:cs="仿宋"/>
          <w:bCs/>
          <w:sz w:val="28"/>
          <w:szCs w:val="28"/>
          <w:highlight w:val="none"/>
          <w:lang w:val="en-US" w:eastAsia="zh-CN"/>
        </w:rPr>
        <w:t>2022年度</w:t>
      </w:r>
      <w:r>
        <w:rPr>
          <w:rFonts w:hint="eastAsia" w:ascii="仿宋" w:hAnsi="仿宋" w:eastAsia="仿宋" w:cs="仿宋"/>
          <w:bCs/>
          <w:sz w:val="28"/>
          <w:szCs w:val="28"/>
          <w:highlight w:val="none"/>
        </w:rPr>
        <w:t>对支出绩效的评价严格考量产出质量，各项目产出质量完成率为100%</w:t>
      </w:r>
      <w:r>
        <w:rPr>
          <w:rFonts w:hint="eastAsia" w:ascii="仿宋" w:hAnsi="仿宋" w:eastAsia="仿宋" w:cs="仿宋"/>
          <w:bCs/>
          <w:sz w:val="28"/>
          <w:szCs w:val="28"/>
          <w:highlight w:val="none"/>
          <w:lang w:eastAsia="zh-CN"/>
        </w:rPr>
        <w:t>。</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分，根据评分标准扣0分，得分</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分</w:t>
      </w:r>
      <w:r>
        <w:rPr>
          <w:rFonts w:hint="eastAsia" w:ascii="仿宋" w:hAnsi="仿宋" w:eastAsia="仿宋" w:cs="仿宋"/>
          <w:color w:val="1E1E1E"/>
          <w:sz w:val="28"/>
          <w:szCs w:val="28"/>
          <w:highlight w:val="none"/>
          <w:shd w:val="clear" w:color="auto" w:fill="FFFFFF"/>
        </w:rPr>
        <w:t>。</w:t>
      </w:r>
    </w:p>
    <w:p w14:paraId="5D438054">
      <w:pPr>
        <w:pStyle w:val="11"/>
        <w:pageBreakBefore w:val="0"/>
        <w:kinsoku/>
        <w:wordWrap/>
        <w:overflowPunct/>
        <w:topLinePunct w:val="0"/>
        <w:autoSpaceDE/>
        <w:autoSpaceDN/>
        <w:bidi w:val="0"/>
        <w:adjustRightInd/>
        <w:snapToGrid/>
        <w:spacing w:line="600" w:lineRule="exact"/>
        <w:ind w:firstLine="562"/>
        <w:textAlignment w:val="auto"/>
        <w:rPr>
          <w:rFonts w:hint="eastAsia" w:ascii="仿宋" w:hAnsi="仿宋" w:eastAsia="仿宋" w:cs="仿宋"/>
          <w:color w:val="1E1E1E"/>
          <w:sz w:val="28"/>
          <w:szCs w:val="28"/>
          <w:highlight w:val="none"/>
          <w:shd w:val="clear" w:color="auto" w:fill="FFFFFF"/>
        </w:rPr>
      </w:pPr>
      <w:r>
        <w:rPr>
          <w:rFonts w:hint="eastAsia" w:ascii="仿宋" w:hAnsi="仿宋" w:eastAsia="仿宋" w:cs="仿宋"/>
          <w:b/>
          <w:bCs/>
          <w:sz w:val="28"/>
          <w:szCs w:val="28"/>
          <w:highlight w:val="none"/>
          <w:lang w:eastAsia="zh-CN"/>
        </w:rPr>
        <w:t>（</w:t>
      </w:r>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lang w:eastAsia="zh-CN"/>
        </w:rPr>
        <w:t>）</w:t>
      </w:r>
      <w:r>
        <w:rPr>
          <w:rFonts w:hint="eastAsia" w:ascii="仿宋" w:hAnsi="仿宋" w:eastAsia="仿宋" w:cs="仿宋"/>
          <w:b/>
          <w:bCs/>
          <w:sz w:val="28"/>
          <w:szCs w:val="28"/>
          <w:highlight w:val="none"/>
        </w:rPr>
        <w:t>时效指标</w:t>
      </w:r>
    </w:p>
    <w:p w14:paraId="77800B5F">
      <w:pPr>
        <w:pStyle w:val="11"/>
        <w:pageBreakBefore w:val="0"/>
        <w:kinsoku/>
        <w:wordWrap/>
        <w:overflowPunct/>
        <w:topLinePunct w:val="0"/>
        <w:autoSpaceDE/>
        <w:autoSpaceDN/>
        <w:bidi w:val="0"/>
        <w:adjustRightInd/>
        <w:snapToGrid/>
        <w:spacing w:line="600" w:lineRule="exact"/>
        <w:ind w:left="0" w:leftChars="0" w:firstLine="560" w:firstLineChars="200"/>
        <w:textAlignment w:val="auto"/>
        <w:rPr>
          <w:rFonts w:hint="eastAsia" w:ascii="仿宋" w:hAnsi="仿宋" w:eastAsia="仿宋" w:cs="仿宋"/>
          <w:color w:val="1E1E1E"/>
          <w:sz w:val="28"/>
          <w:szCs w:val="28"/>
          <w:highlight w:val="none"/>
          <w:shd w:val="clear" w:color="auto" w:fill="FFFFFF"/>
        </w:rPr>
      </w:pPr>
      <w:r>
        <w:rPr>
          <w:rFonts w:hint="eastAsia" w:ascii="仿宋" w:hAnsi="仿宋" w:eastAsia="仿宋" w:cs="仿宋"/>
          <w:color w:val="1E1E1E"/>
          <w:sz w:val="28"/>
          <w:szCs w:val="28"/>
          <w:highlight w:val="none"/>
          <w:shd w:val="clear" w:color="auto" w:fill="FFFFFF"/>
        </w:rPr>
        <w:t>完成及时性</w:t>
      </w:r>
    </w:p>
    <w:p w14:paraId="78F44BE4">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lang w:eastAsia="zh-CN"/>
        </w:rPr>
        <w:t>该指标用于评价部门各项工作任务完成的及时性，用以反映</w:t>
      </w:r>
      <w:r>
        <w:rPr>
          <w:rFonts w:hint="eastAsia" w:ascii="仿宋" w:hAnsi="仿宋" w:eastAsia="仿宋" w:cs="仿宋"/>
          <w:sz w:val="28"/>
          <w:szCs w:val="28"/>
          <w:highlight w:val="none"/>
        </w:rPr>
        <w:t>和考核项目产出时效目标的实现程度</w:t>
      </w:r>
      <w:r>
        <w:rPr>
          <w:rFonts w:hint="eastAsia" w:ascii="仿宋" w:hAnsi="仿宋" w:eastAsia="仿宋" w:cs="仿宋"/>
          <w:sz w:val="28"/>
          <w:szCs w:val="28"/>
          <w:highlight w:val="none"/>
          <w:lang w:eastAsia="zh-CN"/>
        </w:rPr>
        <w:t>。2022年度各项目的产出进度均符合预算支出进度要求</w:t>
      </w:r>
      <w:r>
        <w:rPr>
          <w:rFonts w:hint="eastAsia" w:ascii="仿宋" w:hAnsi="仿宋" w:eastAsia="仿宋" w:cs="仿宋"/>
          <w:sz w:val="28"/>
          <w:szCs w:val="28"/>
          <w:highlight w:val="none"/>
          <w:lang w:val="en-US" w:eastAsia="zh-CN"/>
        </w:rPr>
        <w:t>，未超过目标时间。</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分，根据评分标准扣0分，得分</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分</w:t>
      </w:r>
      <w:r>
        <w:rPr>
          <w:rFonts w:hint="eastAsia" w:ascii="仿宋" w:hAnsi="仿宋" w:eastAsia="仿宋" w:cs="仿宋"/>
          <w:sz w:val="28"/>
          <w:szCs w:val="28"/>
          <w:highlight w:val="none"/>
          <w:shd w:val="clear" w:color="auto" w:fill="FFFFFF"/>
        </w:rPr>
        <w:t>。</w:t>
      </w:r>
    </w:p>
    <w:p w14:paraId="71714678">
      <w:pPr>
        <w:pStyle w:val="11"/>
        <w:pageBreakBefore w:val="0"/>
        <w:kinsoku/>
        <w:wordWrap/>
        <w:overflowPunct/>
        <w:topLinePunct w:val="0"/>
        <w:autoSpaceDE/>
        <w:autoSpaceDN/>
        <w:bidi w:val="0"/>
        <w:adjustRightInd/>
        <w:snapToGrid/>
        <w:spacing w:line="600" w:lineRule="exact"/>
        <w:ind w:firstLine="562"/>
        <w:textAlignment w:val="auto"/>
        <w:rPr>
          <w:rFonts w:hint="eastAsia" w:ascii="仿宋" w:hAnsi="仿宋" w:eastAsia="仿宋" w:cs="仿宋"/>
          <w:color w:val="1E1E1E"/>
          <w:sz w:val="28"/>
          <w:szCs w:val="28"/>
          <w:highlight w:val="none"/>
          <w:shd w:val="clear" w:color="auto" w:fill="FFFFFF"/>
        </w:rPr>
      </w:pPr>
      <w:r>
        <w:rPr>
          <w:rFonts w:hint="eastAsia" w:ascii="仿宋" w:hAnsi="仿宋" w:eastAsia="仿宋" w:cs="仿宋"/>
          <w:b/>
          <w:bCs/>
          <w:sz w:val="28"/>
          <w:szCs w:val="28"/>
          <w:highlight w:val="none"/>
          <w:lang w:val="en-US" w:eastAsia="zh-CN"/>
        </w:rPr>
        <w:t>（4）</w:t>
      </w:r>
      <w:r>
        <w:rPr>
          <w:rFonts w:hint="eastAsia" w:ascii="仿宋" w:hAnsi="仿宋" w:eastAsia="仿宋" w:cs="仿宋"/>
          <w:b/>
          <w:bCs/>
          <w:sz w:val="28"/>
          <w:szCs w:val="28"/>
          <w:highlight w:val="none"/>
          <w:lang w:eastAsia="zh-CN"/>
        </w:rPr>
        <w:t>成本</w:t>
      </w:r>
      <w:r>
        <w:rPr>
          <w:rFonts w:hint="eastAsia" w:ascii="仿宋" w:hAnsi="仿宋" w:eastAsia="仿宋" w:cs="仿宋"/>
          <w:b/>
          <w:bCs/>
          <w:sz w:val="28"/>
          <w:szCs w:val="28"/>
          <w:highlight w:val="none"/>
        </w:rPr>
        <w:t>指标</w:t>
      </w:r>
    </w:p>
    <w:p w14:paraId="7D17B35D">
      <w:pPr>
        <w:pStyle w:val="11"/>
        <w:pageBreakBefore w:val="0"/>
        <w:kinsoku/>
        <w:wordWrap/>
        <w:overflowPunct/>
        <w:topLinePunct w:val="0"/>
        <w:autoSpaceDE/>
        <w:autoSpaceDN/>
        <w:bidi w:val="0"/>
        <w:adjustRightInd/>
        <w:snapToGrid/>
        <w:spacing w:line="600" w:lineRule="exact"/>
        <w:ind w:firstLine="560"/>
        <w:textAlignment w:val="auto"/>
        <w:rPr>
          <w:rFonts w:hint="eastAsia" w:ascii="仿宋" w:hAnsi="仿宋" w:eastAsia="仿宋" w:cs="仿宋"/>
          <w:color w:val="1E1E1E"/>
          <w:sz w:val="28"/>
          <w:szCs w:val="28"/>
          <w:highlight w:val="none"/>
          <w:shd w:val="clear" w:color="auto" w:fill="FFFFFF"/>
        </w:rPr>
      </w:pPr>
      <w:r>
        <w:rPr>
          <w:rFonts w:hint="eastAsia" w:ascii="仿宋" w:hAnsi="仿宋" w:eastAsia="仿宋" w:cs="仿宋"/>
          <w:kern w:val="2"/>
          <w:sz w:val="28"/>
          <w:szCs w:val="28"/>
          <w:highlight w:val="none"/>
          <w:lang w:val="en-US" w:eastAsia="zh-CN" w:bidi="ar-SA"/>
        </w:rPr>
        <w:t>成本节约率</w:t>
      </w:r>
    </w:p>
    <w:p w14:paraId="50E6628D">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rPr>
        <w:t>该指标用于评价完成计划工作目标的实际节约成本与计划成本的比率，用以反映和考核</w:t>
      </w:r>
      <w:r>
        <w:rPr>
          <w:rFonts w:hint="eastAsia" w:ascii="仿宋" w:hAnsi="仿宋" w:eastAsia="仿宋" w:cs="仿宋"/>
          <w:sz w:val="28"/>
          <w:szCs w:val="28"/>
          <w:highlight w:val="none"/>
          <w:lang w:eastAsia="zh-CN"/>
        </w:rPr>
        <w:t>部门整体</w:t>
      </w:r>
      <w:r>
        <w:rPr>
          <w:rFonts w:hint="eastAsia" w:ascii="仿宋" w:hAnsi="仿宋" w:eastAsia="仿宋" w:cs="仿宋"/>
          <w:sz w:val="28"/>
          <w:szCs w:val="28"/>
          <w:highlight w:val="none"/>
        </w:rPr>
        <w:t>的成本节约程度。</w:t>
      </w:r>
      <w:r>
        <w:rPr>
          <w:rFonts w:hint="eastAsia" w:ascii="仿宋" w:hAnsi="仿宋" w:eastAsia="仿宋" w:cs="仿宋"/>
          <w:sz w:val="28"/>
          <w:szCs w:val="28"/>
          <w:highlight w:val="none"/>
          <w:lang w:eastAsia="zh-CN"/>
        </w:rPr>
        <w:t>区团委部门整体支出调整预算数</w:t>
      </w:r>
      <w:r>
        <w:rPr>
          <w:rFonts w:hint="eastAsia" w:ascii="仿宋" w:hAnsi="仿宋" w:eastAsia="仿宋" w:cs="仿宋"/>
          <w:sz w:val="28"/>
          <w:szCs w:val="28"/>
          <w:highlight w:val="none"/>
        </w:rPr>
        <w:t>为</w:t>
      </w:r>
      <w:r>
        <w:rPr>
          <w:rFonts w:hint="eastAsia" w:ascii="仿宋" w:hAnsi="仿宋" w:eastAsia="仿宋" w:cs="仿宋"/>
          <w:sz w:val="28"/>
          <w:szCs w:val="28"/>
          <w:highlight w:val="none"/>
          <w:lang w:val="en-US" w:eastAsia="zh-CN"/>
        </w:rPr>
        <w:t>100.20</w:t>
      </w:r>
      <w:r>
        <w:rPr>
          <w:rFonts w:hint="eastAsia" w:ascii="仿宋" w:hAnsi="仿宋" w:eastAsia="仿宋" w:cs="仿宋"/>
          <w:sz w:val="28"/>
          <w:szCs w:val="28"/>
          <w:highlight w:val="none"/>
        </w:rPr>
        <w:t>万元，实际</w:t>
      </w:r>
      <w:r>
        <w:rPr>
          <w:rFonts w:hint="eastAsia" w:ascii="仿宋" w:hAnsi="仿宋" w:eastAsia="仿宋" w:cs="仿宋"/>
          <w:sz w:val="28"/>
          <w:szCs w:val="28"/>
          <w:highlight w:val="none"/>
          <w:lang w:eastAsia="zh-CN"/>
        </w:rPr>
        <w:t>支出</w:t>
      </w:r>
      <w:r>
        <w:rPr>
          <w:rFonts w:hint="eastAsia" w:ascii="仿宋" w:hAnsi="仿宋" w:eastAsia="仿宋" w:cs="仿宋"/>
          <w:sz w:val="28"/>
          <w:szCs w:val="28"/>
          <w:highlight w:val="none"/>
          <w:lang w:val="en-US" w:eastAsia="zh-CN"/>
        </w:rPr>
        <w:t>98.75</w:t>
      </w:r>
      <w:r>
        <w:rPr>
          <w:rFonts w:hint="eastAsia" w:ascii="仿宋" w:hAnsi="仿宋" w:eastAsia="仿宋" w:cs="仿宋"/>
          <w:sz w:val="28"/>
          <w:szCs w:val="28"/>
          <w:highlight w:val="none"/>
        </w:rPr>
        <w:t>万元，</w:t>
      </w:r>
      <w:r>
        <w:rPr>
          <w:rFonts w:hint="eastAsia" w:ascii="仿宋" w:hAnsi="仿宋" w:eastAsia="仿宋" w:cs="仿宋"/>
          <w:bCs/>
          <w:kern w:val="2"/>
          <w:sz w:val="28"/>
          <w:szCs w:val="28"/>
          <w:highlight w:val="none"/>
          <w:lang w:val="en-US" w:eastAsia="zh-CN" w:bidi="ar-SA"/>
        </w:rPr>
        <w:t>未超过预算金额。</w:t>
      </w:r>
      <w:r>
        <w:rPr>
          <w:rFonts w:hint="eastAsia" w:ascii="仿宋" w:hAnsi="仿宋" w:eastAsia="仿宋" w:cs="仿宋"/>
          <w:kern w:val="2"/>
          <w:sz w:val="28"/>
          <w:szCs w:val="28"/>
          <w:highlight w:val="none"/>
          <w:lang w:val="en-US" w:eastAsia="zh-CN" w:bidi="ar-SA"/>
        </w:rPr>
        <w:t>该指标满分5分，根据评分标准扣0分，得分5分。</w:t>
      </w:r>
    </w:p>
    <w:p w14:paraId="101B720D">
      <w:pPr>
        <w:pageBreakBefore w:val="0"/>
        <w:kinsoku/>
        <w:wordWrap/>
        <w:overflowPunct/>
        <w:topLinePunct w:val="0"/>
        <w:autoSpaceDE/>
        <w:autoSpaceDN/>
        <w:bidi w:val="0"/>
        <w:adjustRightInd/>
        <w:snapToGrid/>
        <w:spacing w:line="600" w:lineRule="exact"/>
        <w:ind w:firstLine="562" w:firstLineChars="200"/>
        <w:jc w:val="lef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4、</w:t>
      </w:r>
      <w:r>
        <w:rPr>
          <w:rFonts w:hint="eastAsia" w:ascii="仿宋" w:hAnsi="仿宋" w:eastAsia="仿宋" w:cs="仿宋"/>
          <w:b/>
          <w:bCs/>
          <w:sz w:val="28"/>
          <w:szCs w:val="28"/>
          <w:highlight w:val="none"/>
        </w:rPr>
        <w:t>预算执行率</w:t>
      </w:r>
    </w:p>
    <w:p w14:paraId="58A54D52">
      <w:pPr>
        <w:pageBreakBefore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bCs/>
          <w:sz w:val="28"/>
          <w:szCs w:val="28"/>
          <w:highlight w:val="none"/>
        </w:rPr>
        <w:t>该指标用于评价</w:t>
      </w:r>
      <w:r>
        <w:rPr>
          <w:rFonts w:hint="eastAsia" w:ascii="仿宋" w:hAnsi="仿宋" w:eastAsia="仿宋" w:cs="仿宋"/>
          <w:bCs/>
          <w:sz w:val="28"/>
          <w:szCs w:val="28"/>
          <w:highlight w:val="none"/>
          <w:lang w:eastAsia="zh-CN"/>
        </w:rPr>
        <w:t>部门整体</w:t>
      </w:r>
      <w:r>
        <w:rPr>
          <w:rFonts w:hint="eastAsia" w:ascii="仿宋" w:hAnsi="仿宋" w:eastAsia="仿宋" w:cs="仿宋"/>
          <w:bCs/>
          <w:sz w:val="28"/>
          <w:szCs w:val="28"/>
          <w:highlight w:val="none"/>
        </w:rPr>
        <w:t>预算资金的实际</w:t>
      </w:r>
      <w:r>
        <w:rPr>
          <w:rFonts w:hint="eastAsia" w:ascii="仿宋" w:hAnsi="仿宋" w:eastAsia="仿宋" w:cs="仿宋"/>
          <w:bCs/>
          <w:sz w:val="28"/>
          <w:szCs w:val="28"/>
          <w:highlight w:val="none"/>
          <w:lang w:eastAsia="zh-CN"/>
        </w:rPr>
        <w:t>执行</w:t>
      </w:r>
      <w:r>
        <w:rPr>
          <w:rFonts w:hint="eastAsia" w:ascii="仿宋" w:hAnsi="仿宋" w:eastAsia="仿宋" w:cs="仿宋"/>
          <w:bCs/>
          <w:sz w:val="28"/>
          <w:szCs w:val="28"/>
          <w:highlight w:val="none"/>
        </w:rPr>
        <w:t>情况，</w:t>
      </w:r>
      <w:r>
        <w:rPr>
          <w:rFonts w:hint="eastAsia" w:ascii="仿宋" w:hAnsi="仿宋" w:eastAsia="仿宋" w:cs="仿宋"/>
          <w:bCs/>
          <w:sz w:val="28"/>
          <w:szCs w:val="28"/>
          <w:highlight w:val="none"/>
          <w:lang w:eastAsia="zh-CN"/>
        </w:rPr>
        <w:t>2022年度部门整体</w:t>
      </w:r>
      <w:r>
        <w:rPr>
          <w:rFonts w:hint="eastAsia" w:ascii="仿宋" w:hAnsi="仿宋" w:eastAsia="仿宋" w:cs="仿宋"/>
          <w:bCs/>
          <w:sz w:val="28"/>
          <w:szCs w:val="28"/>
          <w:highlight w:val="none"/>
        </w:rPr>
        <w:t>预算执行率为</w:t>
      </w:r>
      <w:r>
        <w:rPr>
          <w:rFonts w:hint="eastAsia" w:ascii="仿宋" w:hAnsi="仿宋" w:eastAsia="仿宋" w:cs="仿宋"/>
          <w:bCs/>
          <w:sz w:val="28"/>
          <w:szCs w:val="28"/>
          <w:highlight w:val="none"/>
          <w:lang w:val="en-US" w:eastAsia="zh-CN"/>
        </w:rPr>
        <w:t>98.55</w:t>
      </w:r>
      <w:r>
        <w:rPr>
          <w:rFonts w:hint="eastAsia" w:ascii="仿宋" w:hAnsi="仿宋" w:eastAsia="仿宋" w:cs="仿宋"/>
          <w:bCs/>
          <w:sz w:val="28"/>
          <w:szCs w:val="28"/>
          <w:highlight w:val="none"/>
        </w:rPr>
        <w:t>%。</w:t>
      </w:r>
      <w:r>
        <w:rPr>
          <w:rFonts w:hint="eastAsia" w:ascii="仿宋" w:hAnsi="仿宋" w:eastAsia="仿宋" w:cs="仿宋"/>
          <w:sz w:val="28"/>
          <w:szCs w:val="28"/>
          <w:highlight w:val="none"/>
        </w:rPr>
        <w:t>该指标满分10分，根据评分标准扣</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分，得分</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分。</w:t>
      </w:r>
    </w:p>
    <w:p w14:paraId="02D46138">
      <w:pPr>
        <w:pageBreakBefore w:val="0"/>
        <w:widowControl/>
        <w:kinsoku/>
        <w:wordWrap/>
        <w:overflowPunct/>
        <w:topLinePunct w:val="0"/>
        <w:autoSpaceDE/>
        <w:autoSpaceDN/>
        <w:bidi w:val="0"/>
        <w:adjustRightInd/>
        <w:snapToGrid/>
        <w:spacing w:line="600" w:lineRule="exact"/>
        <w:ind w:firstLine="645"/>
        <w:jc w:val="lef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w:t>
      </w:r>
      <w:r>
        <w:rPr>
          <w:rFonts w:hint="eastAsia" w:ascii="仿宋" w:hAnsi="仿宋" w:eastAsia="仿宋" w:cs="仿宋"/>
          <w:b/>
          <w:bCs/>
          <w:sz w:val="28"/>
          <w:szCs w:val="28"/>
          <w:highlight w:val="none"/>
          <w:lang w:eastAsia="zh-CN"/>
        </w:rPr>
        <w:t>五</w:t>
      </w:r>
      <w:r>
        <w:rPr>
          <w:rFonts w:hint="eastAsia" w:ascii="仿宋" w:hAnsi="仿宋" w:eastAsia="仿宋" w:cs="仿宋"/>
          <w:b/>
          <w:bCs/>
          <w:sz w:val="28"/>
          <w:szCs w:val="28"/>
          <w:highlight w:val="none"/>
        </w:rPr>
        <w:t>）效果</w:t>
      </w:r>
      <w:r>
        <w:rPr>
          <w:rFonts w:hint="eastAsia" w:ascii="仿宋" w:hAnsi="仿宋" w:eastAsia="仿宋" w:cs="仿宋"/>
          <w:b/>
          <w:bCs/>
          <w:sz w:val="28"/>
          <w:szCs w:val="28"/>
          <w:highlight w:val="none"/>
          <w:lang w:eastAsia="zh-CN"/>
        </w:rPr>
        <w:t>指标</w:t>
      </w:r>
    </w:p>
    <w:p w14:paraId="2DFC0DD4">
      <w:pPr>
        <w:pStyle w:val="4"/>
        <w:pageBreakBefore w:val="0"/>
        <w:kinsoku/>
        <w:wordWrap/>
        <w:overflowPunct/>
        <w:topLinePunct w:val="0"/>
        <w:autoSpaceDE/>
        <w:autoSpaceDN/>
        <w:bidi w:val="0"/>
        <w:adjustRightInd/>
        <w:snapToGrid/>
        <w:spacing w:line="600" w:lineRule="exact"/>
        <w:ind w:firstLine="562"/>
        <w:textAlignment w:val="auto"/>
        <w:rPr>
          <w:rFonts w:hint="eastAsia" w:ascii="仿宋" w:hAnsi="仿宋" w:eastAsia="仿宋" w:cs="仿宋"/>
          <w:sz w:val="28"/>
          <w:szCs w:val="28"/>
          <w:highlight w:val="none"/>
        </w:rPr>
      </w:pPr>
      <w:bookmarkStart w:id="0" w:name="_Toc28991"/>
      <w:r>
        <w:rPr>
          <w:rFonts w:hint="eastAsia" w:ascii="仿宋" w:hAnsi="仿宋" w:eastAsia="仿宋" w:cs="仿宋"/>
          <w:sz w:val="28"/>
          <w:szCs w:val="28"/>
          <w:highlight w:val="none"/>
        </w:rPr>
        <w:t>1、社会效益指标</w:t>
      </w:r>
      <w:bookmarkEnd w:id="0"/>
    </w:p>
    <w:p w14:paraId="696EB1CB">
      <w:pPr>
        <w:pStyle w:val="4"/>
        <w:keepNext w:val="0"/>
        <w:keepLines w:val="0"/>
        <w:pageBreakBefore w:val="0"/>
        <w:kinsoku/>
        <w:wordWrap/>
        <w:overflowPunct/>
        <w:topLinePunct w:val="0"/>
        <w:autoSpaceDE/>
        <w:autoSpaceDN/>
        <w:bidi w:val="0"/>
        <w:adjustRightInd/>
        <w:snapToGrid/>
        <w:spacing w:line="600" w:lineRule="exact"/>
        <w:ind w:firstLine="562"/>
        <w:textAlignment w:val="auto"/>
        <w:rPr>
          <w:rFonts w:hint="default"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w:t>
      </w:r>
      <w:r>
        <w:rPr>
          <w:rFonts w:hint="eastAsia" w:ascii="仿宋" w:hAnsi="仿宋" w:cs="仿宋"/>
          <w:b w:val="0"/>
          <w:kern w:val="2"/>
          <w:sz w:val="28"/>
          <w:szCs w:val="28"/>
          <w:lang w:val="en-US" w:eastAsia="zh-CN" w:bidi="ar-SA"/>
        </w:rPr>
        <w:t>1）调动青年服务社会能力</w:t>
      </w:r>
    </w:p>
    <w:p w14:paraId="11D0BCE5">
      <w:pPr>
        <w:pageBreakBefore w:val="0"/>
        <w:widowControl/>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sz w:val="28"/>
          <w:szCs w:val="28"/>
          <w:highlight w:val="none"/>
          <w:lang w:eastAsia="zh-CN"/>
        </w:rPr>
      </w:pPr>
      <w:r>
        <w:rPr>
          <w:rFonts w:hint="eastAsia" w:ascii="仿宋" w:hAnsi="仿宋" w:eastAsia="仿宋" w:cs="仿宋"/>
          <w:kern w:val="2"/>
          <w:sz w:val="28"/>
          <w:szCs w:val="28"/>
          <w:lang w:val="en-US" w:eastAsia="zh-CN" w:bidi="ar-SA"/>
        </w:rPr>
        <w:t>该指标用于评价调动青年服务社会的的能力。</w:t>
      </w:r>
      <w:r>
        <w:rPr>
          <w:rFonts w:hint="eastAsia" w:ascii="仿宋" w:hAnsi="仿宋" w:eastAsia="仿宋" w:cs="仿宋"/>
          <w:sz w:val="28"/>
          <w:szCs w:val="28"/>
          <w:highlight w:val="none"/>
          <w:lang w:eastAsia="zh-CN"/>
        </w:rPr>
        <w:t>二是坚持“改革有方位”，按照“青年在哪里，团组织就建在哪儿”的理念，形成重点突出、特色鲜明的共青团改革实践。</w:t>
      </w:r>
      <w:r>
        <w:rPr>
          <w:rFonts w:hint="eastAsia" w:ascii="仿宋" w:hAnsi="仿宋" w:eastAsia="仿宋" w:cs="仿宋"/>
          <w:b/>
          <w:bCs/>
          <w:sz w:val="28"/>
          <w:szCs w:val="28"/>
          <w:highlight w:val="none"/>
          <w:lang w:eastAsia="zh-CN"/>
        </w:rPr>
        <w:t>聚焦“团员青年”，打造全市首家青年人才中心</w:t>
      </w:r>
      <w:r>
        <w:rPr>
          <w:rFonts w:hint="eastAsia" w:ascii="仿宋" w:hAnsi="仿宋" w:eastAsia="仿宋" w:cs="仿宋"/>
          <w:sz w:val="28"/>
          <w:szCs w:val="28"/>
          <w:highlight w:val="none"/>
          <w:lang w:eastAsia="zh-CN"/>
        </w:rPr>
        <w:t>。5月5日联合组织部在桥西区万象城举办石家庄市首个青年人才中心揭牌仪式，打造了青年人才服务新阵地，青年人才中心主要面向青年人才开展政策咨询、交友联谊、法律讲座、文化交流、生活服务等活动，是为青年人才提供服务和保障的场所；8月初在中海汇德里挂牌第二家青年人才中心，同时开展青年交友联谊活动。</w:t>
      </w:r>
      <w:r>
        <w:rPr>
          <w:rFonts w:hint="eastAsia" w:ascii="仿宋" w:hAnsi="仿宋" w:eastAsia="仿宋" w:cs="仿宋"/>
          <w:b/>
          <w:bCs/>
          <w:sz w:val="28"/>
          <w:szCs w:val="28"/>
          <w:highlight w:val="none"/>
          <w:lang w:eastAsia="zh-CN"/>
        </w:rPr>
        <w:t>聚焦“两新组织”，打造全市首批青年驿站。</w:t>
      </w:r>
      <w:r>
        <w:rPr>
          <w:rFonts w:hint="eastAsia" w:ascii="仿宋" w:hAnsi="仿宋" w:eastAsia="仿宋" w:cs="仿宋"/>
          <w:sz w:val="28"/>
          <w:szCs w:val="28"/>
          <w:highlight w:val="none"/>
          <w:lang w:eastAsia="zh-CN"/>
        </w:rPr>
        <w:t>充分发扬“党有号召，团有行动”的优良传统，积极走访塔坛国际商贸城华坛国际酒店，了解团组织建立和“青年驿站”建设情况，以及企业运营情况，不断为桥西区招揽优秀人才，助力桥西区“招才引智”工作大局。6月1日石家庄市青年人才驿站揭牌仪式在桥西区举行，标志着全市首批青年驿站进入运营。</w:t>
      </w:r>
      <w:r>
        <w:rPr>
          <w:rFonts w:hint="eastAsia" w:ascii="仿宋" w:hAnsi="仿宋" w:eastAsia="仿宋" w:cs="仿宋"/>
          <w:b/>
          <w:bCs/>
          <w:sz w:val="28"/>
          <w:szCs w:val="28"/>
          <w:highlight w:val="none"/>
          <w:lang w:eastAsia="zh-CN"/>
        </w:rPr>
        <w:t>开展“优化营商环境我先行”活动。</w:t>
      </w:r>
      <w:r>
        <w:rPr>
          <w:rFonts w:hint="eastAsia" w:ascii="仿宋" w:hAnsi="仿宋" w:eastAsia="仿宋" w:cs="仿宋"/>
          <w:sz w:val="28"/>
          <w:szCs w:val="28"/>
          <w:highlight w:val="none"/>
          <w:lang w:eastAsia="zh-CN"/>
        </w:rPr>
        <w:t>紧紧围绕全市团组织开展的“万亿城市 青年建功”行动，做好新时代青年文明号的创建和管理工作，弘扬“敬业、协作、创优、奉献”的精神内涵，进一步擦亮“青”字招牌，动员广大青年文明号集体投身优化营商环境建设，不断增强“店小二”服务意识，在青年文明号创建单位开展活动23次。综上所述，</w:t>
      </w:r>
      <w:r>
        <w:rPr>
          <w:rFonts w:hint="eastAsia" w:ascii="仿宋" w:hAnsi="仿宋" w:eastAsia="仿宋" w:cs="仿宋"/>
          <w:sz w:val="28"/>
          <w:szCs w:val="28"/>
          <w:highlight w:val="none"/>
          <w:lang w:val="en-US" w:eastAsia="zh-CN"/>
        </w:rPr>
        <w:t>该指标满分2.5分，根据评分标准扣0分，得分2.5分</w:t>
      </w:r>
      <w:r>
        <w:rPr>
          <w:rFonts w:hint="eastAsia" w:ascii="仿宋" w:hAnsi="仿宋" w:eastAsia="仿宋" w:cs="仿宋"/>
          <w:sz w:val="28"/>
          <w:szCs w:val="28"/>
          <w:highlight w:val="none"/>
          <w:lang w:eastAsia="zh-CN"/>
        </w:rPr>
        <w:t>。</w:t>
      </w:r>
    </w:p>
    <w:p w14:paraId="148ED742">
      <w:pPr>
        <w:pStyle w:val="11"/>
        <w:pageBreakBefore w:val="0"/>
        <w:kinsoku/>
        <w:wordWrap/>
        <w:overflowPunct/>
        <w:topLinePunct w:val="0"/>
        <w:autoSpaceDE/>
        <w:autoSpaceDN/>
        <w:bidi w:val="0"/>
        <w:spacing w:line="600" w:lineRule="exac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lang w:eastAsia="zh-CN"/>
        </w:rPr>
        <w:t>）就业岗位带动率</w:t>
      </w:r>
    </w:p>
    <w:p w14:paraId="569791EE">
      <w:pPr>
        <w:pageBreakBefore w:val="0"/>
        <w:widowControl/>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该指标用于评价</w:t>
      </w:r>
      <w:r>
        <w:rPr>
          <w:rFonts w:hint="eastAsia" w:ascii="仿宋" w:hAnsi="仿宋" w:eastAsia="仿宋" w:cs="仿宋"/>
          <w:sz w:val="28"/>
          <w:szCs w:val="28"/>
          <w:highlight w:val="none"/>
          <w:lang w:eastAsia="zh-CN"/>
        </w:rPr>
        <w:t>部门工作的</w:t>
      </w:r>
      <w:r>
        <w:rPr>
          <w:rFonts w:hint="eastAsia" w:ascii="仿宋" w:hAnsi="仿宋" w:eastAsia="仿宋" w:cs="仿宋"/>
          <w:sz w:val="28"/>
          <w:szCs w:val="28"/>
          <w:highlight w:val="none"/>
        </w:rPr>
        <w:t>实施</w:t>
      </w:r>
      <w:r>
        <w:rPr>
          <w:rFonts w:hint="eastAsia" w:ascii="仿宋" w:hAnsi="仿宋" w:eastAsia="仿宋" w:cs="仿宋"/>
          <w:sz w:val="28"/>
          <w:szCs w:val="28"/>
          <w:highlight w:val="none"/>
          <w:lang w:eastAsia="zh-CN"/>
        </w:rPr>
        <w:t>为青少年提供就业机会的能力</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区团委充分发挥青年就业创业协会的作用，帮助青年学生不断提高社会能力，助力青年学生创业就业，暑假开展了“桑梓计划”大学生专题——桥西区2022年青年英才“返家乡”社会实践活动，对接区直部门、街道办事处28个，通过公众号向社会发布岗位221个，吸引300余人报名参加，活动开展以来，录取学生190余人，反响热烈。</w:t>
      </w:r>
      <w:r>
        <w:rPr>
          <w:rFonts w:hint="eastAsia" w:ascii="仿宋" w:hAnsi="仿宋" w:eastAsia="仿宋" w:cs="仿宋"/>
          <w:kern w:val="2"/>
          <w:sz w:val="28"/>
          <w:szCs w:val="28"/>
          <w:lang w:val="en-US" w:eastAsia="zh-CN" w:bidi="ar-SA"/>
        </w:rPr>
        <w:t>该指标满分2.5分，根据评分标准扣0分，得分2.5分</w:t>
      </w:r>
      <w:r>
        <w:rPr>
          <w:rFonts w:hint="eastAsia" w:ascii="仿宋" w:hAnsi="仿宋" w:eastAsia="仿宋" w:cs="仿宋"/>
          <w:sz w:val="28"/>
          <w:szCs w:val="28"/>
          <w:highlight w:val="none"/>
        </w:rPr>
        <w:t>。</w:t>
      </w:r>
    </w:p>
    <w:p w14:paraId="69087711">
      <w:pPr>
        <w:pStyle w:val="4"/>
        <w:pageBreakBefore w:val="0"/>
        <w:kinsoku/>
        <w:wordWrap/>
        <w:overflowPunct/>
        <w:topLinePunct w:val="0"/>
        <w:autoSpaceDE/>
        <w:autoSpaceDN/>
        <w:bidi w:val="0"/>
        <w:adjustRightInd/>
        <w:snapToGrid/>
        <w:spacing w:line="600" w:lineRule="exact"/>
        <w:ind w:firstLine="562"/>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、可持续影响指标</w:t>
      </w:r>
    </w:p>
    <w:p w14:paraId="1BF0D7BB">
      <w:pPr>
        <w:pageBreakBefore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sz w:val="28"/>
          <w:szCs w:val="28"/>
          <w:highlight w:val="none"/>
        </w:rPr>
      </w:pPr>
      <w:r>
        <w:rPr>
          <w:rFonts w:hint="eastAsia" w:ascii="仿宋" w:hAnsi="仿宋" w:eastAsia="仿宋" w:cs="仿宋"/>
          <w:sz w:val="28"/>
          <w:szCs w:val="28"/>
          <w:highlight w:val="none"/>
        </w:rPr>
        <w:t>（1）长期青年发展规划</w:t>
      </w:r>
      <w:r>
        <w:rPr>
          <w:rFonts w:hint="eastAsia" w:ascii="仿宋" w:hAnsi="仿宋" w:eastAsia="仿宋" w:cs="仿宋"/>
          <w:sz w:val="28"/>
          <w:szCs w:val="28"/>
          <w:highlight w:val="none"/>
          <w:lang w:val="en-US" w:eastAsia="zh-CN"/>
        </w:rPr>
        <w:t>力</w:t>
      </w:r>
    </w:p>
    <w:p w14:paraId="6E738AA2">
      <w:pPr>
        <w:pageBreakBefore w:val="0"/>
        <w:widowControl/>
        <w:kinsoku/>
        <w:wordWrap/>
        <w:overflowPunct/>
        <w:topLinePunct w:val="0"/>
        <w:autoSpaceDE/>
        <w:autoSpaceDN/>
        <w:bidi w:val="0"/>
        <w:adjustRightInd/>
        <w:snapToGrid/>
        <w:spacing w:line="60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该指标用于评价</w:t>
      </w:r>
      <w:r>
        <w:rPr>
          <w:rFonts w:hint="eastAsia" w:ascii="仿宋" w:hAnsi="仿宋" w:eastAsia="仿宋" w:cs="仿宋"/>
          <w:sz w:val="28"/>
          <w:szCs w:val="28"/>
          <w:highlight w:val="none"/>
          <w:lang w:eastAsia="zh-CN"/>
        </w:rPr>
        <w:t>部门工作的</w:t>
      </w:r>
      <w:r>
        <w:rPr>
          <w:rFonts w:hint="eastAsia" w:ascii="仿宋" w:hAnsi="仿宋" w:eastAsia="仿宋" w:cs="仿宋"/>
          <w:sz w:val="28"/>
          <w:szCs w:val="28"/>
          <w:highlight w:val="none"/>
        </w:rPr>
        <w:t>实施对</w:t>
      </w:r>
      <w:r>
        <w:rPr>
          <w:rFonts w:hint="eastAsia" w:ascii="仿宋" w:hAnsi="仿宋" w:eastAsia="仿宋" w:cs="仿宋"/>
          <w:sz w:val="28"/>
          <w:szCs w:val="28"/>
          <w:highlight w:val="none"/>
          <w:lang w:eastAsia="zh-CN"/>
        </w:rPr>
        <w:t>青少年可持续性发展的影响能力</w:t>
      </w:r>
      <w:r>
        <w:rPr>
          <w:rFonts w:hint="eastAsia" w:ascii="仿宋" w:hAnsi="仿宋" w:eastAsia="仿宋" w:cs="仿宋"/>
          <w:sz w:val="28"/>
          <w:szCs w:val="28"/>
          <w:highlight w:val="none"/>
        </w:rPr>
        <w:t>。</w:t>
      </w:r>
      <w:r>
        <w:rPr>
          <w:rFonts w:hint="eastAsia" w:ascii="仿宋" w:hAnsi="仿宋" w:eastAsia="仿宋" w:cs="仿宋"/>
          <w:kern w:val="2"/>
          <w:sz w:val="28"/>
          <w:szCs w:val="28"/>
          <w:highlight w:val="none"/>
          <w:lang w:val="en-US" w:eastAsia="zh-CN" w:bidi="ar-SA"/>
        </w:rPr>
        <w:t>区团委致力于青少年发展事业。</w:t>
      </w:r>
      <w:r>
        <w:rPr>
          <w:rFonts w:hint="eastAsia" w:ascii="仿宋" w:hAnsi="仿宋" w:eastAsia="仿宋" w:cs="仿宋"/>
          <w:sz w:val="28"/>
          <w:szCs w:val="28"/>
          <w:highlight w:val="none"/>
          <w:lang w:eastAsia="zh-CN"/>
        </w:rPr>
        <w:t>落实全国少工委《“红领巾奖章”实施办法》，共评选出56名少先队员“红领巾奖章”二星章个人荣誉称号、授予40个大（中）队二星章集体荣誉称号；并成功推荐34名少先队员获得市级“红领巾奖章”三星章个人荣誉称号、18个大（中）队获得三星章集体荣誉称号。大力加强校外少先队组织建设，5月率先实现社区少工委100%全覆盖，全市第一。</w:t>
      </w:r>
      <w:r>
        <w:rPr>
          <w:rFonts w:hint="eastAsia" w:ascii="仿宋" w:hAnsi="仿宋" w:eastAsia="仿宋" w:cs="仿宋"/>
          <w:kern w:val="2"/>
          <w:sz w:val="28"/>
          <w:szCs w:val="28"/>
          <w:lang w:val="en-US" w:eastAsia="zh-CN" w:bidi="ar-SA"/>
        </w:rPr>
        <w:t>该指标满分2.5分，根据评分标准扣0分，得分2.5分</w:t>
      </w:r>
      <w:r>
        <w:rPr>
          <w:rFonts w:hint="eastAsia" w:ascii="仿宋" w:hAnsi="仿宋" w:eastAsia="仿宋" w:cs="仿宋"/>
          <w:sz w:val="28"/>
          <w:szCs w:val="28"/>
          <w:highlight w:val="none"/>
        </w:rPr>
        <w:t>。</w:t>
      </w:r>
    </w:p>
    <w:p w14:paraId="01CFB557">
      <w:pPr>
        <w:pStyle w:val="11"/>
        <w:keepNext w:val="0"/>
        <w:keepLines w:val="0"/>
        <w:pageBreakBefore w:val="0"/>
        <w:kinsoku/>
        <w:wordWrap/>
        <w:overflowPunct/>
        <w:topLinePunct w:val="0"/>
        <w:autoSpaceDE/>
        <w:autoSpaceDN/>
        <w:bidi w:val="0"/>
        <w:adjustRightInd/>
        <w:snapToGrid/>
        <w:spacing w:line="600" w:lineRule="exact"/>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lang w:eastAsia="zh-CN"/>
        </w:rPr>
        <w:t>）业务提升能力</w:t>
      </w:r>
    </w:p>
    <w:p w14:paraId="10D72A8F">
      <w:pPr>
        <w:keepNext w:val="0"/>
        <w:keepLines w:val="0"/>
        <w:pageBreakBefore w:val="0"/>
        <w:kinsoku/>
        <w:wordWrap/>
        <w:overflowPunct/>
        <w:topLinePunct w:val="0"/>
        <w:autoSpaceDE/>
        <w:autoSpaceDN/>
        <w:bidi w:val="0"/>
        <w:adjustRightInd/>
        <w:snapToGrid/>
        <w:spacing w:line="600" w:lineRule="exact"/>
        <w:ind w:firstLine="560"/>
        <w:textAlignment w:val="auto"/>
        <w:rPr>
          <w:rFonts w:hint="eastAsia"/>
        </w:rPr>
      </w:pPr>
      <w:r>
        <w:rPr>
          <w:rFonts w:hint="eastAsia" w:ascii="仿宋" w:hAnsi="仿宋" w:eastAsia="仿宋" w:cs="仿宋"/>
          <w:sz w:val="28"/>
          <w:szCs w:val="28"/>
          <w:highlight w:val="none"/>
          <w:lang w:eastAsia="zh-CN"/>
        </w:rPr>
        <w:t>该指标用于评价部门业务能力的提升程度。区团委不断完善团区委机关职能和运行机制，充分发挥在引领青年</w:t>
      </w:r>
      <w:r>
        <w:rPr>
          <w:rFonts w:hint="eastAsia" w:ascii="仿宋" w:hAnsi="仿宋" w:eastAsia="仿宋" w:cs="仿宋"/>
          <w:kern w:val="2"/>
          <w:sz w:val="28"/>
          <w:szCs w:val="28"/>
          <w:lang w:val="en-US" w:eastAsia="zh-CN" w:bidi="ar-SA"/>
        </w:rPr>
        <w:t>、凝集青年、教育青年等方面的积极作用；发挥团组织服务青年和促进青年发展的统筹作用，促进青少年发展研究规划、政策争取、资源整合及服务青年重点项目推动工作；始终保持坚定的政治方向，引导青少年培育和践行社会主义核心价值观等等工作举措，贯彻履行部门职能和职责，做好青少年和共青团各项工作。该指标满分2.5分，根据评分标准扣0分，得分2.5分</w:t>
      </w:r>
      <w:r>
        <w:rPr>
          <w:rFonts w:hint="eastAsia" w:ascii="仿宋" w:hAnsi="仿宋" w:eastAsia="仿宋" w:cs="仿宋"/>
          <w:sz w:val="28"/>
          <w:szCs w:val="28"/>
          <w:highlight w:val="none"/>
        </w:rPr>
        <w:t>。</w:t>
      </w:r>
    </w:p>
    <w:p w14:paraId="3D5B694B">
      <w:pPr>
        <w:pageBreakBefore w:val="0"/>
        <w:widowControl/>
        <w:kinsoku/>
        <w:wordWrap/>
        <w:overflowPunct/>
        <w:topLinePunct w:val="0"/>
        <w:autoSpaceDE/>
        <w:autoSpaceDN/>
        <w:bidi w:val="0"/>
        <w:adjustRightInd/>
        <w:snapToGrid/>
        <w:spacing w:line="600" w:lineRule="exact"/>
        <w:ind w:firstLine="645"/>
        <w:jc w:val="left"/>
        <w:textAlignment w:val="auto"/>
        <w:rPr>
          <w:rFonts w:hint="eastAsia" w:ascii="仿宋" w:hAnsi="仿宋" w:eastAsia="仿宋" w:cs="仿宋"/>
          <w:b/>
          <w:bCs/>
          <w:sz w:val="28"/>
          <w:szCs w:val="28"/>
          <w:highlight w:val="none"/>
          <w:lang w:eastAsia="zh-CN"/>
        </w:rPr>
      </w:pPr>
      <w:r>
        <w:rPr>
          <w:rFonts w:hint="eastAsia" w:ascii="仿宋" w:hAnsi="仿宋" w:eastAsia="仿宋" w:cs="仿宋"/>
          <w:b/>
          <w:sz w:val="28"/>
          <w:szCs w:val="28"/>
          <w:highlight w:val="none"/>
        </w:rPr>
        <w:t>（</w:t>
      </w:r>
      <w:r>
        <w:rPr>
          <w:rFonts w:hint="eastAsia" w:ascii="仿宋" w:hAnsi="仿宋" w:eastAsia="仿宋" w:cs="仿宋"/>
          <w:b/>
          <w:sz w:val="28"/>
          <w:szCs w:val="28"/>
          <w:highlight w:val="none"/>
          <w:lang w:eastAsia="zh-CN"/>
        </w:rPr>
        <w:t>六</w:t>
      </w:r>
      <w:r>
        <w:rPr>
          <w:rFonts w:hint="eastAsia" w:ascii="仿宋" w:hAnsi="仿宋" w:eastAsia="仿宋" w:cs="仿宋"/>
          <w:b/>
          <w:sz w:val="28"/>
          <w:szCs w:val="28"/>
          <w:highlight w:val="none"/>
        </w:rPr>
        <w:t>）满意度</w:t>
      </w:r>
      <w:r>
        <w:rPr>
          <w:rFonts w:hint="eastAsia" w:ascii="仿宋" w:hAnsi="仿宋" w:eastAsia="仿宋" w:cs="仿宋"/>
          <w:b/>
          <w:sz w:val="28"/>
          <w:szCs w:val="28"/>
          <w:highlight w:val="none"/>
          <w:lang w:eastAsia="zh-CN"/>
        </w:rPr>
        <w:t>指标</w:t>
      </w:r>
    </w:p>
    <w:p w14:paraId="1CFE879D">
      <w:pPr>
        <w:pStyle w:val="4"/>
        <w:pageBreakBefore w:val="0"/>
        <w:kinsoku/>
        <w:wordWrap/>
        <w:overflowPunct/>
        <w:topLinePunct w:val="0"/>
        <w:autoSpaceDE/>
        <w:autoSpaceDN/>
        <w:bidi w:val="0"/>
        <w:adjustRightInd/>
        <w:snapToGrid/>
        <w:spacing w:line="600" w:lineRule="exact"/>
        <w:ind w:firstLine="562"/>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cs="仿宋"/>
          <w:sz w:val="28"/>
          <w:szCs w:val="28"/>
          <w:highlight w:val="none"/>
          <w:lang w:eastAsia="zh-CN"/>
        </w:rPr>
        <w:t>青少年</w:t>
      </w:r>
      <w:r>
        <w:rPr>
          <w:rFonts w:hint="eastAsia" w:ascii="仿宋" w:hAnsi="仿宋" w:eastAsia="仿宋" w:cs="仿宋"/>
          <w:sz w:val="28"/>
          <w:szCs w:val="28"/>
          <w:highlight w:val="none"/>
        </w:rPr>
        <w:t>满意度</w:t>
      </w:r>
    </w:p>
    <w:p w14:paraId="7514E1D4">
      <w:pPr>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sz w:val="28"/>
          <w:szCs w:val="28"/>
          <w:highlight w:val="none"/>
          <w:lang w:eastAsia="zh-CN"/>
        </w:rPr>
      </w:pPr>
      <w:r>
        <w:rPr>
          <w:rFonts w:hint="eastAsia" w:ascii="仿宋" w:hAnsi="仿宋" w:eastAsia="仿宋" w:cs="仿宋"/>
          <w:bCs/>
          <w:sz w:val="28"/>
          <w:szCs w:val="28"/>
          <w:highlight w:val="none"/>
        </w:rPr>
        <w:t>该指标用于评价</w:t>
      </w:r>
      <w:r>
        <w:rPr>
          <w:rFonts w:hint="eastAsia" w:ascii="仿宋" w:hAnsi="仿宋" w:eastAsia="仿宋" w:cs="仿宋"/>
          <w:bCs/>
          <w:sz w:val="28"/>
          <w:szCs w:val="28"/>
          <w:highlight w:val="none"/>
          <w:lang w:eastAsia="zh-CN"/>
        </w:rPr>
        <w:t>青少年</w:t>
      </w:r>
      <w:r>
        <w:rPr>
          <w:rFonts w:hint="eastAsia" w:ascii="仿宋" w:hAnsi="仿宋" w:eastAsia="仿宋" w:cs="仿宋"/>
          <w:bCs/>
          <w:sz w:val="28"/>
          <w:szCs w:val="28"/>
          <w:highlight w:val="none"/>
        </w:rPr>
        <w:t>对</w:t>
      </w:r>
      <w:r>
        <w:rPr>
          <w:rFonts w:hint="eastAsia" w:ascii="仿宋" w:hAnsi="仿宋" w:eastAsia="仿宋" w:cs="仿宋"/>
          <w:bCs/>
          <w:sz w:val="28"/>
          <w:szCs w:val="28"/>
          <w:highlight w:val="none"/>
          <w:lang w:eastAsia="zh-CN"/>
        </w:rPr>
        <w:t>各项业务活动</w:t>
      </w:r>
      <w:r>
        <w:rPr>
          <w:rFonts w:hint="eastAsia" w:ascii="仿宋" w:hAnsi="仿宋" w:eastAsia="仿宋" w:cs="仿宋"/>
          <w:bCs/>
          <w:sz w:val="28"/>
          <w:szCs w:val="28"/>
          <w:highlight w:val="none"/>
        </w:rPr>
        <w:t>的满意程度。在随机的</w:t>
      </w:r>
      <w:r>
        <w:rPr>
          <w:rFonts w:hint="eastAsia" w:ascii="仿宋" w:hAnsi="仿宋" w:eastAsia="仿宋" w:cs="仿宋"/>
          <w:bCs/>
          <w:sz w:val="28"/>
          <w:szCs w:val="28"/>
          <w:highlight w:val="none"/>
          <w:lang w:eastAsia="zh-CN"/>
        </w:rPr>
        <w:t>有效访问</w:t>
      </w:r>
      <w:r>
        <w:rPr>
          <w:rFonts w:hint="eastAsia" w:ascii="仿宋" w:hAnsi="仿宋" w:eastAsia="仿宋" w:cs="仿宋"/>
          <w:bCs/>
          <w:sz w:val="28"/>
          <w:szCs w:val="28"/>
          <w:highlight w:val="none"/>
        </w:rPr>
        <w:t>中</w:t>
      </w:r>
      <w:r>
        <w:rPr>
          <w:rFonts w:hint="eastAsia" w:ascii="仿宋" w:hAnsi="仿宋" w:eastAsia="仿宋" w:cs="仿宋"/>
          <w:bCs/>
          <w:sz w:val="28"/>
          <w:szCs w:val="28"/>
          <w:highlight w:val="none"/>
          <w:lang w:eastAsia="zh-CN"/>
        </w:rPr>
        <w:t>青少年</w:t>
      </w:r>
      <w:r>
        <w:rPr>
          <w:rFonts w:hint="eastAsia" w:ascii="仿宋" w:hAnsi="仿宋" w:eastAsia="仿宋" w:cs="仿宋"/>
          <w:bCs/>
          <w:sz w:val="28"/>
          <w:szCs w:val="28"/>
          <w:highlight w:val="none"/>
        </w:rPr>
        <w:t>给予了较高的评价，对享受的服务满意度较高。</w:t>
      </w:r>
      <w:r>
        <w:rPr>
          <w:rFonts w:hint="eastAsia" w:ascii="仿宋" w:hAnsi="仿宋" w:eastAsia="仿宋" w:cs="仿宋"/>
          <w:sz w:val="28"/>
          <w:szCs w:val="28"/>
          <w:highlight w:val="none"/>
        </w:rPr>
        <w:t>该指标满分</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分，根据评分标准扣0分，得分</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w:t>
      </w:r>
      <w:r>
        <w:rPr>
          <w:rFonts w:hint="eastAsia" w:ascii="仿宋" w:hAnsi="仿宋" w:eastAsia="仿宋" w:cs="仿宋"/>
          <w:color w:val="1E1E1E"/>
          <w:sz w:val="28"/>
          <w:szCs w:val="28"/>
          <w:highlight w:val="none"/>
          <w:shd w:val="clear" w:color="auto" w:fill="FFFFFF"/>
        </w:rPr>
        <w:t>。</w:t>
      </w:r>
    </w:p>
    <w:p w14:paraId="36CA317E">
      <w:pPr>
        <w:pageBreakBefore w:val="0"/>
        <w:widowControl w:val="0"/>
        <w:kinsoku/>
        <w:wordWrap/>
        <w:overflowPunct/>
        <w:topLinePunct w:val="0"/>
        <w:autoSpaceDE/>
        <w:autoSpaceDN/>
        <w:bidi w:val="0"/>
        <w:spacing w:line="600" w:lineRule="exact"/>
        <w:ind w:left="0" w:leftChars="0" w:right="0" w:firstLine="562" w:firstLineChars="200"/>
        <w:textAlignment w:val="auto"/>
        <w:outlineLvl w:val="9"/>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四、评价结论和评价等级</w:t>
      </w:r>
    </w:p>
    <w:p w14:paraId="76FCF208">
      <w:pPr>
        <w:pageBreakBefore w:val="0"/>
        <w:widowControl w:val="0"/>
        <w:kinsoku/>
        <w:wordWrap/>
        <w:overflowPunct/>
        <w:topLinePunct w:val="0"/>
        <w:autoSpaceDE/>
        <w:autoSpaceDN/>
        <w:bidi w:val="0"/>
        <w:spacing w:line="600" w:lineRule="exact"/>
        <w:ind w:left="0" w:leftChars="0" w:right="0" w:firstLine="560" w:firstLineChars="200"/>
        <w:textAlignment w:val="auto"/>
        <w:outlineLvl w:val="9"/>
        <w:rPr>
          <w:rFonts w:hint="eastAsia" w:ascii="仿宋" w:hAnsi="仿宋" w:eastAsia="仿宋" w:cs="仿宋"/>
          <w:sz w:val="28"/>
          <w:szCs w:val="28"/>
          <w:highlight w:val="none"/>
        </w:rPr>
      </w:pPr>
      <w:r>
        <w:rPr>
          <w:rFonts w:hint="eastAsia" w:ascii="仿宋" w:hAnsi="仿宋" w:eastAsia="仿宋" w:cs="仿宋"/>
          <w:sz w:val="28"/>
          <w:szCs w:val="28"/>
          <w:highlight w:val="none"/>
        </w:rPr>
        <w:t>根据</w:t>
      </w:r>
      <w:r>
        <w:rPr>
          <w:rFonts w:hint="eastAsia" w:ascii="仿宋" w:hAnsi="仿宋" w:eastAsia="仿宋" w:cs="仿宋"/>
          <w:sz w:val="28"/>
          <w:szCs w:val="28"/>
          <w:highlight w:val="none"/>
          <w:lang w:eastAsia="zh-CN"/>
        </w:rPr>
        <w:t>部门职责定位和各项工作履职情况进行综合评价</w:t>
      </w:r>
      <w:r>
        <w:rPr>
          <w:rFonts w:hint="eastAsia" w:ascii="仿宋" w:hAnsi="仿宋" w:eastAsia="仿宋" w:cs="仿宋"/>
          <w:sz w:val="28"/>
          <w:szCs w:val="28"/>
          <w:highlight w:val="none"/>
        </w:rPr>
        <w:t>，给出总得分，满分100分，得出综合绩效评价等级。</w:t>
      </w:r>
      <w:r>
        <w:rPr>
          <w:rFonts w:hint="eastAsia" w:ascii="仿宋" w:hAnsi="仿宋" w:eastAsia="仿宋" w:cs="仿宋"/>
          <w:sz w:val="28"/>
          <w:szCs w:val="28"/>
          <w:highlight w:val="none"/>
          <w:lang w:eastAsia="zh-CN"/>
        </w:rPr>
        <w:t>部门整体支出</w:t>
      </w:r>
      <w:r>
        <w:rPr>
          <w:rFonts w:hint="eastAsia" w:ascii="仿宋" w:hAnsi="仿宋" w:eastAsia="仿宋" w:cs="仿宋"/>
          <w:sz w:val="28"/>
          <w:szCs w:val="28"/>
          <w:highlight w:val="none"/>
        </w:rPr>
        <w:t>综合绩效评价分为4个等级：得分≥85分为优秀；75≤得分＜85分为良好；60≤得分＜75分为一般；得分＜60分为较差。</w:t>
      </w:r>
    </w:p>
    <w:p w14:paraId="4D83ADE6">
      <w:pPr>
        <w:pageBreakBefore w:val="0"/>
        <w:widowControl w:val="0"/>
        <w:kinsoku/>
        <w:wordWrap/>
        <w:overflowPunct/>
        <w:topLinePunct w:val="0"/>
        <w:autoSpaceDE/>
        <w:autoSpaceDN/>
        <w:bidi w:val="0"/>
        <w:spacing w:line="600" w:lineRule="exact"/>
        <w:ind w:left="0" w:leftChars="0" w:right="0" w:firstLine="560" w:firstLineChars="200"/>
        <w:textAlignment w:val="auto"/>
        <w:outlineLvl w:val="9"/>
        <w:rPr>
          <w:rFonts w:hint="eastAsia" w:ascii="仿宋" w:hAnsi="仿宋" w:eastAsia="仿宋" w:cs="仿宋"/>
          <w:sz w:val="28"/>
          <w:szCs w:val="28"/>
          <w:highlight w:val="none"/>
        </w:rPr>
      </w:pPr>
      <w:r>
        <w:rPr>
          <w:rFonts w:hint="eastAsia" w:ascii="仿宋" w:hAnsi="仿宋" w:eastAsia="仿宋" w:cs="仿宋"/>
          <w:sz w:val="28"/>
          <w:szCs w:val="28"/>
          <w:highlight w:val="none"/>
        </w:rPr>
        <w:t>通过业务数据统计、访谈、调查等方式取得的信息，根据编制的</w:t>
      </w:r>
      <w:r>
        <w:rPr>
          <w:rFonts w:hint="eastAsia" w:ascii="仿宋" w:hAnsi="仿宋" w:eastAsia="仿宋" w:cs="仿宋"/>
          <w:sz w:val="28"/>
          <w:szCs w:val="28"/>
          <w:highlight w:val="none"/>
          <w:lang w:eastAsia="zh-CN"/>
        </w:rPr>
        <w:t>部门整体支出</w:t>
      </w:r>
      <w:r>
        <w:rPr>
          <w:rFonts w:hint="eastAsia" w:ascii="仿宋" w:hAnsi="仿宋" w:eastAsia="仿宋" w:cs="仿宋"/>
          <w:sz w:val="28"/>
          <w:szCs w:val="28"/>
          <w:highlight w:val="none"/>
        </w:rPr>
        <w:t>绩效评价指标和评分标准，</w:t>
      </w:r>
      <w:r>
        <w:rPr>
          <w:rFonts w:hint="eastAsia" w:ascii="仿宋" w:hAnsi="仿宋" w:eastAsia="仿宋" w:cs="仿宋"/>
          <w:sz w:val="28"/>
          <w:szCs w:val="28"/>
          <w:highlight w:val="none"/>
          <w:lang w:eastAsia="zh-CN"/>
        </w:rPr>
        <w:t>部门整体支出</w:t>
      </w:r>
      <w:r>
        <w:rPr>
          <w:rFonts w:hint="eastAsia" w:ascii="仿宋" w:hAnsi="仿宋" w:eastAsia="仿宋" w:cs="仿宋"/>
          <w:sz w:val="28"/>
          <w:szCs w:val="28"/>
          <w:highlight w:val="none"/>
        </w:rPr>
        <w:t>绩效评价的得分结果为</w:t>
      </w:r>
      <w:r>
        <w:rPr>
          <w:rFonts w:hint="eastAsia" w:ascii="仿宋" w:hAnsi="仿宋" w:eastAsia="仿宋" w:cs="仿宋"/>
          <w:sz w:val="28"/>
          <w:szCs w:val="28"/>
          <w:highlight w:val="none"/>
          <w:lang w:val="en-US" w:eastAsia="zh-CN"/>
        </w:rPr>
        <w:t>97</w:t>
      </w:r>
      <w:r>
        <w:rPr>
          <w:rFonts w:hint="eastAsia" w:ascii="仿宋" w:hAnsi="仿宋" w:eastAsia="仿宋" w:cs="仿宋"/>
          <w:sz w:val="28"/>
          <w:szCs w:val="28"/>
          <w:highlight w:val="none"/>
        </w:rPr>
        <w:t>分，绩效评价等级为优秀。</w:t>
      </w:r>
      <w:r>
        <w:rPr>
          <w:rFonts w:hint="eastAsia" w:ascii="仿宋" w:hAnsi="仿宋" w:eastAsia="仿宋" w:cs="仿宋"/>
          <w:sz w:val="28"/>
          <w:szCs w:val="28"/>
          <w:highlight w:val="none"/>
          <w:lang w:val="en-US" w:eastAsia="zh-CN"/>
        </w:rPr>
        <w:t>详见附件1：部门整体支出绩效评价指标评分表</w:t>
      </w:r>
    </w:p>
    <w:p w14:paraId="19C41FD8">
      <w:pPr>
        <w:pageBreakBefore w:val="0"/>
        <w:widowControl w:val="0"/>
        <w:kinsoku/>
        <w:wordWrap/>
        <w:overflowPunct/>
        <w:topLinePunct w:val="0"/>
        <w:autoSpaceDE/>
        <w:autoSpaceDN/>
        <w:bidi w:val="0"/>
        <w:spacing w:line="600" w:lineRule="exact"/>
        <w:ind w:left="0" w:leftChars="0" w:right="0" w:firstLine="562" w:firstLineChars="200"/>
        <w:textAlignment w:val="auto"/>
        <w:outlineLvl w:val="9"/>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五、存在的问题及改进措施</w:t>
      </w:r>
    </w:p>
    <w:p w14:paraId="51EB891D">
      <w:pPr>
        <w:pageBreakBefore w:val="0"/>
        <w:widowControl w:val="0"/>
        <w:kinsoku/>
        <w:wordWrap/>
        <w:overflowPunct/>
        <w:topLinePunct w:val="0"/>
        <w:autoSpaceDE/>
        <w:autoSpaceDN/>
        <w:bidi w:val="0"/>
        <w:spacing w:line="600" w:lineRule="exact"/>
        <w:ind w:left="0" w:leftChars="0" w:right="0" w:firstLine="562" w:firstLineChars="200"/>
        <w:textAlignment w:val="auto"/>
        <w:outlineLvl w:val="9"/>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（一）存在的主要问题</w:t>
      </w:r>
    </w:p>
    <w:p w14:paraId="7F6A45AE">
      <w:pPr>
        <w:pageBreakBefore w:val="0"/>
        <w:kinsoku/>
        <w:wordWrap/>
        <w:overflowPunct/>
        <w:topLinePunct w:val="0"/>
        <w:autoSpaceDE/>
        <w:autoSpaceDN/>
        <w:bidi w:val="0"/>
        <w:spacing w:line="600" w:lineRule="exact"/>
        <w:ind w:firstLine="560" w:firstLineChars="200"/>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1、绩效指标可衡量性有待提升</w:t>
      </w:r>
    </w:p>
    <w:p w14:paraId="595F1F0C">
      <w:pPr>
        <w:pageBreakBefore w:val="0"/>
        <w:kinsoku/>
        <w:wordWrap/>
        <w:overflowPunct/>
        <w:topLinePunct w:val="0"/>
        <w:autoSpaceDE/>
        <w:autoSpaceDN/>
        <w:bidi w:val="0"/>
        <w:spacing w:line="600" w:lineRule="exact"/>
        <w:ind w:firstLine="560" w:firstLineChars="200"/>
        <w:rPr>
          <w:rFonts w:hint="eastAsia" w:ascii="仿宋" w:hAnsi="仿宋" w:eastAsia="仿宋" w:cs="仿宋"/>
          <w:sz w:val="28"/>
          <w:szCs w:val="28"/>
          <w:highlight w:val="none"/>
        </w:rPr>
      </w:pPr>
      <w:r>
        <w:rPr>
          <w:rFonts w:hint="eastAsia" w:ascii="仿宋" w:hAnsi="仿宋" w:eastAsia="仿宋" w:cs="仿宋"/>
          <w:color w:val="auto"/>
          <w:sz w:val="28"/>
          <w:szCs w:val="28"/>
          <w:highlight w:val="none"/>
          <w:lang w:eastAsia="zh-CN"/>
        </w:rPr>
        <w:t>个别项目</w:t>
      </w:r>
      <w:r>
        <w:rPr>
          <w:rFonts w:hint="eastAsia" w:ascii="仿宋" w:hAnsi="仿宋" w:eastAsia="仿宋" w:cs="仿宋"/>
          <w:color w:val="auto"/>
          <w:sz w:val="28"/>
          <w:szCs w:val="28"/>
          <w:highlight w:val="none"/>
        </w:rPr>
        <w:t>对数量指标和社会效益指标进行了简单、定性的描述，绩效</w:t>
      </w:r>
      <w:r>
        <w:rPr>
          <w:rFonts w:hint="eastAsia" w:ascii="仿宋" w:hAnsi="仿宋" w:eastAsia="仿宋" w:cs="仿宋"/>
          <w:color w:val="auto"/>
          <w:sz w:val="28"/>
          <w:szCs w:val="28"/>
          <w:highlight w:val="none"/>
          <w:lang w:eastAsia="zh-CN"/>
        </w:rPr>
        <w:t>指标</w:t>
      </w:r>
      <w:r>
        <w:rPr>
          <w:rFonts w:hint="eastAsia" w:ascii="仿宋" w:hAnsi="仿宋" w:eastAsia="仿宋" w:cs="仿宋"/>
          <w:color w:val="auto"/>
          <w:sz w:val="28"/>
          <w:szCs w:val="28"/>
          <w:highlight w:val="none"/>
        </w:rPr>
        <w:t>较</w:t>
      </w:r>
      <w:r>
        <w:rPr>
          <w:rFonts w:hint="eastAsia" w:ascii="仿宋" w:hAnsi="仿宋" w:eastAsia="仿宋" w:cs="仿宋"/>
          <w:color w:val="auto"/>
          <w:sz w:val="28"/>
          <w:szCs w:val="28"/>
          <w:highlight w:val="none"/>
          <w:lang w:eastAsia="zh-CN"/>
        </w:rPr>
        <w:t>为</w:t>
      </w:r>
      <w:r>
        <w:rPr>
          <w:rFonts w:hint="eastAsia" w:ascii="仿宋" w:hAnsi="仿宋" w:eastAsia="仿宋" w:cs="仿宋"/>
          <w:color w:val="auto"/>
          <w:sz w:val="28"/>
          <w:szCs w:val="28"/>
          <w:highlight w:val="none"/>
        </w:rPr>
        <w:t>简单</w:t>
      </w:r>
      <w:r>
        <w:rPr>
          <w:rFonts w:hint="eastAsia" w:ascii="仿宋" w:hAnsi="仿宋" w:eastAsia="仿宋" w:cs="仿宋"/>
          <w:color w:val="auto"/>
          <w:sz w:val="28"/>
          <w:szCs w:val="28"/>
          <w:highlight w:val="none"/>
          <w:lang w:eastAsia="zh-CN"/>
        </w:rPr>
        <w:t>，但</w:t>
      </w:r>
      <w:r>
        <w:rPr>
          <w:rFonts w:hint="eastAsia" w:ascii="仿宋" w:hAnsi="仿宋" w:eastAsia="仿宋" w:cs="仿宋"/>
          <w:color w:val="auto"/>
          <w:sz w:val="28"/>
          <w:szCs w:val="28"/>
          <w:highlight w:val="none"/>
        </w:rPr>
        <w:t>清晰、可衡量的指标较少</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绩效</w:t>
      </w:r>
      <w:r>
        <w:rPr>
          <w:rFonts w:hint="eastAsia" w:ascii="仿宋" w:hAnsi="仿宋" w:eastAsia="仿宋" w:cs="仿宋"/>
          <w:color w:val="auto"/>
          <w:sz w:val="28"/>
          <w:szCs w:val="28"/>
          <w:highlight w:val="none"/>
          <w:lang w:eastAsia="zh-CN"/>
        </w:rPr>
        <w:t>指标</w:t>
      </w:r>
      <w:r>
        <w:rPr>
          <w:rFonts w:hint="eastAsia" w:ascii="仿宋" w:hAnsi="仿宋" w:eastAsia="仿宋" w:cs="仿宋"/>
          <w:color w:val="auto"/>
          <w:sz w:val="28"/>
          <w:szCs w:val="28"/>
          <w:highlight w:val="none"/>
        </w:rPr>
        <w:t>设置的不完善影响了对项目的进一步绩效评价。</w:t>
      </w:r>
    </w:p>
    <w:p w14:paraId="1DB05F64">
      <w:pPr>
        <w:pageBreakBefore w:val="0"/>
        <w:widowControl w:val="0"/>
        <w:kinsoku/>
        <w:wordWrap/>
        <w:overflowPunct/>
        <w:topLinePunct w:val="0"/>
        <w:autoSpaceDE/>
        <w:autoSpaceDN/>
        <w:bidi w:val="0"/>
        <w:spacing w:line="600" w:lineRule="exact"/>
        <w:ind w:left="0" w:leftChars="0" w:right="0" w:firstLine="562" w:firstLineChars="200"/>
        <w:textAlignment w:val="auto"/>
        <w:outlineLvl w:val="9"/>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（二）针对问题提出具体的改进措施或建议</w:t>
      </w:r>
    </w:p>
    <w:p w14:paraId="18CA8FBA">
      <w:pPr>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bCs/>
          <w:sz w:val="28"/>
          <w:szCs w:val="28"/>
          <w:highlight w:val="none"/>
          <w:lang w:val="en-US" w:eastAsia="zh-CN"/>
        </w:rPr>
      </w:pPr>
      <w:r>
        <w:rPr>
          <w:rFonts w:hint="eastAsia" w:ascii="仿宋" w:hAnsi="仿宋" w:eastAsia="仿宋" w:cs="仿宋"/>
          <w:b w:val="0"/>
          <w:bCs w:val="0"/>
          <w:sz w:val="28"/>
          <w:szCs w:val="28"/>
          <w:highlight w:val="none"/>
          <w:lang w:val="en-US" w:eastAsia="zh-CN"/>
        </w:rPr>
        <w:t>1、</w:t>
      </w:r>
      <w:r>
        <w:rPr>
          <w:rFonts w:hint="eastAsia" w:ascii="仿宋" w:hAnsi="仿宋" w:eastAsia="仿宋" w:cs="仿宋"/>
          <w:bCs/>
          <w:sz w:val="28"/>
          <w:szCs w:val="28"/>
          <w:highlight w:val="none"/>
          <w:lang w:val="en-US" w:eastAsia="zh-CN"/>
        </w:rPr>
        <w:t>认真落实、积极实施绩效管理</w:t>
      </w:r>
    </w:p>
    <w:p w14:paraId="5D68B5E1">
      <w:pPr>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Cs/>
          <w:sz w:val="28"/>
          <w:szCs w:val="28"/>
          <w:highlight w:val="none"/>
          <w:lang w:val="en-US" w:eastAsia="zh-CN"/>
        </w:rPr>
        <w:t>全面实施预算绩效管理。牢固树立预算绩效管理理念，创新预算管理方式，持续完善预算管理制度，注重结果导向、强调成本效益、硬化预算约束，不断提高财政资源配置效率和使用效益，确保全面实施预算绩效管理各项任务落到实处。一是执行绩效管理计划。部门根据确定的年度绩效管理目标制定具体实施计划，明确内部业务分工，落实承办人员及其工作责任，提出工作计划，明确时序进度和目标要求，落实工作措施，总结汇集工作成果，并记录实施过程。二是强化关键指标的监测。对关键指标的履行情况由部门内部加强日常绩效监测工作，实行全程监测管理，重点工作加强相关科室协调、配合的方式推动。</w:t>
      </w:r>
    </w:p>
    <w:p w14:paraId="5A6FA8A4">
      <w:pPr>
        <w:pageBreakBefore w:val="0"/>
        <w:kinsoku/>
        <w:wordWrap/>
        <w:overflowPunct/>
        <w:topLinePunct w:val="0"/>
        <w:autoSpaceDE/>
        <w:autoSpaceDN/>
        <w:bidi w:val="0"/>
        <w:spacing w:line="600" w:lineRule="exact"/>
        <w:ind w:firstLine="560" w:firstLineChars="200"/>
        <w:rPr>
          <w:rStyle w:val="30"/>
          <w:rFonts w:hint="eastAsia" w:ascii="仿宋" w:hAnsi="仿宋" w:eastAsia="仿宋" w:cs="仿宋"/>
          <w:b w:val="0"/>
          <w:bCs w:val="0"/>
          <w:color w:val="auto"/>
          <w:sz w:val="28"/>
          <w:szCs w:val="28"/>
          <w:highlight w:val="none"/>
        </w:rPr>
      </w:pPr>
      <w:r>
        <w:rPr>
          <w:rFonts w:hint="eastAsia" w:ascii="仿宋" w:hAnsi="仿宋" w:eastAsia="仿宋" w:cs="仿宋"/>
          <w:b w:val="0"/>
          <w:bCs w:val="0"/>
          <w:sz w:val="28"/>
          <w:szCs w:val="28"/>
          <w:highlight w:val="none"/>
          <w:lang w:val="en-US" w:eastAsia="zh-CN"/>
        </w:rPr>
        <w:t>2、</w:t>
      </w:r>
      <w:r>
        <w:rPr>
          <w:rStyle w:val="30"/>
          <w:rFonts w:hint="eastAsia" w:ascii="仿宋" w:hAnsi="仿宋" w:eastAsia="仿宋" w:cs="仿宋"/>
          <w:b w:val="0"/>
          <w:bCs w:val="0"/>
          <w:color w:val="auto"/>
          <w:sz w:val="28"/>
          <w:szCs w:val="28"/>
          <w:highlight w:val="none"/>
        </w:rPr>
        <w:t>合理制定绩效目标，并细化、量化评价指标</w:t>
      </w:r>
    </w:p>
    <w:p w14:paraId="1C6C6808">
      <w:pPr>
        <w:pageBreakBefore w:val="0"/>
        <w:kinsoku/>
        <w:wordWrap/>
        <w:overflowPunct/>
        <w:topLinePunct w:val="0"/>
        <w:autoSpaceDE/>
        <w:autoSpaceDN/>
        <w:bidi w:val="0"/>
        <w:spacing w:line="600" w:lineRule="exact"/>
        <w:ind w:firstLine="560" w:firstLineChars="200"/>
        <w:rPr>
          <w:rStyle w:val="30"/>
          <w:rFonts w:hint="eastAsia" w:ascii="仿宋" w:hAnsi="仿宋" w:eastAsia="仿宋" w:cs="仿宋"/>
          <w:b w:val="0"/>
          <w:bCs w:val="0"/>
          <w:color w:val="auto"/>
          <w:sz w:val="28"/>
          <w:szCs w:val="28"/>
          <w:highlight w:val="none"/>
          <w:lang w:val="en-US" w:eastAsia="zh-CN"/>
        </w:rPr>
      </w:pPr>
      <w:r>
        <w:rPr>
          <w:rStyle w:val="30"/>
          <w:rFonts w:hint="eastAsia" w:ascii="仿宋" w:hAnsi="仿宋" w:eastAsia="仿宋" w:cs="仿宋"/>
          <w:b w:val="0"/>
          <w:bCs w:val="0"/>
          <w:color w:val="auto"/>
          <w:sz w:val="28"/>
          <w:szCs w:val="28"/>
          <w:highlight w:val="none"/>
          <w:lang w:val="en-US" w:eastAsia="zh-CN"/>
        </w:rPr>
        <w:t>针对绩效目标设定完整的绩效指标体系，建立健全定量和定性相结合的共性绩效指标框架，围绕决策、过程、产出、效益等方面，进一步建立和完善绩效评价指标体系；绩效指标和标准体系要突出结果导向，重点考核工作业绩；单项指标评价标准和预期值设定要细化并明确，做到科学量化便于实施，能够真实反映项目完成结果。</w:t>
      </w:r>
    </w:p>
    <w:p w14:paraId="2DEB2C99">
      <w:pPr>
        <w:pageBreakBefore w:val="0"/>
        <w:widowControl w:val="0"/>
        <w:kinsoku/>
        <w:wordWrap/>
        <w:overflowPunct/>
        <w:topLinePunct w:val="0"/>
        <w:autoSpaceDE/>
        <w:autoSpaceDN/>
        <w:bidi w:val="0"/>
        <w:adjustRightInd w:val="0"/>
        <w:snapToGrid w:val="0"/>
        <w:spacing w:line="600" w:lineRule="exact"/>
        <w:ind w:left="0" w:leftChars="0" w:right="0" w:firstLine="562" w:firstLineChars="200"/>
        <w:textAlignment w:val="auto"/>
        <w:outlineLvl w:val="9"/>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六、评价工作组人员名单及签字（姓名、工作单位、职务、职称）</w:t>
      </w:r>
    </w:p>
    <w:p w14:paraId="6DEFA94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仿宋" w:hAnsi="仿宋" w:eastAsia="仿宋" w:cs="仿宋"/>
          <w:b/>
          <w:bCs/>
          <w:sz w:val="28"/>
          <w:szCs w:val="28"/>
          <w:highlight w:val="none"/>
        </w:rPr>
      </w:pPr>
      <w:r>
        <w:rPr>
          <w:rFonts w:hint="eastAsia" w:ascii="仿宋" w:hAnsi="仿宋" w:eastAsia="仿宋" w:cs="仿宋"/>
          <w:b/>
          <w:bCs/>
          <w:sz w:val="28"/>
          <w:szCs w:val="28"/>
          <w:highlight w:val="none"/>
        </w:rPr>
        <w:t>评价工作组人员名单签字表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3232"/>
        <w:gridCol w:w="1541"/>
        <w:gridCol w:w="1595"/>
        <w:gridCol w:w="1580"/>
      </w:tblGrid>
      <w:tr w14:paraId="3A0A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dxa"/>
            <w:vAlign w:val="center"/>
          </w:tcPr>
          <w:p w14:paraId="64AEFFAB">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姓名</w:t>
            </w:r>
          </w:p>
        </w:tc>
        <w:tc>
          <w:tcPr>
            <w:tcW w:w="3232" w:type="dxa"/>
            <w:vAlign w:val="center"/>
          </w:tcPr>
          <w:p w14:paraId="2AACF6E6">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工作单位</w:t>
            </w:r>
          </w:p>
        </w:tc>
        <w:tc>
          <w:tcPr>
            <w:tcW w:w="1541" w:type="dxa"/>
            <w:vAlign w:val="center"/>
          </w:tcPr>
          <w:p w14:paraId="3629BFDA">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职务</w:t>
            </w:r>
          </w:p>
        </w:tc>
        <w:tc>
          <w:tcPr>
            <w:tcW w:w="1595" w:type="dxa"/>
            <w:vAlign w:val="center"/>
          </w:tcPr>
          <w:p w14:paraId="0B36D1B2">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职称</w:t>
            </w:r>
          </w:p>
        </w:tc>
        <w:tc>
          <w:tcPr>
            <w:tcW w:w="1580" w:type="dxa"/>
            <w:vAlign w:val="center"/>
          </w:tcPr>
          <w:p w14:paraId="5ECCACD9">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签字</w:t>
            </w:r>
          </w:p>
        </w:tc>
      </w:tr>
      <w:tr w14:paraId="4640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dxa"/>
            <w:vAlign w:val="center"/>
          </w:tcPr>
          <w:p w14:paraId="42910084">
            <w:pPr>
              <w:spacing w:line="540" w:lineRule="exact"/>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封</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lang w:eastAsia="zh-CN"/>
              </w:rPr>
              <w:t>丽</w:t>
            </w:r>
            <w:r>
              <w:rPr>
                <w:rFonts w:hint="eastAsia" w:ascii="仿宋" w:hAnsi="仿宋" w:eastAsia="仿宋" w:cs="仿宋"/>
                <w:sz w:val="24"/>
                <w:highlight w:val="none"/>
                <w:lang w:val="en-US" w:eastAsia="zh-CN"/>
              </w:rPr>
              <w:t xml:space="preserve">  </w:t>
            </w:r>
          </w:p>
        </w:tc>
        <w:tc>
          <w:tcPr>
            <w:tcW w:w="3232" w:type="dxa"/>
            <w:vAlign w:val="center"/>
          </w:tcPr>
          <w:p w14:paraId="5807754F">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河北方舟会计师事务所</w:t>
            </w:r>
          </w:p>
        </w:tc>
        <w:tc>
          <w:tcPr>
            <w:tcW w:w="1541" w:type="dxa"/>
            <w:vAlign w:val="center"/>
          </w:tcPr>
          <w:p w14:paraId="196897C2">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副所长</w:t>
            </w:r>
          </w:p>
        </w:tc>
        <w:tc>
          <w:tcPr>
            <w:tcW w:w="1595" w:type="dxa"/>
            <w:vAlign w:val="center"/>
          </w:tcPr>
          <w:p w14:paraId="470E1B33">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注册会计师</w:t>
            </w:r>
          </w:p>
        </w:tc>
        <w:tc>
          <w:tcPr>
            <w:tcW w:w="1580" w:type="dxa"/>
            <w:vAlign w:val="center"/>
          </w:tcPr>
          <w:p w14:paraId="4E472CD1">
            <w:pPr>
              <w:spacing w:line="540" w:lineRule="exact"/>
              <w:jc w:val="center"/>
              <w:rPr>
                <w:rFonts w:ascii="仿宋" w:hAnsi="仿宋" w:eastAsia="仿宋" w:cs="仿宋"/>
                <w:sz w:val="24"/>
                <w:highlight w:val="none"/>
              </w:rPr>
            </w:pPr>
          </w:p>
        </w:tc>
      </w:tr>
      <w:tr w14:paraId="4EA8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dxa"/>
            <w:vAlign w:val="center"/>
          </w:tcPr>
          <w:p w14:paraId="07467F43">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张运响</w:t>
            </w:r>
          </w:p>
        </w:tc>
        <w:tc>
          <w:tcPr>
            <w:tcW w:w="3232" w:type="dxa"/>
            <w:vAlign w:val="center"/>
          </w:tcPr>
          <w:p w14:paraId="398B351B">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河北方舟会计师事务所</w:t>
            </w:r>
          </w:p>
        </w:tc>
        <w:tc>
          <w:tcPr>
            <w:tcW w:w="1541" w:type="dxa"/>
            <w:vAlign w:val="center"/>
          </w:tcPr>
          <w:p w14:paraId="3D735578">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项目经理</w:t>
            </w:r>
          </w:p>
        </w:tc>
        <w:tc>
          <w:tcPr>
            <w:tcW w:w="1595" w:type="dxa"/>
            <w:vAlign w:val="center"/>
          </w:tcPr>
          <w:p w14:paraId="2A4A7C1C">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中级会计师</w:t>
            </w:r>
          </w:p>
        </w:tc>
        <w:tc>
          <w:tcPr>
            <w:tcW w:w="1580" w:type="dxa"/>
            <w:vAlign w:val="center"/>
          </w:tcPr>
          <w:p w14:paraId="50BE9383">
            <w:pPr>
              <w:spacing w:line="540" w:lineRule="exact"/>
              <w:jc w:val="center"/>
              <w:rPr>
                <w:rFonts w:ascii="仿宋" w:hAnsi="仿宋" w:eastAsia="仿宋" w:cs="仿宋"/>
                <w:sz w:val="24"/>
                <w:highlight w:val="none"/>
              </w:rPr>
            </w:pPr>
          </w:p>
        </w:tc>
      </w:tr>
      <w:tr w14:paraId="0140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6" w:type="dxa"/>
            <w:vAlign w:val="center"/>
          </w:tcPr>
          <w:p w14:paraId="7ED9DDE0">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王</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颖</w:t>
            </w:r>
          </w:p>
        </w:tc>
        <w:tc>
          <w:tcPr>
            <w:tcW w:w="3232" w:type="dxa"/>
            <w:vAlign w:val="center"/>
          </w:tcPr>
          <w:p w14:paraId="145B2E28">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河北方舟会计师事务所</w:t>
            </w:r>
          </w:p>
        </w:tc>
        <w:tc>
          <w:tcPr>
            <w:tcW w:w="1541" w:type="dxa"/>
            <w:vAlign w:val="center"/>
          </w:tcPr>
          <w:p w14:paraId="67C8B37D">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项目经理</w:t>
            </w:r>
          </w:p>
        </w:tc>
        <w:tc>
          <w:tcPr>
            <w:tcW w:w="1595" w:type="dxa"/>
            <w:vAlign w:val="center"/>
          </w:tcPr>
          <w:p w14:paraId="38C2AAE8">
            <w:pPr>
              <w:spacing w:line="540" w:lineRule="exact"/>
              <w:jc w:val="center"/>
              <w:rPr>
                <w:rFonts w:ascii="仿宋" w:hAnsi="仿宋" w:eastAsia="仿宋" w:cs="仿宋"/>
                <w:sz w:val="24"/>
                <w:highlight w:val="none"/>
              </w:rPr>
            </w:pPr>
            <w:r>
              <w:rPr>
                <w:rFonts w:hint="eastAsia" w:ascii="仿宋" w:hAnsi="仿宋" w:eastAsia="仿宋" w:cs="仿宋"/>
                <w:sz w:val="24"/>
                <w:highlight w:val="none"/>
              </w:rPr>
              <w:t>中级会计师</w:t>
            </w:r>
          </w:p>
        </w:tc>
        <w:tc>
          <w:tcPr>
            <w:tcW w:w="1580" w:type="dxa"/>
            <w:vAlign w:val="center"/>
          </w:tcPr>
          <w:p w14:paraId="7C9C3ECE">
            <w:pPr>
              <w:spacing w:line="540" w:lineRule="exact"/>
              <w:jc w:val="center"/>
              <w:rPr>
                <w:rFonts w:ascii="仿宋" w:hAnsi="仿宋" w:eastAsia="仿宋" w:cs="仿宋"/>
                <w:sz w:val="24"/>
                <w:highlight w:val="none"/>
              </w:rPr>
            </w:pPr>
          </w:p>
        </w:tc>
      </w:tr>
    </w:tbl>
    <w:p w14:paraId="63356146">
      <w:pPr>
        <w:widowControl w:val="0"/>
        <w:wordWrap/>
        <w:spacing w:line="560" w:lineRule="exact"/>
        <w:ind w:left="0" w:leftChars="0" w:right="0"/>
        <w:textAlignment w:val="auto"/>
        <w:outlineLvl w:val="9"/>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 xml:space="preserve">    </w:t>
      </w:r>
    </w:p>
    <w:p w14:paraId="72CF4BE4">
      <w:pPr>
        <w:keepNext w:val="0"/>
        <w:keepLines w:val="0"/>
        <w:widowControl/>
        <w:suppressLineNumbers w:val="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 xml:space="preserve">附件1：           </w:t>
      </w:r>
    </w:p>
    <w:p w14:paraId="1825DCEA">
      <w:pPr>
        <w:keepNext w:val="0"/>
        <w:keepLines w:val="0"/>
        <w:widowControl/>
        <w:suppressLineNumbers w:val="0"/>
        <w:jc w:val="center"/>
        <w:rPr>
          <w:rFonts w:hint="default" w:ascii="仿宋" w:hAnsi="仿宋" w:eastAsia="仿宋"/>
          <w:sz w:val="32"/>
          <w:szCs w:val="32"/>
          <w:highlight w:val="none"/>
          <w:lang w:val="en-US" w:eastAsia="zh-CN"/>
        </w:rPr>
      </w:pPr>
      <w:r>
        <w:rPr>
          <w:rFonts w:ascii="仿宋" w:hAnsi="仿宋" w:eastAsia="仿宋" w:cs="仿宋"/>
          <w:b/>
          <w:color w:val="000000"/>
          <w:kern w:val="0"/>
          <w:sz w:val="32"/>
          <w:szCs w:val="32"/>
          <w:highlight w:val="none"/>
          <w:lang w:val="en-US" w:eastAsia="zh-CN" w:bidi="ar"/>
        </w:rPr>
        <w:t>部门整体支出绩效评价指标评分表</w:t>
      </w:r>
    </w:p>
    <w:tbl>
      <w:tblPr>
        <w:tblStyle w:val="12"/>
        <w:tblW w:w="8895" w:type="dxa"/>
        <w:jc w:val="center"/>
        <w:tblLayout w:type="fixed"/>
        <w:tblCellMar>
          <w:top w:w="0" w:type="dxa"/>
          <w:left w:w="0" w:type="dxa"/>
          <w:bottom w:w="0" w:type="dxa"/>
          <w:right w:w="0" w:type="dxa"/>
        </w:tblCellMar>
      </w:tblPr>
      <w:tblGrid>
        <w:gridCol w:w="1215"/>
        <w:gridCol w:w="1331"/>
        <w:gridCol w:w="2101"/>
        <w:gridCol w:w="3329"/>
        <w:gridCol w:w="919"/>
      </w:tblGrid>
      <w:tr w14:paraId="3B3B174D">
        <w:tblPrEx>
          <w:tblCellMar>
            <w:top w:w="0" w:type="dxa"/>
            <w:left w:w="0" w:type="dxa"/>
            <w:bottom w:w="0" w:type="dxa"/>
            <w:right w:w="0" w:type="dxa"/>
          </w:tblCellMar>
        </w:tblPrEx>
        <w:trPr>
          <w:trHeight w:val="400" w:hRule="atLeast"/>
          <w:jc w:val="center"/>
        </w:trPr>
        <w:tc>
          <w:tcPr>
            <w:tcW w:w="12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3440DB">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kern w:val="0"/>
                <w:sz w:val="24"/>
                <w:szCs w:val="24"/>
                <w:highlight w:val="none"/>
                <w:lang w:bidi="ar"/>
              </w:rPr>
              <w:t>一级指标</w:t>
            </w:r>
          </w:p>
        </w:tc>
        <w:tc>
          <w:tcPr>
            <w:tcW w:w="13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83C6DB">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kern w:val="0"/>
                <w:sz w:val="24"/>
                <w:szCs w:val="24"/>
                <w:highlight w:val="none"/>
                <w:lang w:bidi="ar"/>
              </w:rPr>
              <w:t>二级指标</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AB99BC">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kern w:val="0"/>
                <w:sz w:val="24"/>
                <w:szCs w:val="24"/>
                <w:highlight w:val="none"/>
                <w:lang w:bidi="ar"/>
              </w:rPr>
              <w:t>三级指标</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264582">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kern w:val="0"/>
                <w:sz w:val="24"/>
                <w:szCs w:val="24"/>
                <w:highlight w:val="none"/>
                <w:lang w:bidi="ar"/>
              </w:rPr>
              <w:t>评分标准</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DA1B49">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kern w:val="0"/>
                <w:sz w:val="24"/>
                <w:szCs w:val="24"/>
                <w:highlight w:val="none"/>
                <w:lang w:bidi="ar"/>
              </w:rPr>
              <w:t>得分</w:t>
            </w:r>
          </w:p>
        </w:tc>
      </w:tr>
      <w:tr w14:paraId="187041A2">
        <w:tblPrEx>
          <w:tblCellMar>
            <w:top w:w="0" w:type="dxa"/>
            <w:left w:w="0" w:type="dxa"/>
            <w:bottom w:w="0" w:type="dxa"/>
            <w:right w:w="0" w:type="dxa"/>
          </w:tblCellMar>
        </w:tblPrEx>
        <w:trPr>
          <w:trHeight w:val="1120" w:hRule="atLeast"/>
          <w:jc w:val="center"/>
        </w:trPr>
        <w:tc>
          <w:tcPr>
            <w:tcW w:w="1215"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FA173D">
            <w:pPr>
              <w:widowControl/>
              <w:jc w:val="center"/>
              <w:textAlignment w:val="center"/>
              <w:rPr>
                <w:rFonts w:hint="eastAsia" w:ascii="仿宋" w:hAnsi="仿宋" w:eastAsia="仿宋" w:cs="仿宋"/>
                <w:b/>
                <w:bCs/>
                <w:color w:val="000000"/>
                <w:kern w:val="0"/>
                <w:sz w:val="24"/>
                <w:szCs w:val="24"/>
                <w:highlight w:val="none"/>
                <w:lang w:eastAsia="zh-CN" w:bidi="ar"/>
              </w:rPr>
            </w:pPr>
            <w:r>
              <w:rPr>
                <w:rFonts w:hint="eastAsia" w:ascii="仿宋" w:hAnsi="仿宋" w:eastAsia="仿宋" w:cs="仿宋"/>
                <w:b/>
                <w:bCs/>
                <w:color w:val="000000"/>
                <w:kern w:val="0"/>
                <w:sz w:val="24"/>
                <w:szCs w:val="24"/>
                <w:highlight w:val="none"/>
                <w:lang w:bidi="ar"/>
              </w:rPr>
              <w:t>决策</w:t>
            </w:r>
            <w:r>
              <w:rPr>
                <w:rFonts w:hint="eastAsia" w:ascii="仿宋" w:hAnsi="仿宋" w:eastAsia="仿宋" w:cs="仿宋"/>
                <w:b/>
                <w:bCs/>
                <w:color w:val="000000"/>
                <w:kern w:val="0"/>
                <w:sz w:val="24"/>
                <w:szCs w:val="24"/>
                <w:highlight w:val="none"/>
                <w:lang w:eastAsia="zh-CN" w:bidi="ar"/>
              </w:rPr>
              <w:t>指标</w:t>
            </w:r>
          </w:p>
          <w:p w14:paraId="36576B5E">
            <w:pPr>
              <w:widowControl/>
              <w:jc w:val="center"/>
              <w:textAlignment w:val="center"/>
              <w:rPr>
                <w:rFonts w:hint="eastAsia" w:ascii="仿宋" w:hAnsi="仿宋" w:eastAsia="仿宋" w:cs="仿宋"/>
                <w:b/>
                <w:color w:val="000000"/>
                <w:kern w:val="0"/>
                <w:sz w:val="24"/>
                <w:szCs w:val="24"/>
                <w:highlight w:val="none"/>
                <w:lang w:bidi="ar"/>
              </w:rPr>
            </w:pPr>
            <w:r>
              <w:rPr>
                <w:rFonts w:hint="eastAsia" w:ascii="仿宋" w:hAnsi="仿宋" w:eastAsia="仿宋" w:cs="仿宋"/>
                <w:b/>
                <w:bCs/>
                <w:color w:val="000000"/>
                <w:kern w:val="0"/>
                <w:sz w:val="24"/>
                <w:szCs w:val="24"/>
                <w:highlight w:val="none"/>
                <w:lang w:bidi="ar"/>
              </w:rPr>
              <w:t>（</w:t>
            </w:r>
            <w:r>
              <w:rPr>
                <w:rFonts w:hint="eastAsia" w:ascii="仿宋" w:hAnsi="仿宋" w:eastAsia="仿宋" w:cs="仿宋"/>
                <w:b/>
                <w:bCs/>
                <w:color w:val="000000"/>
                <w:kern w:val="0"/>
                <w:sz w:val="24"/>
                <w:szCs w:val="24"/>
                <w:highlight w:val="none"/>
                <w:lang w:val="en-US" w:eastAsia="zh-CN" w:bidi="ar"/>
              </w:rPr>
              <w:t>10</w:t>
            </w:r>
            <w:r>
              <w:rPr>
                <w:rFonts w:hint="eastAsia" w:ascii="仿宋" w:hAnsi="仿宋" w:eastAsia="仿宋" w:cs="仿宋"/>
                <w:b/>
                <w:bCs/>
                <w:color w:val="000000"/>
                <w:kern w:val="0"/>
                <w:sz w:val="24"/>
                <w:szCs w:val="24"/>
                <w:highlight w:val="none"/>
                <w:lang w:bidi="ar"/>
              </w:rPr>
              <w:t>分）</w:t>
            </w:r>
          </w:p>
        </w:tc>
        <w:tc>
          <w:tcPr>
            <w:tcW w:w="1331"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7BB6D7C">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绩效目标</w:t>
            </w:r>
          </w:p>
          <w:p w14:paraId="3664DB56">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（5分）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030801">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绩效目标合理性</w:t>
            </w:r>
          </w:p>
          <w:p w14:paraId="01F6D425">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263937">
            <w:pPr>
              <w:widowControl/>
              <w:ind w:firstLine="0" w:firstLineChars="0"/>
              <w:textAlignment w:val="center"/>
              <w:rPr>
                <w:rFonts w:hint="eastAsia" w:ascii="仿宋" w:hAnsi="仿宋" w:eastAsia="仿宋" w:cs="仿宋"/>
                <w:b/>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eastAsia="zh-CN" w:bidi="ar"/>
              </w:rPr>
              <w:t>部门整体</w:t>
            </w:r>
            <w:r>
              <w:rPr>
                <w:rFonts w:hint="eastAsia" w:ascii="仿宋" w:hAnsi="仿宋" w:eastAsia="仿宋" w:cs="仿宋"/>
                <w:color w:val="000000"/>
                <w:kern w:val="0"/>
                <w:sz w:val="24"/>
                <w:szCs w:val="24"/>
                <w:highlight w:val="none"/>
                <w:lang w:bidi="ar"/>
              </w:rPr>
              <w:t>所设定的绩效目标依据充分，符合客观实际，</w:t>
            </w:r>
            <w:r>
              <w:rPr>
                <w:rFonts w:hint="eastAsia" w:ascii="仿宋" w:hAnsi="仿宋" w:eastAsia="仿宋" w:cs="仿宋"/>
                <w:color w:val="000000"/>
                <w:kern w:val="0"/>
                <w:sz w:val="24"/>
                <w:szCs w:val="24"/>
                <w:highlight w:val="none"/>
                <w:lang w:eastAsia="zh-CN" w:bidi="ar"/>
              </w:rPr>
              <w:t>是得</w:t>
            </w:r>
            <w:r>
              <w:rPr>
                <w:rFonts w:hint="eastAsia" w:ascii="仿宋" w:hAnsi="仿宋" w:eastAsia="仿宋" w:cs="仿宋"/>
                <w:color w:val="000000"/>
                <w:kern w:val="0"/>
                <w:sz w:val="24"/>
                <w:szCs w:val="24"/>
                <w:highlight w:val="none"/>
                <w:lang w:val="en-US" w:eastAsia="zh-CN" w:bidi="ar"/>
              </w:rPr>
              <w:t>2.5分，否不得分。</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CE7A2F">
            <w:pPr>
              <w:widowControl/>
              <w:jc w:val="center"/>
              <w:textAlignment w:val="center"/>
              <w:rPr>
                <w:rFonts w:hint="eastAsia"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2.5</w:t>
            </w:r>
          </w:p>
        </w:tc>
      </w:tr>
      <w:tr w14:paraId="785E89AB">
        <w:tblPrEx>
          <w:tblCellMar>
            <w:top w:w="0" w:type="dxa"/>
            <w:left w:w="0" w:type="dxa"/>
            <w:bottom w:w="0" w:type="dxa"/>
            <w:right w:w="0" w:type="dxa"/>
          </w:tblCellMar>
        </w:tblPrEx>
        <w:trPr>
          <w:trHeight w:val="1223" w:hRule="atLeast"/>
          <w:jc w:val="center"/>
        </w:trPr>
        <w:tc>
          <w:tcPr>
            <w:tcW w:w="12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CEB495">
            <w:pPr>
              <w:spacing w:line="440" w:lineRule="exact"/>
              <w:ind w:firstLine="0" w:firstLineChars="0"/>
              <w:jc w:val="center"/>
              <w:rPr>
                <w:rFonts w:hint="eastAsia" w:ascii="仿宋" w:hAnsi="仿宋" w:eastAsia="仿宋" w:cs="仿宋"/>
                <w:b/>
                <w:color w:val="000000"/>
                <w:kern w:val="0"/>
                <w:sz w:val="24"/>
                <w:szCs w:val="24"/>
                <w:highlight w:val="none"/>
                <w:lang w:bidi="ar"/>
              </w:rPr>
            </w:pPr>
          </w:p>
        </w:tc>
        <w:tc>
          <w:tcPr>
            <w:tcW w:w="1331" w:type="dxa"/>
            <w:vMerge w:val="continue"/>
            <w:tcBorders>
              <w:left w:val="single" w:color="000000" w:sz="4" w:space="0"/>
              <w:right w:val="single" w:color="000000" w:sz="4" w:space="0"/>
            </w:tcBorders>
            <w:tcMar>
              <w:top w:w="15" w:type="dxa"/>
              <w:left w:w="15" w:type="dxa"/>
              <w:right w:w="15" w:type="dxa"/>
            </w:tcMar>
            <w:vAlign w:val="center"/>
          </w:tcPr>
          <w:p w14:paraId="79FD788C">
            <w:pPr>
              <w:widowControl/>
              <w:jc w:val="center"/>
              <w:textAlignment w:val="center"/>
              <w:rPr>
                <w:rFonts w:hint="eastAsia" w:ascii="仿宋" w:hAnsi="仿宋" w:eastAsia="仿宋" w:cs="仿宋"/>
                <w:color w:val="000000"/>
                <w:kern w:val="0"/>
                <w:sz w:val="24"/>
                <w:szCs w:val="24"/>
                <w:highlight w:val="none"/>
                <w:lang w:val="en-US" w:eastAsia="zh-CN" w:bidi="ar"/>
              </w:rPr>
            </w:pP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FC3A85">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绩效指标明确性</w:t>
            </w:r>
          </w:p>
          <w:p w14:paraId="45B1C121">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76D2BE">
            <w:pPr>
              <w:widowControl/>
              <w:ind w:firstLine="0" w:firstLineChars="0"/>
              <w:textAlignment w:val="center"/>
              <w:rPr>
                <w:rFonts w:hint="eastAsia" w:ascii="仿宋" w:hAnsi="仿宋" w:eastAsia="仿宋" w:cs="仿宋"/>
                <w:b/>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依据绩效目标设定的绩效指标清晰、细化、可衡量等，</w:t>
            </w:r>
            <w:r>
              <w:rPr>
                <w:rFonts w:hint="eastAsia" w:ascii="仿宋" w:hAnsi="仿宋" w:eastAsia="仿宋" w:cs="仿宋"/>
                <w:color w:val="000000"/>
                <w:kern w:val="0"/>
                <w:sz w:val="24"/>
                <w:szCs w:val="24"/>
                <w:highlight w:val="none"/>
                <w:lang w:eastAsia="zh-CN" w:bidi="ar"/>
              </w:rPr>
              <w:t>是得</w:t>
            </w:r>
            <w:r>
              <w:rPr>
                <w:rFonts w:hint="eastAsia" w:ascii="仿宋" w:hAnsi="仿宋" w:eastAsia="仿宋" w:cs="仿宋"/>
                <w:color w:val="000000"/>
                <w:kern w:val="0"/>
                <w:sz w:val="24"/>
                <w:szCs w:val="24"/>
                <w:highlight w:val="none"/>
                <w:lang w:val="en-US" w:eastAsia="zh-CN" w:bidi="ar"/>
              </w:rPr>
              <w:t>2.5分，否不得分。</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503E2A">
            <w:pPr>
              <w:widowControl/>
              <w:jc w:val="center"/>
              <w:textAlignment w:val="center"/>
              <w:rPr>
                <w:rFonts w:hint="eastAsia"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1.5</w:t>
            </w:r>
          </w:p>
        </w:tc>
      </w:tr>
      <w:tr w14:paraId="1A372290">
        <w:tblPrEx>
          <w:tblCellMar>
            <w:top w:w="0" w:type="dxa"/>
            <w:left w:w="0" w:type="dxa"/>
            <w:bottom w:w="0" w:type="dxa"/>
            <w:right w:w="0" w:type="dxa"/>
          </w:tblCellMar>
        </w:tblPrEx>
        <w:trPr>
          <w:trHeight w:val="1223" w:hRule="atLeast"/>
          <w:jc w:val="center"/>
        </w:trPr>
        <w:tc>
          <w:tcPr>
            <w:tcW w:w="12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D510AF">
            <w:pPr>
              <w:spacing w:line="440" w:lineRule="exact"/>
              <w:ind w:firstLine="0" w:firstLineChars="0"/>
              <w:jc w:val="center"/>
              <w:rPr>
                <w:rFonts w:hint="eastAsia" w:ascii="仿宋" w:hAnsi="仿宋" w:eastAsia="仿宋" w:cs="仿宋"/>
                <w:b/>
                <w:color w:val="000000"/>
                <w:kern w:val="0"/>
                <w:sz w:val="24"/>
                <w:szCs w:val="24"/>
                <w:highlight w:val="none"/>
                <w:lang w:bidi="ar"/>
              </w:rPr>
            </w:pPr>
          </w:p>
        </w:tc>
        <w:tc>
          <w:tcPr>
            <w:tcW w:w="133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557851">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预算配置</w:t>
            </w:r>
          </w:p>
          <w:p w14:paraId="7FABEF76">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（5分）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0892F0">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预算编制科学性</w:t>
            </w:r>
          </w:p>
          <w:p w14:paraId="3EAA65D1">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F3F024">
            <w:pPr>
              <w:widowControl/>
              <w:ind w:firstLine="0" w:firstLineChars="0"/>
              <w:textAlignment w:val="center"/>
              <w:rPr>
                <w:rFonts w:hint="eastAsia" w:ascii="仿宋" w:hAnsi="仿宋" w:eastAsia="仿宋" w:cs="仿宋"/>
                <w:b/>
                <w:color w:val="000000"/>
                <w:kern w:val="0"/>
                <w:sz w:val="24"/>
                <w:szCs w:val="24"/>
                <w:highlight w:val="none"/>
                <w:lang w:bidi="ar"/>
              </w:rPr>
            </w:pPr>
            <w:r>
              <w:rPr>
                <w:rFonts w:hint="eastAsia" w:ascii="仿宋" w:hAnsi="仿宋" w:eastAsia="仿宋" w:cs="仿宋"/>
                <w:color w:val="000000"/>
                <w:kern w:val="0"/>
                <w:sz w:val="24"/>
                <w:szCs w:val="24"/>
                <w:highlight w:val="none"/>
                <w:lang w:bidi="ar"/>
              </w:rPr>
              <w:t>预算编制经过科学论证、有明确标准，资金额度与年度目标相适应，</w:t>
            </w:r>
            <w:r>
              <w:rPr>
                <w:rFonts w:hint="eastAsia" w:ascii="仿宋" w:hAnsi="仿宋" w:eastAsia="仿宋" w:cs="仿宋"/>
                <w:color w:val="000000"/>
                <w:kern w:val="0"/>
                <w:sz w:val="24"/>
                <w:szCs w:val="24"/>
                <w:highlight w:val="none"/>
                <w:lang w:eastAsia="zh-CN" w:bidi="ar"/>
              </w:rPr>
              <w:t>是得</w:t>
            </w:r>
            <w:r>
              <w:rPr>
                <w:rFonts w:hint="eastAsia" w:ascii="仿宋" w:hAnsi="仿宋" w:eastAsia="仿宋" w:cs="仿宋"/>
                <w:color w:val="000000"/>
                <w:kern w:val="0"/>
                <w:sz w:val="24"/>
                <w:szCs w:val="24"/>
                <w:highlight w:val="none"/>
                <w:lang w:val="en-US" w:eastAsia="zh-CN" w:bidi="ar"/>
              </w:rPr>
              <w:t>2.5分，否不得分。</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335E2D">
            <w:pPr>
              <w:widowControl/>
              <w:jc w:val="center"/>
              <w:textAlignment w:val="center"/>
              <w:rPr>
                <w:rFonts w:hint="eastAsia"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2.5</w:t>
            </w:r>
          </w:p>
        </w:tc>
      </w:tr>
      <w:tr w14:paraId="795E4055">
        <w:tblPrEx>
          <w:tblCellMar>
            <w:top w:w="0" w:type="dxa"/>
            <w:left w:w="0" w:type="dxa"/>
            <w:bottom w:w="0" w:type="dxa"/>
            <w:right w:w="0" w:type="dxa"/>
          </w:tblCellMar>
        </w:tblPrEx>
        <w:trPr>
          <w:trHeight w:val="1166" w:hRule="atLeast"/>
          <w:jc w:val="center"/>
        </w:trPr>
        <w:tc>
          <w:tcPr>
            <w:tcW w:w="12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A87B6">
            <w:pPr>
              <w:spacing w:line="440" w:lineRule="exact"/>
              <w:ind w:firstLine="0" w:firstLineChars="0"/>
              <w:jc w:val="center"/>
              <w:rPr>
                <w:rFonts w:hint="eastAsia" w:ascii="仿宋" w:hAnsi="仿宋" w:eastAsia="仿宋" w:cs="仿宋"/>
                <w:b/>
                <w:color w:val="000000"/>
                <w:kern w:val="0"/>
                <w:sz w:val="24"/>
                <w:szCs w:val="24"/>
                <w:highlight w:val="none"/>
                <w:lang w:bidi="ar"/>
              </w:rPr>
            </w:pPr>
          </w:p>
        </w:tc>
        <w:tc>
          <w:tcPr>
            <w:tcW w:w="133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315A2A">
            <w:pPr>
              <w:widowControl/>
              <w:ind w:firstLine="240" w:firstLineChars="100"/>
              <w:jc w:val="both"/>
              <w:textAlignment w:val="center"/>
              <w:rPr>
                <w:rFonts w:hint="eastAsia" w:ascii="仿宋" w:hAnsi="仿宋" w:eastAsia="仿宋" w:cs="仿宋"/>
                <w:color w:val="000000"/>
                <w:kern w:val="0"/>
                <w:sz w:val="24"/>
                <w:szCs w:val="24"/>
                <w:highlight w:val="none"/>
                <w:lang w:val="en-US" w:eastAsia="zh-CN" w:bidi="ar"/>
              </w:rPr>
            </w:pP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48482E">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资金分配合理性</w:t>
            </w:r>
          </w:p>
          <w:p w14:paraId="5B0E08DB">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87AA71">
            <w:pPr>
              <w:widowControl/>
              <w:ind w:firstLine="0" w:firstLineChars="0"/>
              <w:textAlignment w:val="center"/>
              <w:rPr>
                <w:rFonts w:hint="eastAsia" w:ascii="仿宋" w:hAnsi="仿宋" w:eastAsia="仿宋" w:cs="仿宋"/>
                <w:b/>
                <w:color w:val="000000"/>
                <w:kern w:val="0"/>
                <w:sz w:val="24"/>
                <w:szCs w:val="24"/>
                <w:highlight w:val="none"/>
                <w:lang w:bidi="ar"/>
              </w:rPr>
            </w:pPr>
            <w:r>
              <w:rPr>
                <w:rFonts w:hint="eastAsia" w:ascii="仿宋" w:hAnsi="仿宋" w:eastAsia="仿宋" w:cs="仿宋"/>
                <w:color w:val="000000"/>
                <w:kern w:val="0"/>
                <w:sz w:val="24"/>
                <w:szCs w:val="24"/>
                <w:highlight w:val="none"/>
                <w:lang w:bidi="ar"/>
              </w:rPr>
              <w:t>预算资金分配有测算依据，与实际相适应，</w:t>
            </w:r>
            <w:r>
              <w:rPr>
                <w:rFonts w:hint="eastAsia" w:ascii="仿宋" w:hAnsi="仿宋" w:eastAsia="仿宋" w:cs="仿宋"/>
                <w:color w:val="000000"/>
                <w:kern w:val="0"/>
                <w:sz w:val="24"/>
                <w:szCs w:val="24"/>
                <w:highlight w:val="none"/>
                <w:lang w:eastAsia="zh-CN" w:bidi="ar"/>
              </w:rPr>
              <w:t>是得</w:t>
            </w:r>
            <w:r>
              <w:rPr>
                <w:rFonts w:hint="eastAsia" w:ascii="仿宋" w:hAnsi="仿宋" w:eastAsia="仿宋" w:cs="仿宋"/>
                <w:color w:val="000000"/>
                <w:kern w:val="0"/>
                <w:sz w:val="24"/>
                <w:szCs w:val="24"/>
                <w:highlight w:val="none"/>
                <w:lang w:val="en-US" w:eastAsia="zh-CN" w:bidi="ar"/>
              </w:rPr>
              <w:t>2.5分，否不得分。</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1411D7">
            <w:pPr>
              <w:widowControl/>
              <w:jc w:val="center"/>
              <w:textAlignment w:val="center"/>
              <w:rPr>
                <w:rFonts w:hint="eastAsia"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2.5</w:t>
            </w:r>
          </w:p>
        </w:tc>
      </w:tr>
      <w:tr w14:paraId="3FAC1F97">
        <w:tblPrEx>
          <w:tblCellMar>
            <w:top w:w="0" w:type="dxa"/>
            <w:left w:w="0" w:type="dxa"/>
            <w:bottom w:w="0" w:type="dxa"/>
            <w:right w:w="0" w:type="dxa"/>
          </w:tblCellMar>
        </w:tblPrEx>
        <w:trPr>
          <w:trHeight w:val="1066" w:hRule="atLeast"/>
          <w:jc w:val="center"/>
        </w:trPr>
        <w:tc>
          <w:tcPr>
            <w:tcW w:w="1215"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21281AD0">
            <w:pPr>
              <w:spacing w:line="440" w:lineRule="exact"/>
              <w:ind w:firstLine="0" w:firstLineChars="0"/>
              <w:jc w:val="center"/>
              <w:rPr>
                <w:rFonts w:hint="eastAsia" w:ascii="仿宋" w:hAnsi="仿宋" w:eastAsia="仿宋" w:cs="仿宋"/>
                <w:b/>
                <w:bCs/>
                <w:color w:val="000000"/>
                <w:kern w:val="0"/>
                <w:sz w:val="24"/>
                <w:szCs w:val="24"/>
                <w:highlight w:val="none"/>
                <w:lang w:eastAsia="zh-CN" w:bidi="ar"/>
              </w:rPr>
            </w:pPr>
            <w:r>
              <w:rPr>
                <w:rFonts w:hint="eastAsia" w:ascii="仿宋" w:hAnsi="仿宋" w:eastAsia="仿宋" w:cs="仿宋"/>
                <w:b/>
                <w:bCs/>
                <w:color w:val="000000"/>
                <w:kern w:val="0"/>
                <w:sz w:val="24"/>
                <w:szCs w:val="24"/>
                <w:highlight w:val="none"/>
                <w:lang w:eastAsia="zh-CN" w:bidi="ar"/>
              </w:rPr>
              <w:t>管理指标</w:t>
            </w:r>
          </w:p>
          <w:p w14:paraId="60FCE0DE">
            <w:pPr>
              <w:spacing w:line="440" w:lineRule="exact"/>
              <w:ind w:firstLine="0" w:firstLineChars="0"/>
              <w:jc w:val="center"/>
              <w:rPr>
                <w:rFonts w:hint="eastAsia" w:ascii="仿宋" w:hAnsi="仿宋" w:eastAsia="仿宋" w:cs="仿宋"/>
                <w:b/>
                <w:color w:val="000000"/>
                <w:kern w:val="0"/>
                <w:sz w:val="24"/>
                <w:szCs w:val="24"/>
                <w:highlight w:val="none"/>
                <w:lang w:bidi="ar"/>
              </w:rPr>
            </w:pPr>
            <w:r>
              <w:rPr>
                <w:rFonts w:hint="eastAsia" w:ascii="仿宋" w:hAnsi="仿宋" w:eastAsia="仿宋" w:cs="仿宋"/>
                <w:b/>
                <w:bCs/>
                <w:color w:val="000000"/>
                <w:kern w:val="0"/>
                <w:sz w:val="24"/>
                <w:szCs w:val="24"/>
                <w:highlight w:val="none"/>
                <w:lang w:bidi="ar"/>
              </w:rPr>
              <w:t>（</w:t>
            </w:r>
            <w:r>
              <w:rPr>
                <w:rFonts w:hint="eastAsia" w:ascii="仿宋" w:hAnsi="仿宋" w:eastAsia="仿宋" w:cs="仿宋"/>
                <w:b/>
                <w:bCs/>
                <w:color w:val="000000"/>
                <w:kern w:val="0"/>
                <w:sz w:val="24"/>
                <w:szCs w:val="24"/>
                <w:highlight w:val="none"/>
                <w:lang w:val="en-US" w:eastAsia="zh-CN" w:bidi="ar"/>
              </w:rPr>
              <w:t>30</w:t>
            </w:r>
            <w:r>
              <w:rPr>
                <w:rFonts w:hint="eastAsia" w:ascii="仿宋" w:hAnsi="仿宋" w:eastAsia="仿宋" w:cs="仿宋"/>
                <w:b/>
                <w:bCs/>
                <w:color w:val="000000"/>
                <w:kern w:val="0"/>
                <w:sz w:val="24"/>
                <w:szCs w:val="24"/>
                <w:highlight w:val="none"/>
                <w:lang w:bidi="ar"/>
              </w:rPr>
              <w:t>分）</w:t>
            </w:r>
          </w:p>
        </w:tc>
        <w:tc>
          <w:tcPr>
            <w:tcW w:w="1331"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4D96F15">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预算管理（20分）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3687DA">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kern w:val="0"/>
                <w:sz w:val="24"/>
                <w:szCs w:val="24"/>
                <w:highlight w:val="none"/>
                <w:lang w:eastAsia="zh-CN"/>
              </w:rPr>
              <w:t>公用经费控制</w:t>
            </w:r>
            <w:r>
              <w:rPr>
                <w:rFonts w:hint="eastAsia" w:ascii="仿宋" w:hAnsi="仿宋" w:eastAsia="仿宋" w:cs="仿宋"/>
                <w:kern w:val="0"/>
                <w:sz w:val="24"/>
                <w:szCs w:val="24"/>
                <w:highlight w:val="none"/>
              </w:rPr>
              <w:t>率</w:t>
            </w:r>
          </w:p>
          <w:p w14:paraId="311E4892">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F22CD6">
            <w:pPr>
              <w:widowControl/>
              <w:ind w:firstLine="0" w:firstLineChars="0"/>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kern w:val="0"/>
                <w:sz w:val="24"/>
                <w:szCs w:val="24"/>
                <w:highlight w:val="none"/>
                <w:lang w:eastAsia="zh-CN"/>
              </w:rPr>
              <w:t>公用经费控制率</w:t>
            </w:r>
            <w:r>
              <w:rPr>
                <w:rFonts w:hint="eastAsia" w:ascii="仿宋" w:hAnsi="仿宋" w:eastAsia="仿宋" w:cs="仿宋"/>
                <w:kern w:val="0"/>
                <w:sz w:val="24"/>
                <w:szCs w:val="24"/>
                <w:highlight w:val="none"/>
              </w:rPr>
              <w:t>率≦</w:t>
            </w:r>
            <w:r>
              <w:rPr>
                <w:rFonts w:hint="eastAsia" w:ascii="仿宋" w:hAnsi="仿宋" w:eastAsia="仿宋" w:cs="仿宋"/>
                <w:kern w:val="0"/>
                <w:sz w:val="24"/>
                <w:szCs w:val="24"/>
                <w:highlight w:val="none"/>
                <w:lang w:val="en-US" w:eastAsia="zh-CN"/>
              </w:rPr>
              <w:t>9</w:t>
            </w:r>
            <w:r>
              <w:rPr>
                <w:rFonts w:hint="eastAsia" w:ascii="仿宋" w:hAnsi="仿宋" w:eastAsia="仿宋" w:cs="仿宋"/>
                <w:kern w:val="0"/>
                <w:sz w:val="24"/>
                <w:szCs w:val="24"/>
                <w:highlight w:val="none"/>
              </w:rPr>
              <w:t>0</w:t>
            </w:r>
            <w:r>
              <w:rPr>
                <w:rFonts w:hint="eastAsia" w:ascii="仿宋" w:hAnsi="仿宋" w:eastAsia="仿宋" w:cs="仿宋"/>
                <w:kern w:val="0"/>
                <w:sz w:val="24"/>
                <w:szCs w:val="24"/>
                <w:highlight w:val="none"/>
                <w:lang w:val="en-US" w:eastAsia="zh-CN"/>
              </w:rPr>
              <w:t>%</w:t>
            </w:r>
            <w:r>
              <w:rPr>
                <w:rFonts w:hint="eastAsia" w:ascii="仿宋" w:hAnsi="仿宋" w:eastAsia="仿宋" w:cs="仿宋"/>
                <w:kern w:val="0"/>
                <w:sz w:val="24"/>
                <w:szCs w:val="24"/>
                <w:highlight w:val="none"/>
              </w:rPr>
              <w:t>,计</w:t>
            </w:r>
            <w:r>
              <w:rPr>
                <w:rFonts w:hint="eastAsia" w:ascii="仿宋" w:hAnsi="仿宋" w:eastAsia="仿宋" w:cs="仿宋"/>
                <w:kern w:val="0"/>
                <w:sz w:val="24"/>
                <w:szCs w:val="24"/>
                <w:highlight w:val="none"/>
                <w:lang w:val="en-US" w:eastAsia="zh-CN"/>
              </w:rPr>
              <w:t>5</w:t>
            </w:r>
            <w:r>
              <w:rPr>
                <w:rFonts w:hint="eastAsia" w:ascii="仿宋" w:hAnsi="仿宋" w:eastAsia="仿宋" w:cs="仿宋"/>
                <w:kern w:val="0"/>
                <w:sz w:val="24"/>
                <w:szCs w:val="24"/>
                <w:highlight w:val="none"/>
              </w:rPr>
              <w:t>分；</w:t>
            </w:r>
            <w:r>
              <w:rPr>
                <w:rFonts w:hint="eastAsia" w:ascii="仿宋" w:hAnsi="仿宋" w:eastAsia="仿宋" w:cs="仿宋"/>
                <w:kern w:val="0"/>
                <w:sz w:val="24"/>
                <w:szCs w:val="24"/>
                <w:highlight w:val="none"/>
                <w:lang w:eastAsia="zh-CN"/>
              </w:rPr>
              <w:t>否则按照比例扣分</w:t>
            </w:r>
            <w:r>
              <w:rPr>
                <w:rFonts w:hint="eastAsia" w:ascii="仿宋" w:hAnsi="仿宋" w:eastAsia="仿宋" w:cs="仿宋"/>
                <w:kern w:val="0"/>
                <w:sz w:val="24"/>
                <w:szCs w:val="24"/>
                <w:highlight w:val="none"/>
              </w:rPr>
              <w:t>。</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5B319A">
            <w:pPr>
              <w:widowControl/>
              <w:jc w:val="center"/>
              <w:textAlignment w:val="center"/>
              <w:rPr>
                <w:rFonts w:hint="eastAsia"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5</w:t>
            </w:r>
          </w:p>
        </w:tc>
      </w:tr>
      <w:tr w14:paraId="482DA56B">
        <w:tblPrEx>
          <w:tblCellMar>
            <w:top w:w="0" w:type="dxa"/>
            <w:left w:w="0" w:type="dxa"/>
            <w:bottom w:w="0" w:type="dxa"/>
            <w:right w:w="0" w:type="dxa"/>
          </w:tblCellMar>
        </w:tblPrEx>
        <w:trPr>
          <w:trHeight w:val="400" w:hRule="atLeast"/>
          <w:jc w:val="center"/>
        </w:trPr>
        <w:tc>
          <w:tcPr>
            <w:tcW w:w="1215" w:type="dxa"/>
            <w:vMerge w:val="continue"/>
            <w:tcBorders>
              <w:left w:val="single" w:color="000000" w:sz="4" w:space="0"/>
              <w:right w:val="single" w:color="000000" w:sz="4" w:space="0"/>
            </w:tcBorders>
            <w:noWrap/>
            <w:tcMar>
              <w:top w:w="15" w:type="dxa"/>
              <w:left w:w="15" w:type="dxa"/>
              <w:right w:w="15" w:type="dxa"/>
            </w:tcMar>
            <w:vAlign w:val="center"/>
          </w:tcPr>
          <w:p w14:paraId="03011FA9">
            <w:pPr>
              <w:spacing w:line="440" w:lineRule="exact"/>
              <w:ind w:firstLine="0" w:firstLineChars="0"/>
              <w:jc w:val="center"/>
              <w:rPr>
                <w:rFonts w:hint="eastAsia" w:ascii="仿宋" w:hAnsi="仿宋" w:eastAsia="仿宋" w:cs="仿宋"/>
                <w:b/>
                <w:color w:val="000000"/>
                <w:kern w:val="0"/>
                <w:sz w:val="24"/>
                <w:szCs w:val="24"/>
                <w:highlight w:val="none"/>
                <w:lang w:bidi="ar"/>
              </w:rPr>
            </w:pPr>
          </w:p>
        </w:tc>
        <w:tc>
          <w:tcPr>
            <w:tcW w:w="1331" w:type="dxa"/>
            <w:vMerge w:val="continue"/>
            <w:tcBorders>
              <w:left w:val="single" w:color="000000" w:sz="4" w:space="0"/>
              <w:right w:val="single" w:color="000000" w:sz="4" w:space="0"/>
            </w:tcBorders>
            <w:tcMar>
              <w:top w:w="15" w:type="dxa"/>
              <w:left w:w="15" w:type="dxa"/>
              <w:right w:w="15" w:type="dxa"/>
            </w:tcMar>
            <w:vAlign w:val="center"/>
          </w:tcPr>
          <w:p w14:paraId="1A3E5F6C">
            <w:pPr>
              <w:widowControl/>
              <w:ind w:firstLine="240" w:firstLineChars="100"/>
              <w:jc w:val="both"/>
              <w:textAlignment w:val="center"/>
              <w:rPr>
                <w:rFonts w:hint="eastAsia" w:ascii="仿宋" w:hAnsi="仿宋" w:eastAsia="仿宋" w:cs="仿宋"/>
                <w:color w:val="000000"/>
                <w:kern w:val="0"/>
                <w:sz w:val="24"/>
                <w:szCs w:val="24"/>
                <w:highlight w:val="none"/>
                <w:lang w:val="en-US" w:eastAsia="zh-CN" w:bidi="ar"/>
              </w:rPr>
            </w:pP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43F3B7">
            <w:pPr>
              <w:widowControl/>
              <w:jc w:val="center"/>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管理制度健全性</w:t>
            </w:r>
          </w:p>
          <w:p w14:paraId="1147426D">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0CA894">
            <w:pPr>
              <w:widowControl/>
              <w:ind w:firstLine="0" w:firstLineChars="0"/>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①有内部财务管理制度、会计核算制度等管理制度，</w:t>
            </w: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分；</w:t>
            </w:r>
            <w:r>
              <w:rPr>
                <w:rFonts w:hint="eastAsia" w:ascii="仿宋" w:hAnsi="仿宋" w:eastAsia="仿宋" w:cs="仿宋"/>
                <w:kern w:val="0"/>
                <w:sz w:val="24"/>
                <w:szCs w:val="24"/>
                <w:highlight w:val="none"/>
              </w:rPr>
              <w:br w:type="textWrapping"/>
            </w:r>
            <w:r>
              <w:rPr>
                <w:rFonts w:hint="eastAsia" w:ascii="仿宋" w:hAnsi="仿宋" w:eastAsia="仿宋" w:cs="仿宋"/>
                <w:kern w:val="0"/>
                <w:sz w:val="24"/>
                <w:szCs w:val="24"/>
                <w:highlight w:val="none"/>
              </w:rPr>
              <w:t>②有本部门厉行节约制度,2分；</w:t>
            </w:r>
            <w:r>
              <w:rPr>
                <w:rFonts w:hint="eastAsia" w:ascii="仿宋" w:hAnsi="仿宋" w:eastAsia="仿宋" w:cs="仿宋"/>
                <w:kern w:val="0"/>
                <w:sz w:val="24"/>
                <w:szCs w:val="24"/>
                <w:highlight w:val="none"/>
              </w:rPr>
              <w:br w:type="textWrapping"/>
            </w:r>
            <w:r>
              <w:rPr>
                <w:rFonts w:hint="eastAsia" w:ascii="仿宋" w:hAnsi="仿宋" w:eastAsia="仿宋" w:cs="仿宋"/>
                <w:kern w:val="0"/>
                <w:sz w:val="24"/>
                <w:szCs w:val="24"/>
                <w:highlight w:val="none"/>
              </w:rPr>
              <w:t>③相关管理制度合法、合规、完整，</w:t>
            </w: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分；</w:t>
            </w:r>
          </w:p>
          <w:p w14:paraId="3DB96F92">
            <w:pPr>
              <w:widowControl/>
              <w:ind w:firstLine="0" w:firstLineChars="0"/>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kern w:val="0"/>
                <w:sz w:val="24"/>
                <w:szCs w:val="24"/>
                <w:highlight w:val="none"/>
              </w:rPr>
              <w:t>④相关管理制度得到有效执行，</w:t>
            </w: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分。</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843D79">
            <w:pPr>
              <w:widowControl/>
              <w:jc w:val="center"/>
              <w:textAlignment w:val="center"/>
              <w:rPr>
                <w:rFonts w:hint="default"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5</w:t>
            </w:r>
          </w:p>
        </w:tc>
      </w:tr>
      <w:tr w14:paraId="7EE077B6">
        <w:tblPrEx>
          <w:tblCellMar>
            <w:top w:w="0" w:type="dxa"/>
            <w:left w:w="0" w:type="dxa"/>
            <w:bottom w:w="0" w:type="dxa"/>
            <w:right w:w="0" w:type="dxa"/>
          </w:tblCellMar>
        </w:tblPrEx>
        <w:trPr>
          <w:trHeight w:val="818" w:hRule="atLeast"/>
          <w:jc w:val="center"/>
        </w:trPr>
        <w:tc>
          <w:tcPr>
            <w:tcW w:w="1215" w:type="dxa"/>
            <w:vMerge w:val="continue"/>
            <w:tcBorders>
              <w:left w:val="single" w:color="000000" w:sz="4" w:space="0"/>
              <w:right w:val="single" w:color="000000" w:sz="4" w:space="0"/>
            </w:tcBorders>
            <w:noWrap/>
            <w:tcMar>
              <w:top w:w="15" w:type="dxa"/>
              <w:left w:w="15" w:type="dxa"/>
              <w:right w:w="15" w:type="dxa"/>
            </w:tcMar>
            <w:vAlign w:val="center"/>
          </w:tcPr>
          <w:p w14:paraId="478F7E76">
            <w:pPr>
              <w:spacing w:line="440" w:lineRule="exact"/>
              <w:ind w:firstLine="0" w:firstLineChars="0"/>
              <w:jc w:val="center"/>
              <w:rPr>
                <w:rFonts w:hint="eastAsia" w:ascii="仿宋" w:hAnsi="仿宋" w:eastAsia="仿宋" w:cs="仿宋"/>
                <w:b/>
                <w:color w:val="000000"/>
                <w:kern w:val="0"/>
                <w:sz w:val="24"/>
                <w:szCs w:val="24"/>
                <w:highlight w:val="none"/>
                <w:lang w:bidi="ar"/>
              </w:rPr>
            </w:pPr>
          </w:p>
        </w:tc>
        <w:tc>
          <w:tcPr>
            <w:tcW w:w="1331" w:type="dxa"/>
            <w:vMerge w:val="continue"/>
            <w:tcBorders>
              <w:left w:val="single" w:color="000000" w:sz="4" w:space="0"/>
              <w:right w:val="single" w:color="000000" w:sz="4" w:space="0"/>
            </w:tcBorders>
            <w:tcMar>
              <w:top w:w="15" w:type="dxa"/>
              <w:left w:w="15" w:type="dxa"/>
              <w:right w:w="15" w:type="dxa"/>
            </w:tcMar>
            <w:vAlign w:val="center"/>
          </w:tcPr>
          <w:p w14:paraId="47717972">
            <w:pPr>
              <w:widowControl/>
              <w:ind w:firstLine="240" w:firstLineChars="100"/>
              <w:jc w:val="both"/>
              <w:textAlignment w:val="center"/>
              <w:rPr>
                <w:rFonts w:hint="eastAsia" w:ascii="仿宋" w:hAnsi="仿宋" w:eastAsia="仿宋" w:cs="仿宋"/>
                <w:color w:val="000000"/>
                <w:kern w:val="0"/>
                <w:sz w:val="24"/>
                <w:szCs w:val="24"/>
                <w:highlight w:val="none"/>
                <w:lang w:val="en-US" w:eastAsia="zh-CN" w:bidi="ar"/>
              </w:rPr>
            </w:pP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E22C6F">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财务合规性</w:t>
            </w:r>
          </w:p>
          <w:p w14:paraId="47DF0389">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69574C">
            <w:pPr>
              <w:widowControl/>
              <w:ind w:firstLine="0" w:firstLineChars="0"/>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eastAsia="zh-CN" w:bidi="ar"/>
              </w:rPr>
              <w:t>财务</w:t>
            </w:r>
            <w:r>
              <w:rPr>
                <w:rFonts w:hint="eastAsia" w:ascii="仿宋" w:hAnsi="仿宋" w:eastAsia="仿宋" w:cs="仿宋"/>
                <w:color w:val="000000"/>
                <w:kern w:val="0"/>
                <w:sz w:val="24"/>
                <w:szCs w:val="24"/>
                <w:highlight w:val="none"/>
                <w:lang w:bidi="ar"/>
              </w:rPr>
              <w:t>符合相关的财务管理制度规定，</w:t>
            </w:r>
            <w:r>
              <w:rPr>
                <w:rFonts w:hint="eastAsia" w:ascii="仿宋" w:hAnsi="仿宋" w:eastAsia="仿宋" w:cs="仿宋"/>
                <w:color w:val="000000"/>
                <w:kern w:val="0"/>
                <w:sz w:val="24"/>
                <w:szCs w:val="24"/>
                <w:highlight w:val="none"/>
                <w:lang w:eastAsia="zh-CN" w:bidi="ar"/>
              </w:rPr>
              <w:t>是得</w:t>
            </w:r>
            <w:r>
              <w:rPr>
                <w:rFonts w:hint="eastAsia" w:ascii="仿宋" w:hAnsi="仿宋" w:eastAsia="仿宋" w:cs="仿宋"/>
                <w:color w:val="000000"/>
                <w:kern w:val="0"/>
                <w:sz w:val="24"/>
                <w:szCs w:val="24"/>
                <w:highlight w:val="none"/>
                <w:lang w:val="en-US" w:eastAsia="zh-CN" w:bidi="ar"/>
              </w:rPr>
              <w:t>5分，否不得分</w:t>
            </w:r>
            <w:r>
              <w:rPr>
                <w:rFonts w:hint="eastAsia" w:ascii="仿宋" w:hAnsi="仿宋" w:eastAsia="仿宋" w:cs="仿宋"/>
                <w:color w:val="000000"/>
                <w:kern w:val="0"/>
                <w:sz w:val="24"/>
                <w:szCs w:val="24"/>
                <w:highlight w:val="none"/>
                <w:lang w:bidi="ar"/>
              </w:rPr>
              <w:t>。</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070FEF">
            <w:pPr>
              <w:widowControl/>
              <w:jc w:val="center"/>
              <w:textAlignment w:val="center"/>
              <w:rPr>
                <w:rFonts w:hint="eastAsia"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5</w:t>
            </w:r>
          </w:p>
        </w:tc>
      </w:tr>
      <w:tr w14:paraId="35691B9E">
        <w:tblPrEx>
          <w:tblCellMar>
            <w:top w:w="0" w:type="dxa"/>
            <w:left w:w="0" w:type="dxa"/>
            <w:bottom w:w="0" w:type="dxa"/>
            <w:right w:w="0" w:type="dxa"/>
          </w:tblCellMar>
        </w:tblPrEx>
        <w:trPr>
          <w:trHeight w:val="2359" w:hRule="atLeast"/>
          <w:jc w:val="center"/>
        </w:trPr>
        <w:tc>
          <w:tcPr>
            <w:tcW w:w="1215"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4A102894">
            <w:pPr>
              <w:spacing w:line="440" w:lineRule="exact"/>
              <w:ind w:firstLine="0" w:firstLineChars="0"/>
              <w:jc w:val="center"/>
              <w:rPr>
                <w:rFonts w:hint="eastAsia" w:ascii="仿宋" w:hAnsi="仿宋" w:eastAsia="仿宋" w:cs="仿宋"/>
                <w:b/>
                <w:color w:val="000000"/>
                <w:kern w:val="0"/>
                <w:sz w:val="24"/>
                <w:szCs w:val="24"/>
                <w:highlight w:val="none"/>
                <w:lang w:bidi="ar"/>
              </w:rPr>
            </w:pPr>
          </w:p>
        </w:tc>
        <w:tc>
          <w:tcPr>
            <w:tcW w:w="1331" w:type="dxa"/>
            <w:vMerge w:val="continue"/>
            <w:tcBorders>
              <w:left w:val="single" w:color="000000" w:sz="4" w:space="0"/>
              <w:bottom w:val="single" w:color="auto" w:sz="4" w:space="0"/>
              <w:right w:val="single" w:color="000000" w:sz="4" w:space="0"/>
            </w:tcBorders>
            <w:tcMar>
              <w:top w:w="15" w:type="dxa"/>
              <w:left w:w="15" w:type="dxa"/>
              <w:right w:w="15" w:type="dxa"/>
            </w:tcMar>
            <w:vAlign w:val="center"/>
          </w:tcPr>
          <w:p w14:paraId="520C4046">
            <w:pPr>
              <w:widowControl/>
              <w:ind w:firstLine="240" w:firstLineChars="100"/>
              <w:jc w:val="both"/>
              <w:textAlignment w:val="center"/>
              <w:rPr>
                <w:rFonts w:hint="eastAsia" w:ascii="仿宋" w:hAnsi="仿宋" w:eastAsia="仿宋" w:cs="仿宋"/>
                <w:color w:val="000000"/>
                <w:kern w:val="0"/>
                <w:sz w:val="24"/>
                <w:szCs w:val="24"/>
                <w:highlight w:val="none"/>
                <w:lang w:val="en-US" w:eastAsia="zh-CN" w:bidi="ar"/>
              </w:rPr>
            </w:pP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F7F9A6">
            <w:pPr>
              <w:widowControl/>
              <w:jc w:val="center"/>
              <w:textAlignment w:val="center"/>
              <w:rPr>
                <w:rFonts w:hint="eastAsia" w:ascii="仿宋" w:hAnsi="仿宋" w:eastAsia="仿宋" w:cs="仿宋"/>
                <w:color w:val="000000"/>
                <w:kern w:val="0"/>
                <w:sz w:val="24"/>
                <w:szCs w:val="24"/>
                <w:highlight w:val="none"/>
                <w:lang w:eastAsia="zh-CN" w:bidi="ar"/>
              </w:rPr>
            </w:pPr>
            <w:r>
              <w:rPr>
                <w:rFonts w:hint="eastAsia" w:ascii="仿宋" w:hAnsi="仿宋" w:eastAsia="仿宋" w:cs="仿宋"/>
                <w:color w:val="000000"/>
                <w:kern w:val="0"/>
                <w:sz w:val="24"/>
                <w:szCs w:val="24"/>
                <w:highlight w:val="none"/>
                <w:lang w:eastAsia="zh-CN" w:bidi="ar"/>
              </w:rPr>
              <w:t>预决算信息公开性</w:t>
            </w:r>
          </w:p>
          <w:p w14:paraId="53DCB271">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1ED92A">
            <w:pPr>
              <w:widowControl/>
              <w:ind w:firstLine="0" w:firstLineChars="0"/>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spacing w:val="-6"/>
                <w:kern w:val="0"/>
                <w:sz w:val="24"/>
                <w:szCs w:val="24"/>
                <w:highlight w:val="none"/>
              </w:rPr>
              <w:t>①按规定内容公开预决算信息，1分；②按规定时限公开预决算信息，1分；③基础数据信息和会计信息资料真实，1分；④基础数据信息和会计信息资料完整，1分；⑤基础数据信息和汇集信息资料准确，1分。</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57E90F">
            <w:pPr>
              <w:widowControl/>
              <w:jc w:val="center"/>
              <w:textAlignment w:val="center"/>
              <w:rPr>
                <w:rFonts w:hint="default"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5</w:t>
            </w:r>
          </w:p>
        </w:tc>
      </w:tr>
      <w:tr w14:paraId="5291A4C9">
        <w:tblPrEx>
          <w:tblCellMar>
            <w:top w:w="0" w:type="dxa"/>
            <w:left w:w="0" w:type="dxa"/>
            <w:bottom w:w="0" w:type="dxa"/>
            <w:right w:w="0" w:type="dxa"/>
          </w:tblCellMar>
        </w:tblPrEx>
        <w:trPr>
          <w:trHeight w:val="400" w:hRule="atLeast"/>
          <w:jc w:val="center"/>
        </w:trPr>
        <w:tc>
          <w:tcPr>
            <w:tcW w:w="1215" w:type="dxa"/>
            <w:vMerge w:val="continue"/>
            <w:tcBorders>
              <w:top w:val="single" w:color="auto" w:sz="4" w:space="0"/>
              <w:left w:val="single" w:color="000000" w:sz="4" w:space="0"/>
              <w:right w:val="single" w:color="000000" w:sz="4" w:space="0"/>
            </w:tcBorders>
            <w:noWrap/>
            <w:tcMar>
              <w:top w:w="15" w:type="dxa"/>
              <w:left w:w="15" w:type="dxa"/>
              <w:right w:w="15" w:type="dxa"/>
            </w:tcMar>
            <w:vAlign w:val="center"/>
          </w:tcPr>
          <w:p w14:paraId="304AD58F">
            <w:pPr>
              <w:spacing w:line="440" w:lineRule="exact"/>
              <w:ind w:firstLine="0" w:firstLineChars="0"/>
              <w:jc w:val="center"/>
              <w:rPr>
                <w:rFonts w:hint="eastAsia" w:ascii="仿宋" w:hAnsi="仿宋" w:eastAsia="仿宋" w:cs="仿宋"/>
                <w:b/>
                <w:color w:val="000000"/>
                <w:kern w:val="0"/>
                <w:sz w:val="24"/>
                <w:szCs w:val="24"/>
                <w:highlight w:val="none"/>
                <w:lang w:bidi="ar"/>
              </w:rPr>
            </w:pPr>
          </w:p>
        </w:tc>
        <w:tc>
          <w:tcPr>
            <w:tcW w:w="1331" w:type="dxa"/>
            <w:vMerge w:val="restart"/>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50F687DB">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资产管理（10分）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B5AC58">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资产管理规范性</w:t>
            </w:r>
          </w:p>
          <w:p w14:paraId="6BB8152C">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7BFF21">
            <w:pPr>
              <w:widowControl/>
              <w:ind w:firstLine="0" w:firstLineChars="0"/>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eastAsia="zh-CN" w:bidi="ar"/>
              </w:rPr>
              <w:t>在资产管理方面，严格按照规定程序审批，</w:t>
            </w:r>
            <w:r>
              <w:rPr>
                <w:rFonts w:hint="eastAsia" w:ascii="仿宋" w:hAnsi="仿宋" w:eastAsia="仿宋" w:cs="仿宋"/>
                <w:color w:val="000000"/>
                <w:kern w:val="0"/>
                <w:sz w:val="24"/>
                <w:szCs w:val="24"/>
                <w:highlight w:val="none"/>
                <w:lang w:val="en-US" w:eastAsia="zh-CN" w:bidi="ar"/>
              </w:rPr>
              <w:t>2分；</w:t>
            </w:r>
            <w:r>
              <w:rPr>
                <w:rFonts w:hint="eastAsia" w:ascii="仿宋" w:hAnsi="仿宋" w:eastAsia="仿宋" w:cs="仿宋"/>
                <w:color w:val="000000"/>
                <w:kern w:val="0"/>
                <w:sz w:val="24"/>
                <w:szCs w:val="24"/>
                <w:highlight w:val="none"/>
                <w:lang w:eastAsia="zh-CN" w:bidi="ar"/>
              </w:rPr>
              <w:t>做到购置由预算，</w:t>
            </w:r>
            <w:r>
              <w:rPr>
                <w:rFonts w:hint="eastAsia" w:ascii="仿宋" w:hAnsi="仿宋" w:eastAsia="仿宋" w:cs="仿宋"/>
                <w:color w:val="000000"/>
                <w:kern w:val="0"/>
                <w:sz w:val="24"/>
                <w:szCs w:val="24"/>
                <w:highlight w:val="none"/>
                <w:lang w:val="en-US" w:eastAsia="zh-CN" w:bidi="ar"/>
              </w:rPr>
              <w:t>1分；</w:t>
            </w:r>
            <w:r>
              <w:rPr>
                <w:rFonts w:hint="eastAsia" w:ascii="仿宋" w:hAnsi="仿宋" w:eastAsia="仿宋" w:cs="仿宋"/>
                <w:color w:val="000000"/>
                <w:kern w:val="0"/>
                <w:sz w:val="24"/>
                <w:szCs w:val="24"/>
                <w:highlight w:val="none"/>
                <w:lang w:eastAsia="zh-CN" w:bidi="ar"/>
              </w:rPr>
              <w:t>实物有专人管理，</w:t>
            </w:r>
            <w:r>
              <w:rPr>
                <w:rFonts w:hint="eastAsia" w:ascii="仿宋" w:hAnsi="仿宋" w:eastAsia="仿宋" w:cs="仿宋"/>
                <w:color w:val="000000"/>
                <w:kern w:val="0"/>
                <w:sz w:val="24"/>
                <w:szCs w:val="24"/>
                <w:highlight w:val="none"/>
                <w:lang w:val="en-US" w:eastAsia="zh-CN" w:bidi="ar"/>
              </w:rPr>
              <w:t>1分；</w:t>
            </w:r>
            <w:r>
              <w:rPr>
                <w:rFonts w:hint="eastAsia" w:ascii="仿宋" w:hAnsi="仿宋" w:eastAsia="仿宋" w:cs="仿宋"/>
                <w:color w:val="000000"/>
                <w:kern w:val="0"/>
                <w:sz w:val="24"/>
                <w:szCs w:val="24"/>
                <w:highlight w:val="none"/>
                <w:lang w:eastAsia="zh-CN" w:bidi="ar"/>
              </w:rPr>
              <w:t>处置按照流程</w:t>
            </w: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1分</w:t>
            </w:r>
            <w:r>
              <w:rPr>
                <w:rFonts w:hint="eastAsia" w:ascii="仿宋" w:hAnsi="仿宋" w:eastAsia="仿宋" w:cs="仿宋"/>
                <w:color w:val="000000"/>
                <w:kern w:val="0"/>
                <w:sz w:val="24"/>
                <w:szCs w:val="24"/>
                <w:highlight w:val="none"/>
                <w:lang w:eastAsia="zh-CN" w:bidi="ar"/>
              </w:rPr>
              <w:t>；</w:t>
            </w:r>
            <w:r>
              <w:rPr>
                <w:rFonts w:hint="eastAsia" w:ascii="仿宋" w:hAnsi="仿宋" w:eastAsia="仿宋" w:cs="仿宋"/>
                <w:color w:val="000000"/>
                <w:kern w:val="0"/>
                <w:sz w:val="24"/>
                <w:szCs w:val="24"/>
                <w:highlight w:val="none"/>
                <w:lang w:val="en-US" w:eastAsia="zh-CN" w:bidi="ar"/>
              </w:rPr>
              <w:t>。</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65C044">
            <w:pPr>
              <w:widowControl/>
              <w:jc w:val="center"/>
              <w:textAlignment w:val="center"/>
              <w:rPr>
                <w:rFonts w:hint="eastAsia"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5</w:t>
            </w:r>
          </w:p>
        </w:tc>
      </w:tr>
      <w:tr w14:paraId="2E7E08AA">
        <w:tblPrEx>
          <w:tblCellMar>
            <w:top w:w="0" w:type="dxa"/>
            <w:left w:w="0" w:type="dxa"/>
            <w:bottom w:w="0" w:type="dxa"/>
            <w:right w:w="0" w:type="dxa"/>
          </w:tblCellMar>
        </w:tblPrEx>
        <w:trPr>
          <w:trHeight w:val="400" w:hRule="atLeast"/>
          <w:jc w:val="center"/>
        </w:trPr>
        <w:tc>
          <w:tcPr>
            <w:tcW w:w="1215" w:type="dxa"/>
            <w:vMerge w:val="continue"/>
            <w:tcBorders>
              <w:left w:val="single" w:color="000000" w:sz="4" w:space="0"/>
              <w:right w:val="single" w:color="000000" w:sz="4" w:space="0"/>
            </w:tcBorders>
            <w:noWrap/>
            <w:tcMar>
              <w:top w:w="15" w:type="dxa"/>
              <w:left w:w="15" w:type="dxa"/>
              <w:right w:w="15" w:type="dxa"/>
            </w:tcMar>
            <w:vAlign w:val="center"/>
          </w:tcPr>
          <w:p w14:paraId="76C9C6FC">
            <w:pPr>
              <w:spacing w:line="440" w:lineRule="exact"/>
              <w:ind w:firstLine="0" w:firstLineChars="0"/>
              <w:jc w:val="center"/>
              <w:rPr>
                <w:rFonts w:hint="eastAsia" w:ascii="仿宋" w:hAnsi="仿宋" w:eastAsia="仿宋" w:cs="仿宋"/>
                <w:b/>
                <w:color w:val="000000"/>
                <w:kern w:val="0"/>
                <w:sz w:val="24"/>
                <w:szCs w:val="24"/>
                <w:highlight w:val="none"/>
                <w:lang w:bidi="ar"/>
              </w:rPr>
            </w:pPr>
          </w:p>
        </w:tc>
        <w:tc>
          <w:tcPr>
            <w:tcW w:w="1331"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DFB4F86">
            <w:pPr>
              <w:widowControl/>
              <w:ind w:firstLine="240" w:firstLineChars="100"/>
              <w:jc w:val="both"/>
              <w:textAlignment w:val="center"/>
              <w:rPr>
                <w:rFonts w:hint="eastAsia" w:ascii="仿宋" w:hAnsi="仿宋" w:eastAsia="仿宋" w:cs="仿宋"/>
                <w:color w:val="000000"/>
                <w:kern w:val="0"/>
                <w:sz w:val="24"/>
                <w:szCs w:val="24"/>
                <w:highlight w:val="none"/>
                <w:lang w:val="en-US" w:eastAsia="zh-CN" w:bidi="ar"/>
              </w:rPr>
            </w:pP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E2B38B">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固定资产利用率</w:t>
            </w:r>
          </w:p>
          <w:p w14:paraId="52317A7E">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823717">
            <w:pPr>
              <w:widowControl/>
              <w:ind w:firstLine="0" w:firstLineChars="0"/>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eastAsia="zh-CN" w:bidi="ar"/>
              </w:rPr>
              <w:t>固定资产利用率</w:t>
            </w:r>
            <w:r>
              <w:rPr>
                <w:rFonts w:hint="eastAsia" w:ascii="仿宋" w:hAnsi="仿宋" w:eastAsia="仿宋" w:cs="仿宋"/>
                <w:color w:val="000000"/>
                <w:kern w:val="0"/>
                <w:sz w:val="24"/>
                <w:szCs w:val="24"/>
                <w:highlight w:val="none"/>
                <w:lang w:val="en-US" w:eastAsia="zh-CN" w:bidi="ar"/>
              </w:rPr>
              <w:t>100%</w:t>
            </w: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eastAsia="zh-CN" w:bidi="ar"/>
              </w:rPr>
              <w:t>是得</w:t>
            </w:r>
            <w:r>
              <w:rPr>
                <w:rFonts w:hint="eastAsia" w:ascii="仿宋" w:hAnsi="仿宋" w:eastAsia="仿宋" w:cs="仿宋"/>
                <w:color w:val="000000"/>
                <w:kern w:val="0"/>
                <w:sz w:val="24"/>
                <w:szCs w:val="24"/>
                <w:highlight w:val="none"/>
                <w:lang w:val="en-US" w:eastAsia="zh-CN" w:bidi="ar"/>
              </w:rPr>
              <w:t>5分，否则根据比例扣分</w:t>
            </w:r>
            <w:r>
              <w:rPr>
                <w:rFonts w:hint="eastAsia" w:ascii="仿宋" w:hAnsi="仿宋" w:eastAsia="仿宋" w:cs="仿宋"/>
                <w:color w:val="000000"/>
                <w:kern w:val="0"/>
                <w:sz w:val="24"/>
                <w:szCs w:val="24"/>
                <w:highlight w:val="none"/>
                <w:lang w:bidi="ar"/>
              </w:rPr>
              <w:t>。</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FD717C">
            <w:pPr>
              <w:widowControl/>
              <w:jc w:val="center"/>
              <w:textAlignment w:val="center"/>
              <w:rPr>
                <w:rFonts w:hint="eastAsia"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5</w:t>
            </w:r>
          </w:p>
        </w:tc>
      </w:tr>
      <w:tr w14:paraId="29312227">
        <w:tblPrEx>
          <w:tblCellMar>
            <w:top w:w="0" w:type="dxa"/>
            <w:left w:w="0" w:type="dxa"/>
            <w:bottom w:w="0" w:type="dxa"/>
            <w:right w:w="0" w:type="dxa"/>
          </w:tblCellMar>
        </w:tblPrEx>
        <w:trPr>
          <w:trHeight w:val="1220" w:hRule="atLeast"/>
          <w:jc w:val="center"/>
        </w:trPr>
        <w:tc>
          <w:tcPr>
            <w:tcW w:w="1215"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FBB0AED">
            <w:pPr>
              <w:pStyle w:val="4"/>
              <w:ind w:left="0" w:leftChars="0" w:firstLine="0" w:firstLineChars="0"/>
              <w:rPr>
                <w:rFonts w:hint="eastAsia" w:ascii="仿宋" w:hAnsi="仿宋" w:eastAsia="仿宋" w:cs="仿宋"/>
                <w:b/>
                <w:color w:val="000000"/>
                <w:kern w:val="0"/>
                <w:sz w:val="24"/>
                <w:szCs w:val="24"/>
                <w:highlight w:val="none"/>
                <w:lang w:bidi="ar"/>
              </w:rPr>
            </w:pPr>
          </w:p>
          <w:p w14:paraId="2EBF827F">
            <w:pPr>
              <w:rPr>
                <w:rFonts w:hint="eastAsia"/>
                <w:highlight w:val="none"/>
              </w:rPr>
            </w:pPr>
          </w:p>
          <w:p w14:paraId="4515997C">
            <w:pPr>
              <w:widowControl/>
              <w:jc w:val="center"/>
              <w:textAlignment w:val="center"/>
              <w:rPr>
                <w:rFonts w:hint="eastAsia" w:ascii="仿宋" w:hAnsi="仿宋" w:eastAsia="仿宋" w:cs="仿宋"/>
                <w:b/>
                <w:color w:val="000000"/>
                <w:kern w:val="0"/>
                <w:sz w:val="24"/>
                <w:szCs w:val="24"/>
                <w:highlight w:val="none"/>
                <w:lang w:bidi="ar"/>
              </w:rPr>
            </w:pPr>
            <w:r>
              <w:rPr>
                <w:rFonts w:hint="eastAsia" w:ascii="仿宋" w:hAnsi="仿宋" w:eastAsia="仿宋" w:cs="仿宋"/>
                <w:b/>
                <w:color w:val="000000"/>
                <w:kern w:val="0"/>
                <w:sz w:val="24"/>
                <w:szCs w:val="24"/>
                <w:highlight w:val="none"/>
                <w:lang w:bidi="ar"/>
              </w:rPr>
              <w:t>产出指标</w:t>
            </w:r>
          </w:p>
          <w:p w14:paraId="7D24B2E2">
            <w:pPr>
              <w:widowControl/>
              <w:jc w:val="center"/>
              <w:textAlignment w:val="center"/>
              <w:rPr>
                <w:rFonts w:hint="eastAsia" w:ascii="仿宋" w:hAnsi="仿宋" w:eastAsia="仿宋" w:cs="仿宋"/>
                <w:b/>
                <w:color w:val="000000"/>
                <w:kern w:val="0"/>
                <w:sz w:val="24"/>
                <w:szCs w:val="24"/>
                <w:highlight w:val="none"/>
                <w:lang w:bidi="ar"/>
              </w:rPr>
            </w:pPr>
            <w:r>
              <w:rPr>
                <w:rFonts w:hint="eastAsia" w:ascii="仿宋" w:hAnsi="仿宋" w:eastAsia="仿宋" w:cs="仿宋"/>
                <w:b/>
                <w:color w:val="000000"/>
                <w:kern w:val="0"/>
                <w:sz w:val="24"/>
                <w:szCs w:val="24"/>
                <w:highlight w:val="none"/>
                <w:lang w:bidi="ar"/>
              </w:rPr>
              <w:t>（</w:t>
            </w:r>
            <w:r>
              <w:rPr>
                <w:rFonts w:hint="eastAsia" w:ascii="仿宋" w:hAnsi="仿宋" w:eastAsia="仿宋" w:cs="仿宋"/>
                <w:b/>
                <w:color w:val="000000"/>
                <w:kern w:val="0"/>
                <w:sz w:val="24"/>
                <w:szCs w:val="24"/>
                <w:highlight w:val="none"/>
                <w:lang w:val="en-US" w:eastAsia="zh-CN" w:bidi="ar"/>
              </w:rPr>
              <w:t>35</w:t>
            </w:r>
            <w:r>
              <w:rPr>
                <w:rFonts w:hint="eastAsia" w:ascii="仿宋" w:hAnsi="仿宋" w:eastAsia="仿宋" w:cs="仿宋"/>
                <w:b/>
                <w:color w:val="000000"/>
                <w:kern w:val="0"/>
                <w:sz w:val="24"/>
                <w:szCs w:val="24"/>
                <w:highlight w:val="none"/>
                <w:lang w:bidi="ar"/>
              </w:rPr>
              <w:t>分）</w:t>
            </w:r>
          </w:p>
          <w:p w14:paraId="7C28A848">
            <w:pPr>
              <w:widowControl/>
              <w:jc w:val="center"/>
              <w:textAlignment w:val="center"/>
              <w:rPr>
                <w:rFonts w:hint="eastAsia" w:ascii="仿宋" w:hAnsi="仿宋" w:eastAsia="仿宋" w:cs="仿宋"/>
                <w:b/>
                <w:color w:val="000000"/>
                <w:sz w:val="24"/>
                <w:szCs w:val="24"/>
                <w:highlight w:val="none"/>
              </w:rPr>
            </w:pPr>
          </w:p>
        </w:tc>
        <w:tc>
          <w:tcPr>
            <w:tcW w:w="1331" w:type="dxa"/>
            <w:tcBorders>
              <w:top w:val="nil"/>
              <w:left w:val="nil"/>
              <w:right w:val="single" w:color="000000" w:sz="4" w:space="0"/>
            </w:tcBorders>
            <w:tcMar>
              <w:top w:w="15" w:type="dxa"/>
              <w:left w:w="15" w:type="dxa"/>
              <w:right w:w="15" w:type="dxa"/>
            </w:tcMar>
            <w:vAlign w:val="center"/>
          </w:tcPr>
          <w:p w14:paraId="40537398">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数量指标</w:t>
            </w:r>
          </w:p>
          <w:p w14:paraId="3B944282">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（10分）</w:t>
            </w:r>
          </w:p>
        </w:tc>
        <w:tc>
          <w:tcPr>
            <w:tcW w:w="21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14:paraId="302A62C9">
            <w:pPr>
              <w:widowControl/>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重点工作</w:t>
            </w:r>
            <w:r>
              <w:rPr>
                <w:rFonts w:hint="eastAsia" w:ascii="仿宋" w:hAnsi="仿宋" w:eastAsia="仿宋" w:cs="仿宋"/>
                <w:sz w:val="24"/>
                <w:szCs w:val="24"/>
                <w:highlight w:val="none"/>
              </w:rPr>
              <w:t>完成率</w:t>
            </w:r>
          </w:p>
          <w:p w14:paraId="4705FBA8">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10</w:t>
            </w:r>
            <w:r>
              <w:rPr>
                <w:rFonts w:hint="eastAsia" w:ascii="仿宋" w:hAnsi="仿宋" w:eastAsia="仿宋" w:cs="仿宋"/>
                <w:color w:val="000000"/>
                <w:kern w:val="0"/>
                <w:sz w:val="24"/>
                <w:szCs w:val="24"/>
                <w:highlight w:val="none"/>
                <w:lang w:bidi="ar"/>
              </w:rPr>
              <w:t>分）</w:t>
            </w:r>
          </w:p>
        </w:tc>
        <w:tc>
          <w:tcPr>
            <w:tcW w:w="3329"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14:paraId="189C3AF9">
            <w:pPr>
              <w:widowControl/>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sz w:val="24"/>
                <w:szCs w:val="24"/>
                <w:highlight w:val="none"/>
                <w:lang w:eastAsia="zh-CN"/>
              </w:rPr>
              <w:t>全年工作完成情况</w:t>
            </w:r>
            <w:r>
              <w:rPr>
                <w:rFonts w:hint="eastAsia" w:ascii="仿宋" w:hAnsi="仿宋" w:eastAsia="仿宋" w:cs="仿宋"/>
                <w:sz w:val="24"/>
                <w:szCs w:val="24"/>
                <w:highlight w:val="none"/>
              </w:rPr>
              <w:t>占计划</w:t>
            </w:r>
            <w:r>
              <w:rPr>
                <w:rFonts w:hint="eastAsia" w:ascii="仿宋" w:hAnsi="仿宋" w:eastAsia="仿宋" w:cs="仿宋"/>
                <w:sz w:val="24"/>
                <w:szCs w:val="24"/>
                <w:highlight w:val="none"/>
                <w:lang w:eastAsia="zh-CN"/>
              </w:rPr>
              <w:t>完成</w:t>
            </w:r>
            <w:r>
              <w:rPr>
                <w:rFonts w:hint="eastAsia" w:ascii="仿宋" w:hAnsi="仿宋" w:eastAsia="仿宋" w:cs="仿宋"/>
                <w:sz w:val="24"/>
                <w:szCs w:val="24"/>
                <w:highlight w:val="none"/>
              </w:rPr>
              <w:t>的比例</w:t>
            </w:r>
            <w:r>
              <w:rPr>
                <w:rFonts w:hint="eastAsia" w:ascii="仿宋" w:hAnsi="仿宋" w:eastAsia="仿宋" w:cs="仿宋"/>
                <w:sz w:val="24"/>
                <w:szCs w:val="24"/>
                <w:highlight w:val="none"/>
                <w:lang w:eastAsia="zh-CN"/>
              </w:rPr>
              <w:t>达</w:t>
            </w:r>
            <w:r>
              <w:rPr>
                <w:rFonts w:hint="eastAsia" w:ascii="仿宋" w:hAnsi="仿宋" w:eastAsia="仿宋" w:cs="仿宋"/>
                <w:sz w:val="24"/>
                <w:szCs w:val="24"/>
                <w:highlight w:val="none"/>
                <w:lang w:val="en-US" w:eastAsia="zh-CN"/>
              </w:rPr>
              <w:t>100%，得10分，</w:t>
            </w:r>
            <w:r>
              <w:rPr>
                <w:rFonts w:hint="eastAsia" w:ascii="仿宋" w:hAnsi="仿宋" w:eastAsia="仿宋" w:cs="仿宋"/>
                <w:color w:val="000000"/>
                <w:kern w:val="0"/>
                <w:sz w:val="24"/>
                <w:szCs w:val="24"/>
                <w:highlight w:val="none"/>
                <w:lang w:val="en-US" w:eastAsia="zh-CN" w:bidi="ar"/>
              </w:rPr>
              <w:t>否则根据比例扣分，扣完为止。</w:t>
            </w:r>
          </w:p>
        </w:tc>
        <w:tc>
          <w:tcPr>
            <w:tcW w:w="91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7F1320F8">
            <w:pPr>
              <w:widowControl/>
              <w:jc w:val="center"/>
              <w:textAlignment w:val="center"/>
              <w:rPr>
                <w:rFonts w:hint="eastAsia" w:ascii="仿宋" w:hAnsi="仿宋" w:eastAsia="仿宋" w:cs="仿宋"/>
                <w:b/>
                <w:color w:val="000000"/>
                <w:sz w:val="24"/>
                <w:szCs w:val="24"/>
                <w:highlight w:val="none"/>
                <w:lang w:val="en-US" w:eastAsia="zh-CN"/>
              </w:rPr>
            </w:pPr>
            <w:r>
              <w:rPr>
                <w:rFonts w:hint="eastAsia" w:ascii="仿宋" w:hAnsi="仿宋" w:eastAsia="仿宋" w:cs="仿宋"/>
                <w:b/>
                <w:color w:val="000000"/>
                <w:kern w:val="0"/>
                <w:sz w:val="24"/>
                <w:szCs w:val="24"/>
                <w:highlight w:val="none"/>
                <w:lang w:val="en-US" w:eastAsia="zh-CN" w:bidi="ar"/>
              </w:rPr>
              <w:t>10</w:t>
            </w:r>
          </w:p>
        </w:tc>
      </w:tr>
      <w:tr w14:paraId="445AF72B">
        <w:tblPrEx>
          <w:tblCellMar>
            <w:top w:w="0" w:type="dxa"/>
            <w:left w:w="0" w:type="dxa"/>
            <w:bottom w:w="0" w:type="dxa"/>
            <w:right w:w="0" w:type="dxa"/>
          </w:tblCellMar>
        </w:tblPrEx>
        <w:trPr>
          <w:trHeight w:val="1017" w:hRule="atLeast"/>
          <w:jc w:val="center"/>
        </w:trPr>
        <w:tc>
          <w:tcPr>
            <w:tcW w:w="1215" w:type="dxa"/>
            <w:vMerge w:val="continue"/>
            <w:tcBorders>
              <w:left w:val="single" w:color="000000" w:sz="4" w:space="0"/>
              <w:right w:val="single" w:color="000000" w:sz="4" w:space="0"/>
            </w:tcBorders>
            <w:tcMar>
              <w:top w:w="15" w:type="dxa"/>
              <w:left w:w="15" w:type="dxa"/>
              <w:right w:w="15" w:type="dxa"/>
            </w:tcMar>
            <w:vAlign w:val="center"/>
          </w:tcPr>
          <w:p w14:paraId="2D4DE725">
            <w:pPr>
              <w:jc w:val="center"/>
              <w:rPr>
                <w:rFonts w:hint="eastAsia" w:ascii="仿宋" w:hAnsi="仿宋" w:eastAsia="仿宋" w:cs="仿宋"/>
                <w:b/>
                <w:color w:val="000000"/>
                <w:sz w:val="24"/>
                <w:szCs w:val="24"/>
                <w:highlight w:val="none"/>
              </w:rPr>
            </w:pPr>
          </w:p>
        </w:tc>
        <w:tc>
          <w:tcPr>
            <w:tcW w:w="1331" w:type="dxa"/>
            <w:tcBorders>
              <w:top w:val="single" w:color="000000" w:sz="4" w:space="0"/>
              <w:left w:val="nil"/>
              <w:right w:val="single" w:color="000000" w:sz="4" w:space="0"/>
            </w:tcBorders>
            <w:tcMar>
              <w:top w:w="15" w:type="dxa"/>
              <w:left w:w="15" w:type="dxa"/>
              <w:right w:w="15" w:type="dxa"/>
            </w:tcMar>
            <w:vAlign w:val="center"/>
          </w:tcPr>
          <w:p w14:paraId="73BDA873">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质量指标</w:t>
            </w:r>
          </w:p>
          <w:p w14:paraId="303E51A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10</w:t>
            </w:r>
            <w:r>
              <w:rPr>
                <w:rFonts w:hint="eastAsia" w:ascii="仿宋" w:hAnsi="仿宋" w:eastAsia="仿宋" w:cs="仿宋"/>
                <w:color w:val="000000"/>
                <w:kern w:val="0"/>
                <w:sz w:val="24"/>
                <w:szCs w:val="24"/>
                <w:highlight w:val="none"/>
                <w:lang w:bidi="ar"/>
              </w:rPr>
              <w:t>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CBA9D5">
            <w:pPr>
              <w:spacing w:line="3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质量</w:t>
            </w:r>
            <w:r>
              <w:rPr>
                <w:rFonts w:hint="eastAsia" w:ascii="仿宋" w:hAnsi="仿宋" w:eastAsia="仿宋" w:cs="仿宋"/>
                <w:sz w:val="24"/>
                <w:szCs w:val="24"/>
                <w:highlight w:val="none"/>
                <w:lang w:eastAsia="zh-CN"/>
              </w:rPr>
              <w:t>完成</w:t>
            </w:r>
            <w:r>
              <w:rPr>
                <w:rFonts w:hint="eastAsia" w:ascii="仿宋" w:hAnsi="仿宋" w:eastAsia="仿宋" w:cs="仿宋"/>
                <w:sz w:val="24"/>
                <w:szCs w:val="24"/>
                <w:highlight w:val="none"/>
              </w:rPr>
              <w:t>率</w:t>
            </w:r>
          </w:p>
          <w:p w14:paraId="206A1A5B">
            <w:pPr>
              <w:spacing w:line="300" w:lineRule="exact"/>
              <w:jc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10</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7B8502">
            <w:pPr>
              <w:spacing w:line="300" w:lineRule="exact"/>
              <w:jc w:val="left"/>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质量完成率为100%，得10分</w:t>
            </w:r>
            <w:r>
              <w:rPr>
                <w:rFonts w:hint="eastAsia" w:ascii="仿宋" w:hAnsi="仿宋" w:eastAsia="仿宋" w:cs="仿宋"/>
                <w:sz w:val="24"/>
                <w:szCs w:val="24"/>
                <w:highlight w:val="none"/>
                <w:lang w:val="en-US" w:eastAsia="zh-CN"/>
              </w:rPr>
              <w:t>，</w:t>
            </w:r>
            <w:r>
              <w:rPr>
                <w:rFonts w:hint="eastAsia" w:ascii="仿宋" w:hAnsi="仿宋" w:eastAsia="仿宋" w:cs="仿宋"/>
                <w:color w:val="000000"/>
                <w:kern w:val="0"/>
                <w:sz w:val="24"/>
                <w:szCs w:val="24"/>
                <w:highlight w:val="none"/>
                <w:lang w:val="en-US" w:eastAsia="zh-CN" w:bidi="ar"/>
              </w:rPr>
              <w:t>否则根据比例扣分，扣完为止。</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080104">
            <w:pPr>
              <w:widowControl/>
              <w:jc w:val="center"/>
              <w:textAlignment w:val="center"/>
              <w:rPr>
                <w:rFonts w:hint="eastAsia" w:ascii="仿宋" w:hAnsi="仿宋" w:eastAsia="仿宋" w:cs="仿宋"/>
                <w:b/>
                <w:color w:val="000000"/>
                <w:sz w:val="24"/>
                <w:szCs w:val="24"/>
                <w:highlight w:val="none"/>
                <w:lang w:val="en-US" w:eastAsia="zh-CN"/>
              </w:rPr>
            </w:pPr>
            <w:r>
              <w:rPr>
                <w:rFonts w:hint="eastAsia" w:ascii="仿宋" w:hAnsi="仿宋" w:eastAsia="仿宋" w:cs="仿宋"/>
                <w:b/>
                <w:color w:val="000000"/>
                <w:kern w:val="0"/>
                <w:sz w:val="24"/>
                <w:szCs w:val="24"/>
                <w:highlight w:val="none"/>
                <w:lang w:val="en-US" w:eastAsia="zh-CN" w:bidi="ar"/>
              </w:rPr>
              <w:t>10</w:t>
            </w:r>
          </w:p>
        </w:tc>
      </w:tr>
      <w:tr w14:paraId="62469486">
        <w:tblPrEx>
          <w:tblCellMar>
            <w:top w:w="0" w:type="dxa"/>
            <w:left w:w="0" w:type="dxa"/>
            <w:bottom w:w="0" w:type="dxa"/>
            <w:right w:w="0" w:type="dxa"/>
          </w:tblCellMar>
        </w:tblPrEx>
        <w:trPr>
          <w:trHeight w:val="1093" w:hRule="atLeast"/>
          <w:jc w:val="center"/>
        </w:trPr>
        <w:tc>
          <w:tcPr>
            <w:tcW w:w="1215" w:type="dxa"/>
            <w:vMerge w:val="continue"/>
            <w:tcBorders>
              <w:left w:val="single" w:color="000000" w:sz="4" w:space="0"/>
              <w:right w:val="single" w:color="000000" w:sz="4" w:space="0"/>
            </w:tcBorders>
            <w:tcMar>
              <w:top w:w="15" w:type="dxa"/>
              <w:left w:w="15" w:type="dxa"/>
              <w:right w:w="15" w:type="dxa"/>
            </w:tcMar>
            <w:vAlign w:val="center"/>
          </w:tcPr>
          <w:p w14:paraId="45C11727">
            <w:pPr>
              <w:jc w:val="center"/>
              <w:rPr>
                <w:rFonts w:hint="eastAsia" w:ascii="仿宋" w:hAnsi="仿宋" w:eastAsia="仿宋" w:cs="仿宋"/>
                <w:b/>
                <w:color w:val="000000"/>
                <w:sz w:val="24"/>
                <w:szCs w:val="24"/>
                <w:highlight w:val="none"/>
              </w:rPr>
            </w:pPr>
          </w:p>
        </w:tc>
        <w:tc>
          <w:tcPr>
            <w:tcW w:w="1331" w:type="dxa"/>
            <w:tcBorders>
              <w:top w:val="single" w:color="000000" w:sz="4" w:space="0"/>
              <w:left w:val="nil"/>
              <w:bottom w:val="single" w:color="000000" w:sz="4" w:space="0"/>
              <w:right w:val="single" w:color="000000" w:sz="4" w:space="0"/>
            </w:tcBorders>
            <w:tcMar>
              <w:top w:w="15" w:type="dxa"/>
              <w:left w:w="15" w:type="dxa"/>
              <w:right w:w="15" w:type="dxa"/>
            </w:tcMar>
            <w:vAlign w:val="center"/>
          </w:tcPr>
          <w:p w14:paraId="6F9D119A">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时效指标</w:t>
            </w:r>
          </w:p>
          <w:p w14:paraId="074ECE5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10</w:t>
            </w:r>
            <w:r>
              <w:rPr>
                <w:rFonts w:hint="eastAsia" w:ascii="仿宋" w:hAnsi="仿宋" w:eastAsia="仿宋" w:cs="仿宋"/>
                <w:color w:val="000000"/>
                <w:kern w:val="0"/>
                <w:sz w:val="24"/>
                <w:szCs w:val="24"/>
                <w:highlight w:val="none"/>
                <w:lang w:bidi="ar"/>
              </w:rPr>
              <w:t>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02C5B8">
            <w:pPr>
              <w:widowControl/>
              <w:ind w:firstLine="0" w:firstLineChars="0"/>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完成及时性</w:t>
            </w:r>
          </w:p>
          <w:p w14:paraId="0CA1F345">
            <w:pPr>
              <w:widowControl/>
              <w:ind w:firstLine="0" w:firstLineChars="0"/>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eastAsia="zh-CN" w:bidi="ar"/>
              </w:rPr>
              <w:t>（</w:t>
            </w:r>
            <w:r>
              <w:rPr>
                <w:rFonts w:hint="eastAsia" w:ascii="仿宋" w:hAnsi="仿宋" w:eastAsia="仿宋" w:cs="仿宋"/>
                <w:color w:val="000000"/>
                <w:kern w:val="0"/>
                <w:sz w:val="24"/>
                <w:szCs w:val="24"/>
                <w:highlight w:val="none"/>
                <w:lang w:val="en-US" w:eastAsia="zh-CN" w:bidi="ar"/>
              </w:rPr>
              <w:t>10分</w:t>
            </w:r>
            <w:r>
              <w:rPr>
                <w:rFonts w:hint="eastAsia" w:ascii="仿宋" w:hAnsi="仿宋" w:eastAsia="仿宋" w:cs="仿宋"/>
                <w:color w:val="000000"/>
                <w:kern w:val="0"/>
                <w:sz w:val="24"/>
                <w:szCs w:val="24"/>
                <w:highlight w:val="none"/>
                <w:lang w:eastAsia="zh-CN" w:bidi="ar"/>
              </w:rPr>
              <w:t>）</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CBF8CD">
            <w:pPr>
              <w:widowControl/>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实际完成月份不晚于计划月份，得</w:t>
            </w:r>
            <w:r>
              <w:rPr>
                <w:rFonts w:hint="eastAsia" w:ascii="仿宋" w:hAnsi="仿宋" w:eastAsia="仿宋" w:cs="仿宋"/>
                <w:color w:val="000000"/>
                <w:kern w:val="0"/>
                <w:sz w:val="24"/>
                <w:szCs w:val="24"/>
                <w:highlight w:val="none"/>
                <w:lang w:val="en-US" w:eastAsia="zh-CN" w:bidi="ar"/>
              </w:rPr>
              <w:t>10</w:t>
            </w:r>
            <w:r>
              <w:rPr>
                <w:rFonts w:hint="eastAsia" w:ascii="仿宋" w:hAnsi="仿宋" w:eastAsia="仿宋" w:cs="仿宋"/>
                <w:color w:val="000000"/>
                <w:kern w:val="0"/>
                <w:sz w:val="24"/>
                <w:szCs w:val="24"/>
                <w:highlight w:val="none"/>
                <w:lang w:bidi="ar"/>
              </w:rPr>
              <w:t>分；比计划月份每晚1个月扣1分，扣完为止</w:t>
            </w:r>
            <w:r>
              <w:rPr>
                <w:rFonts w:hint="eastAsia" w:ascii="仿宋" w:hAnsi="仿宋" w:eastAsia="仿宋" w:cs="仿宋"/>
                <w:color w:val="000000"/>
                <w:kern w:val="0"/>
                <w:sz w:val="24"/>
                <w:szCs w:val="24"/>
                <w:highlight w:val="none"/>
                <w:lang w:eastAsia="zh-CN" w:bidi="ar"/>
              </w:rPr>
              <w:t>。</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F2E426">
            <w:pPr>
              <w:widowControl/>
              <w:jc w:val="center"/>
              <w:textAlignment w:val="center"/>
              <w:rPr>
                <w:rFonts w:hint="eastAsia" w:ascii="仿宋" w:hAnsi="仿宋" w:eastAsia="仿宋" w:cs="仿宋"/>
                <w:b/>
                <w:color w:val="000000"/>
                <w:sz w:val="24"/>
                <w:szCs w:val="24"/>
                <w:highlight w:val="none"/>
                <w:lang w:val="en-US" w:eastAsia="zh-CN"/>
              </w:rPr>
            </w:pPr>
            <w:r>
              <w:rPr>
                <w:rFonts w:hint="eastAsia" w:ascii="仿宋" w:hAnsi="仿宋" w:eastAsia="仿宋" w:cs="仿宋"/>
                <w:b/>
                <w:color w:val="000000"/>
                <w:kern w:val="0"/>
                <w:sz w:val="24"/>
                <w:szCs w:val="24"/>
                <w:highlight w:val="none"/>
                <w:lang w:val="en-US" w:eastAsia="zh-CN" w:bidi="ar"/>
              </w:rPr>
              <w:t>10</w:t>
            </w:r>
          </w:p>
        </w:tc>
      </w:tr>
      <w:tr w14:paraId="68AC8C26">
        <w:tblPrEx>
          <w:tblCellMar>
            <w:top w:w="0" w:type="dxa"/>
            <w:left w:w="0" w:type="dxa"/>
            <w:bottom w:w="0" w:type="dxa"/>
            <w:right w:w="0" w:type="dxa"/>
          </w:tblCellMar>
        </w:tblPrEx>
        <w:trPr>
          <w:trHeight w:val="840" w:hRule="atLeast"/>
          <w:jc w:val="center"/>
        </w:trPr>
        <w:tc>
          <w:tcPr>
            <w:tcW w:w="1215" w:type="dxa"/>
            <w:vMerge w:val="continue"/>
            <w:tcBorders>
              <w:left w:val="single" w:color="000000" w:sz="4" w:space="0"/>
              <w:bottom w:val="single" w:color="auto" w:sz="4" w:space="0"/>
              <w:right w:val="single" w:color="000000" w:sz="4" w:space="0"/>
            </w:tcBorders>
            <w:tcMar>
              <w:top w:w="15" w:type="dxa"/>
              <w:left w:w="15" w:type="dxa"/>
              <w:right w:w="15" w:type="dxa"/>
            </w:tcMar>
            <w:vAlign w:val="center"/>
          </w:tcPr>
          <w:p w14:paraId="6D49C709">
            <w:pPr>
              <w:jc w:val="center"/>
              <w:rPr>
                <w:rFonts w:hint="eastAsia" w:ascii="仿宋" w:hAnsi="仿宋" w:eastAsia="仿宋" w:cs="仿宋"/>
                <w:b/>
                <w:color w:val="000000"/>
                <w:sz w:val="24"/>
                <w:szCs w:val="24"/>
                <w:highlight w:val="none"/>
              </w:rPr>
            </w:pPr>
          </w:p>
        </w:tc>
        <w:tc>
          <w:tcPr>
            <w:tcW w:w="1331" w:type="dxa"/>
            <w:tcBorders>
              <w:top w:val="single" w:color="000000" w:sz="4" w:space="0"/>
              <w:left w:val="nil"/>
              <w:bottom w:val="single" w:color="000000" w:sz="4" w:space="0"/>
              <w:right w:val="single" w:color="000000" w:sz="4" w:space="0"/>
            </w:tcBorders>
            <w:tcMar>
              <w:top w:w="15" w:type="dxa"/>
              <w:left w:w="15" w:type="dxa"/>
              <w:right w:w="15" w:type="dxa"/>
            </w:tcMar>
            <w:vAlign w:val="center"/>
          </w:tcPr>
          <w:p w14:paraId="65285ACF">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eastAsia="zh-CN" w:bidi="ar"/>
              </w:rPr>
              <w:t>成本</w:t>
            </w:r>
            <w:r>
              <w:rPr>
                <w:rFonts w:hint="eastAsia" w:ascii="仿宋" w:hAnsi="仿宋" w:eastAsia="仿宋" w:cs="仿宋"/>
                <w:color w:val="000000"/>
                <w:kern w:val="0"/>
                <w:sz w:val="24"/>
                <w:szCs w:val="24"/>
                <w:highlight w:val="none"/>
                <w:lang w:bidi="ar"/>
              </w:rPr>
              <w:t>指标</w:t>
            </w:r>
          </w:p>
          <w:p w14:paraId="47281DA5">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A4E09B">
            <w:pPr>
              <w:widowControl/>
              <w:ind w:firstLine="0" w:firstLineChars="0"/>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成本节约率</w:t>
            </w:r>
          </w:p>
          <w:p w14:paraId="0627A69B">
            <w:pPr>
              <w:widowControl/>
              <w:ind w:firstLine="0" w:firstLineChars="0"/>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eastAsia="zh-CN" w:bidi="ar"/>
              </w:rPr>
              <w:t>（</w:t>
            </w:r>
            <w:r>
              <w:rPr>
                <w:rFonts w:hint="eastAsia" w:ascii="仿宋" w:hAnsi="仿宋" w:eastAsia="仿宋" w:cs="仿宋"/>
                <w:color w:val="000000"/>
                <w:kern w:val="0"/>
                <w:sz w:val="24"/>
                <w:szCs w:val="24"/>
                <w:highlight w:val="none"/>
                <w:lang w:val="en-US" w:eastAsia="zh-CN" w:bidi="ar"/>
              </w:rPr>
              <w:t>5分</w:t>
            </w:r>
            <w:r>
              <w:rPr>
                <w:rFonts w:hint="eastAsia" w:ascii="仿宋" w:hAnsi="仿宋" w:eastAsia="仿宋" w:cs="仿宋"/>
                <w:color w:val="000000"/>
                <w:kern w:val="0"/>
                <w:sz w:val="24"/>
                <w:szCs w:val="24"/>
                <w:highlight w:val="none"/>
                <w:lang w:eastAsia="zh-CN" w:bidi="ar"/>
              </w:rPr>
              <w:t>）</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5628EC">
            <w:pPr>
              <w:widowControl/>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eastAsia="zh-CN" w:bidi="ar"/>
              </w:rPr>
              <w:t>评价完成项目计划工作目标的实际节约成本与计划成本的比率。节约或未超过成本，得</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eastAsia="zh-CN" w:bidi="ar"/>
              </w:rPr>
              <w:t>分，超过计划成本，扣2分，扣完为止。</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9BEFC6">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5</w:t>
            </w:r>
          </w:p>
        </w:tc>
      </w:tr>
      <w:tr w14:paraId="4BB9B782">
        <w:tblPrEx>
          <w:tblCellMar>
            <w:top w:w="0" w:type="dxa"/>
            <w:left w:w="0" w:type="dxa"/>
            <w:bottom w:w="0" w:type="dxa"/>
            <w:right w:w="0" w:type="dxa"/>
          </w:tblCellMar>
        </w:tblPrEx>
        <w:trPr>
          <w:trHeight w:val="567" w:hRule="atLeast"/>
          <w:jc w:val="center"/>
        </w:trPr>
        <w:tc>
          <w:tcPr>
            <w:tcW w:w="1215"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5B80F68F">
            <w:pPr>
              <w:widowControl/>
              <w:jc w:val="center"/>
              <w:textAlignment w:val="center"/>
              <w:rPr>
                <w:rFonts w:hint="eastAsia" w:ascii="仿宋" w:hAnsi="仿宋" w:eastAsia="仿宋" w:cs="仿宋"/>
                <w:b/>
                <w:color w:val="000000"/>
                <w:kern w:val="0"/>
                <w:sz w:val="24"/>
                <w:szCs w:val="24"/>
                <w:highlight w:val="none"/>
                <w:lang w:bidi="ar"/>
              </w:rPr>
            </w:pPr>
            <w:r>
              <w:rPr>
                <w:rFonts w:hint="eastAsia" w:ascii="仿宋" w:hAnsi="仿宋" w:eastAsia="仿宋" w:cs="仿宋"/>
                <w:b/>
                <w:color w:val="000000"/>
                <w:kern w:val="0"/>
                <w:sz w:val="24"/>
                <w:szCs w:val="24"/>
                <w:highlight w:val="none"/>
                <w:lang w:bidi="ar"/>
              </w:rPr>
              <w:t>预算执行率指标</w:t>
            </w:r>
          </w:p>
          <w:p w14:paraId="331C5CAD">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kern w:val="0"/>
                <w:sz w:val="24"/>
                <w:szCs w:val="24"/>
                <w:highlight w:val="none"/>
                <w:lang w:bidi="ar"/>
              </w:rPr>
              <w:t>（10分）</w:t>
            </w:r>
          </w:p>
        </w:tc>
        <w:tc>
          <w:tcPr>
            <w:tcW w:w="13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355566">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预算执行率</w:t>
            </w:r>
          </w:p>
          <w:p w14:paraId="742960B1">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指标</w:t>
            </w:r>
          </w:p>
          <w:p w14:paraId="5613A8E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（10分）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B62F3E">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预算执行率</w:t>
            </w:r>
          </w:p>
          <w:p w14:paraId="295DD3A2">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（10分）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E89A61">
            <w:pPr>
              <w:widowControl/>
              <w:jc w:val="left"/>
              <w:textAlignment w:val="center"/>
              <w:rPr>
                <w:rFonts w:hint="eastAsia" w:ascii="仿宋" w:hAnsi="仿宋" w:eastAsia="仿宋" w:cs="仿宋"/>
                <w:color w:val="000000"/>
                <w:kern w:val="0"/>
                <w:sz w:val="24"/>
                <w:szCs w:val="24"/>
                <w:highlight w:val="none"/>
                <w:lang w:eastAsia="zh-CN" w:bidi="ar"/>
              </w:rPr>
            </w:pPr>
            <w:r>
              <w:rPr>
                <w:rFonts w:hint="eastAsia" w:ascii="仿宋" w:hAnsi="仿宋" w:eastAsia="仿宋" w:cs="仿宋"/>
                <w:color w:val="000000"/>
                <w:kern w:val="0"/>
                <w:sz w:val="24"/>
                <w:szCs w:val="24"/>
                <w:highlight w:val="none"/>
                <w:lang w:eastAsia="zh-CN" w:bidi="ar"/>
              </w:rPr>
              <w:t>预算执行率=项目实际总金额/预算金额*100%，预算执行率100%，10分；90%-100%，</w:t>
            </w:r>
            <w:r>
              <w:rPr>
                <w:rFonts w:hint="eastAsia" w:ascii="仿宋" w:hAnsi="仿宋" w:eastAsia="仿宋" w:cs="仿宋"/>
                <w:color w:val="000000"/>
                <w:kern w:val="0"/>
                <w:sz w:val="24"/>
                <w:szCs w:val="24"/>
                <w:highlight w:val="none"/>
                <w:lang w:val="en-US" w:eastAsia="zh-CN" w:bidi="ar"/>
              </w:rPr>
              <w:t>9</w:t>
            </w:r>
            <w:r>
              <w:rPr>
                <w:rFonts w:hint="eastAsia" w:ascii="仿宋" w:hAnsi="仿宋" w:eastAsia="仿宋" w:cs="仿宋"/>
                <w:color w:val="000000"/>
                <w:kern w:val="0"/>
                <w:sz w:val="24"/>
                <w:szCs w:val="24"/>
                <w:highlight w:val="none"/>
                <w:lang w:eastAsia="zh-CN" w:bidi="ar"/>
              </w:rPr>
              <w:t>分；80%-90%以下，</w:t>
            </w:r>
            <w:r>
              <w:rPr>
                <w:rFonts w:hint="eastAsia" w:ascii="仿宋" w:hAnsi="仿宋" w:eastAsia="仿宋" w:cs="仿宋"/>
                <w:color w:val="000000"/>
                <w:kern w:val="0"/>
                <w:sz w:val="24"/>
                <w:szCs w:val="24"/>
                <w:highlight w:val="none"/>
                <w:lang w:val="en-US" w:eastAsia="zh-CN" w:bidi="ar"/>
              </w:rPr>
              <w:t>8</w:t>
            </w:r>
            <w:r>
              <w:rPr>
                <w:rFonts w:hint="eastAsia" w:ascii="仿宋" w:hAnsi="仿宋" w:eastAsia="仿宋" w:cs="仿宋"/>
                <w:color w:val="000000"/>
                <w:kern w:val="0"/>
                <w:sz w:val="24"/>
                <w:szCs w:val="24"/>
                <w:highlight w:val="none"/>
                <w:lang w:eastAsia="zh-CN" w:bidi="ar"/>
              </w:rPr>
              <w:t>分；70%-80&amp;，4分；70%以下，不得分</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5F135F">
            <w:pPr>
              <w:widowControl/>
              <w:jc w:val="center"/>
              <w:textAlignment w:val="center"/>
              <w:rPr>
                <w:rFonts w:hint="eastAsia" w:ascii="仿宋" w:hAnsi="仿宋" w:eastAsia="仿宋" w:cs="仿宋"/>
                <w:b/>
                <w:color w:val="000000"/>
                <w:sz w:val="24"/>
                <w:szCs w:val="24"/>
                <w:highlight w:val="none"/>
                <w:lang w:eastAsia="zh-CN"/>
              </w:rPr>
            </w:pPr>
            <w:r>
              <w:rPr>
                <w:rFonts w:hint="eastAsia" w:ascii="仿宋" w:hAnsi="仿宋" w:eastAsia="仿宋" w:cs="仿宋"/>
                <w:b/>
                <w:color w:val="000000"/>
                <w:kern w:val="0"/>
                <w:sz w:val="24"/>
                <w:szCs w:val="24"/>
                <w:highlight w:val="none"/>
                <w:lang w:val="en-US" w:eastAsia="zh-CN" w:bidi="ar"/>
              </w:rPr>
              <w:t>8</w:t>
            </w:r>
          </w:p>
        </w:tc>
      </w:tr>
      <w:tr w14:paraId="515BB1E2">
        <w:tblPrEx>
          <w:tblCellMar>
            <w:top w:w="0" w:type="dxa"/>
            <w:left w:w="0" w:type="dxa"/>
            <w:bottom w:w="0" w:type="dxa"/>
            <w:right w:w="0" w:type="dxa"/>
          </w:tblCellMar>
        </w:tblPrEx>
        <w:trPr>
          <w:trHeight w:val="963" w:hRule="atLeast"/>
          <w:jc w:val="center"/>
        </w:trPr>
        <w:tc>
          <w:tcPr>
            <w:tcW w:w="1215"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CBCBCC1">
            <w:pPr>
              <w:widowControl/>
              <w:jc w:val="both"/>
              <w:textAlignment w:val="center"/>
              <w:rPr>
                <w:rFonts w:hint="eastAsia" w:ascii="仿宋" w:hAnsi="仿宋" w:eastAsia="仿宋" w:cs="仿宋"/>
                <w:b/>
                <w:color w:val="000000"/>
                <w:kern w:val="0"/>
                <w:sz w:val="24"/>
                <w:szCs w:val="24"/>
                <w:highlight w:val="none"/>
                <w:lang w:bidi="ar"/>
              </w:rPr>
            </w:pPr>
          </w:p>
          <w:p w14:paraId="56CE0DB1">
            <w:pPr>
              <w:widowControl/>
              <w:jc w:val="center"/>
              <w:textAlignment w:val="center"/>
              <w:rPr>
                <w:rFonts w:hint="eastAsia" w:ascii="仿宋" w:hAnsi="仿宋" w:eastAsia="仿宋" w:cs="仿宋"/>
                <w:b/>
                <w:color w:val="000000"/>
                <w:kern w:val="0"/>
                <w:sz w:val="24"/>
                <w:szCs w:val="24"/>
                <w:highlight w:val="none"/>
                <w:lang w:bidi="ar"/>
              </w:rPr>
            </w:pPr>
            <w:r>
              <w:rPr>
                <w:rFonts w:hint="eastAsia" w:ascii="仿宋" w:hAnsi="仿宋" w:eastAsia="仿宋" w:cs="仿宋"/>
                <w:b/>
                <w:color w:val="000000"/>
                <w:kern w:val="0"/>
                <w:sz w:val="24"/>
                <w:szCs w:val="24"/>
                <w:highlight w:val="none"/>
                <w:lang w:bidi="ar"/>
              </w:rPr>
              <w:t>效果指标</w:t>
            </w:r>
          </w:p>
          <w:p w14:paraId="592D4AAB">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kern w:val="0"/>
                <w:sz w:val="24"/>
                <w:szCs w:val="24"/>
                <w:highlight w:val="none"/>
                <w:lang w:bidi="ar"/>
              </w:rPr>
              <w:t>（</w:t>
            </w:r>
            <w:r>
              <w:rPr>
                <w:rFonts w:hint="eastAsia" w:ascii="仿宋" w:hAnsi="仿宋" w:eastAsia="仿宋" w:cs="仿宋"/>
                <w:b/>
                <w:color w:val="000000"/>
                <w:kern w:val="0"/>
                <w:sz w:val="24"/>
                <w:szCs w:val="24"/>
                <w:highlight w:val="none"/>
                <w:lang w:val="en-US" w:eastAsia="zh-CN" w:bidi="ar"/>
              </w:rPr>
              <w:t>10</w:t>
            </w:r>
            <w:r>
              <w:rPr>
                <w:rFonts w:hint="eastAsia" w:ascii="仿宋" w:hAnsi="仿宋" w:eastAsia="仿宋" w:cs="仿宋"/>
                <w:b/>
                <w:color w:val="000000"/>
                <w:kern w:val="0"/>
                <w:sz w:val="24"/>
                <w:szCs w:val="24"/>
                <w:highlight w:val="none"/>
                <w:lang w:bidi="ar"/>
              </w:rPr>
              <w:t>分）</w:t>
            </w:r>
          </w:p>
        </w:tc>
        <w:tc>
          <w:tcPr>
            <w:tcW w:w="1331"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2468BBC9">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社会效益</w:t>
            </w:r>
          </w:p>
          <w:p w14:paraId="7E3A8371">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指标</w:t>
            </w:r>
          </w:p>
          <w:p w14:paraId="6A59850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0AEF43">
            <w:pPr>
              <w:widowControl/>
              <w:jc w:val="center"/>
              <w:textAlignment w:val="center"/>
              <w:rPr>
                <w:rFonts w:hint="eastAsia" w:ascii="仿宋" w:hAnsi="仿宋" w:eastAsia="仿宋" w:cs="仿宋"/>
                <w:color w:val="000000"/>
                <w:kern w:val="0"/>
                <w:sz w:val="24"/>
                <w:szCs w:val="24"/>
                <w:highlight w:val="none"/>
                <w:lang w:eastAsia="zh-CN" w:bidi="ar"/>
              </w:rPr>
            </w:pPr>
            <w:r>
              <w:rPr>
                <w:rFonts w:hint="eastAsia" w:ascii="仿宋" w:hAnsi="仿宋" w:eastAsia="仿宋" w:cs="仿宋"/>
                <w:color w:val="000000"/>
                <w:kern w:val="0"/>
                <w:sz w:val="24"/>
                <w:szCs w:val="24"/>
                <w:highlight w:val="none"/>
                <w:lang w:val="en-US" w:eastAsia="zh-CN" w:bidi="ar"/>
              </w:rPr>
              <w:t>调动青年服务社会能力</w:t>
            </w:r>
          </w:p>
          <w:p w14:paraId="32EA53FC">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BA07E0">
            <w:pPr>
              <w:widowControl/>
              <w:jc w:val="left"/>
              <w:textAlignment w:val="center"/>
              <w:rPr>
                <w:rFonts w:hint="eastAsia" w:ascii="仿宋" w:hAnsi="仿宋" w:eastAsia="仿宋" w:cs="仿宋"/>
                <w:color w:val="000000"/>
                <w:kern w:val="0"/>
                <w:sz w:val="24"/>
                <w:szCs w:val="24"/>
                <w:highlight w:val="none"/>
                <w:lang w:eastAsia="zh-CN" w:bidi="ar"/>
              </w:rPr>
            </w:pPr>
            <w:r>
              <w:rPr>
                <w:rFonts w:hint="eastAsia" w:ascii="仿宋" w:hAnsi="仿宋" w:eastAsia="仿宋" w:cs="仿宋"/>
                <w:color w:val="000000"/>
                <w:kern w:val="0"/>
                <w:sz w:val="24"/>
                <w:szCs w:val="24"/>
                <w:highlight w:val="none"/>
                <w:lang w:eastAsia="zh-CN" w:bidi="ar"/>
              </w:rPr>
              <w:t>调动青年服务社会能力，效果明显，</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eastAsia="zh-CN" w:bidi="ar"/>
              </w:rPr>
              <w:t>分；根据实际情况酌情扣分，扣完为止。</w:t>
            </w:r>
          </w:p>
          <w:p w14:paraId="40037960">
            <w:pPr>
              <w:widowControl/>
              <w:jc w:val="left"/>
              <w:textAlignment w:val="center"/>
              <w:rPr>
                <w:rFonts w:hint="eastAsia" w:ascii="仿宋" w:hAnsi="仿宋" w:eastAsia="仿宋" w:cs="仿宋"/>
                <w:color w:val="000000"/>
                <w:kern w:val="0"/>
                <w:sz w:val="24"/>
                <w:szCs w:val="24"/>
                <w:highlight w:val="none"/>
                <w:lang w:eastAsia="zh-CN" w:bidi="ar"/>
              </w:rPr>
            </w:pP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BDA040">
            <w:pPr>
              <w:widowControl/>
              <w:jc w:val="center"/>
              <w:textAlignment w:val="center"/>
              <w:rPr>
                <w:rFonts w:hint="eastAsia" w:ascii="仿宋" w:hAnsi="仿宋" w:eastAsia="仿宋" w:cs="仿宋"/>
                <w:b/>
                <w:color w:val="000000"/>
                <w:sz w:val="24"/>
                <w:szCs w:val="24"/>
                <w:highlight w:val="none"/>
                <w:lang w:eastAsia="zh-CN"/>
              </w:rPr>
            </w:pPr>
            <w:r>
              <w:rPr>
                <w:rFonts w:hint="eastAsia" w:ascii="仿宋" w:hAnsi="仿宋" w:eastAsia="仿宋" w:cs="仿宋"/>
                <w:b/>
                <w:color w:val="000000"/>
                <w:kern w:val="0"/>
                <w:sz w:val="24"/>
                <w:szCs w:val="24"/>
                <w:highlight w:val="none"/>
                <w:lang w:val="en-US" w:eastAsia="zh-CN" w:bidi="ar"/>
              </w:rPr>
              <w:t>2.5</w:t>
            </w:r>
          </w:p>
        </w:tc>
      </w:tr>
      <w:tr w14:paraId="1D78F06F">
        <w:tblPrEx>
          <w:tblCellMar>
            <w:top w:w="0" w:type="dxa"/>
            <w:left w:w="0" w:type="dxa"/>
            <w:bottom w:w="0" w:type="dxa"/>
            <w:right w:w="0" w:type="dxa"/>
          </w:tblCellMar>
        </w:tblPrEx>
        <w:trPr>
          <w:trHeight w:val="963" w:hRule="atLeast"/>
          <w:jc w:val="center"/>
        </w:trPr>
        <w:tc>
          <w:tcPr>
            <w:tcW w:w="1215" w:type="dxa"/>
            <w:vMerge w:val="continue"/>
            <w:tcBorders>
              <w:left w:val="single" w:color="000000" w:sz="4" w:space="0"/>
              <w:right w:val="single" w:color="000000" w:sz="4" w:space="0"/>
            </w:tcBorders>
            <w:tcMar>
              <w:top w:w="15" w:type="dxa"/>
              <w:left w:w="15" w:type="dxa"/>
              <w:right w:w="15" w:type="dxa"/>
            </w:tcMar>
            <w:vAlign w:val="center"/>
          </w:tcPr>
          <w:p w14:paraId="60C5E1BC">
            <w:pPr>
              <w:widowControl/>
              <w:jc w:val="center"/>
              <w:textAlignment w:val="center"/>
              <w:rPr>
                <w:rFonts w:hint="eastAsia" w:ascii="仿宋" w:hAnsi="仿宋" w:eastAsia="仿宋" w:cs="仿宋"/>
                <w:b/>
                <w:color w:val="000000"/>
                <w:kern w:val="0"/>
                <w:sz w:val="24"/>
                <w:szCs w:val="24"/>
                <w:highlight w:val="none"/>
                <w:lang w:bidi="ar"/>
              </w:rPr>
            </w:pPr>
          </w:p>
        </w:tc>
        <w:tc>
          <w:tcPr>
            <w:tcW w:w="1331" w:type="dxa"/>
            <w:vMerge w:val="continue"/>
            <w:tcBorders>
              <w:left w:val="single" w:color="000000" w:sz="4" w:space="0"/>
              <w:right w:val="single" w:color="000000" w:sz="4" w:space="0"/>
            </w:tcBorders>
            <w:tcMar>
              <w:top w:w="15" w:type="dxa"/>
              <w:left w:w="15" w:type="dxa"/>
              <w:right w:w="15" w:type="dxa"/>
            </w:tcMar>
            <w:vAlign w:val="center"/>
          </w:tcPr>
          <w:p w14:paraId="638AB446">
            <w:pPr>
              <w:widowControl/>
              <w:jc w:val="center"/>
              <w:textAlignment w:val="center"/>
              <w:rPr>
                <w:rFonts w:hint="eastAsia" w:ascii="仿宋" w:hAnsi="仿宋" w:eastAsia="仿宋" w:cs="仿宋"/>
                <w:color w:val="000000"/>
                <w:kern w:val="0"/>
                <w:sz w:val="24"/>
                <w:szCs w:val="24"/>
                <w:highlight w:val="none"/>
                <w:lang w:bidi="ar"/>
              </w:rPr>
            </w:pP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0759F0">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eastAsia="zh-CN" w:bidi="ar"/>
              </w:rPr>
              <w:t>就业岗位带动率</w:t>
            </w: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22DED5">
            <w:pPr>
              <w:widowControl/>
              <w:jc w:val="left"/>
              <w:textAlignment w:val="center"/>
              <w:rPr>
                <w:rFonts w:hint="eastAsia" w:ascii="仿宋" w:hAnsi="仿宋" w:eastAsia="仿宋" w:cs="仿宋"/>
                <w:color w:val="000000"/>
                <w:kern w:val="0"/>
                <w:sz w:val="24"/>
                <w:szCs w:val="24"/>
                <w:highlight w:val="none"/>
                <w:lang w:eastAsia="zh-CN" w:bidi="ar"/>
              </w:rPr>
            </w:pPr>
            <w:r>
              <w:rPr>
                <w:rFonts w:hint="eastAsia" w:ascii="仿宋" w:hAnsi="仿宋" w:eastAsia="仿宋" w:cs="仿宋"/>
                <w:color w:val="000000"/>
                <w:kern w:val="0"/>
                <w:sz w:val="24"/>
                <w:szCs w:val="24"/>
                <w:highlight w:val="none"/>
                <w:lang w:eastAsia="zh-CN" w:bidi="ar"/>
              </w:rPr>
              <w:t>就业岗位带动率，效果明显，</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eastAsia="zh-CN" w:bidi="ar"/>
              </w:rPr>
              <w:t>分；根据实际情况酌情扣分，扣完为止。</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E0E587">
            <w:pPr>
              <w:widowControl/>
              <w:jc w:val="center"/>
              <w:textAlignment w:val="center"/>
              <w:rPr>
                <w:rFonts w:hint="default" w:ascii="仿宋" w:hAnsi="仿宋" w:eastAsia="仿宋" w:cs="仿宋"/>
                <w:b/>
                <w:color w:val="000000"/>
                <w:kern w:val="0"/>
                <w:sz w:val="24"/>
                <w:szCs w:val="24"/>
                <w:highlight w:val="none"/>
                <w:lang w:val="en-US" w:eastAsia="zh-CN" w:bidi="ar"/>
              </w:rPr>
            </w:pPr>
            <w:r>
              <w:rPr>
                <w:rFonts w:hint="eastAsia" w:ascii="仿宋" w:hAnsi="仿宋" w:eastAsia="仿宋" w:cs="仿宋"/>
                <w:b/>
                <w:color w:val="000000"/>
                <w:kern w:val="0"/>
                <w:sz w:val="24"/>
                <w:szCs w:val="24"/>
                <w:highlight w:val="none"/>
                <w:lang w:val="en-US" w:eastAsia="zh-CN" w:bidi="ar"/>
              </w:rPr>
              <w:t>2.5</w:t>
            </w:r>
          </w:p>
        </w:tc>
      </w:tr>
      <w:tr w14:paraId="114FFB32">
        <w:tblPrEx>
          <w:tblCellMar>
            <w:top w:w="0" w:type="dxa"/>
            <w:left w:w="0" w:type="dxa"/>
            <w:bottom w:w="0" w:type="dxa"/>
            <w:right w:w="0" w:type="dxa"/>
          </w:tblCellMar>
        </w:tblPrEx>
        <w:trPr>
          <w:trHeight w:val="963" w:hRule="atLeast"/>
          <w:jc w:val="center"/>
        </w:trPr>
        <w:tc>
          <w:tcPr>
            <w:tcW w:w="1215" w:type="dxa"/>
            <w:vMerge w:val="continue"/>
            <w:tcBorders>
              <w:left w:val="single" w:color="000000" w:sz="4" w:space="0"/>
              <w:right w:val="single" w:color="000000" w:sz="4" w:space="0"/>
            </w:tcBorders>
            <w:tcMar>
              <w:top w:w="15" w:type="dxa"/>
              <w:left w:w="15" w:type="dxa"/>
              <w:right w:w="15" w:type="dxa"/>
            </w:tcMar>
            <w:vAlign w:val="center"/>
          </w:tcPr>
          <w:p w14:paraId="68DD13B2">
            <w:pPr>
              <w:widowControl/>
              <w:jc w:val="center"/>
              <w:textAlignment w:val="center"/>
              <w:rPr>
                <w:rFonts w:hint="eastAsia" w:ascii="仿宋" w:hAnsi="仿宋" w:eastAsia="仿宋" w:cs="仿宋"/>
                <w:b/>
                <w:color w:val="000000"/>
                <w:kern w:val="0"/>
                <w:sz w:val="24"/>
                <w:szCs w:val="24"/>
                <w:highlight w:val="none"/>
                <w:lang w:bidi="ar"/>
              </w:rPr>
            </w:pPr>
          </w:p>
        </w:tc>
        <w:tc>
          <w:tcPr>
            <w:tcW w:w="1331"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C6998AE">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可持续影响指标</w:t>
            </w:r>
          </w:p>
          <w:p w14:paraId="1242B826">
            <w:pPr>
              <w:widowControl/>
              <w:jc w:val="center"/>
              <w:textAlignment w:val="center"/>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2083C6">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长期青年发展规划力（</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932971">
            <w:pPr>
              <w:widowControl/>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eastAsia="zh-CN" w:bidi="ar"/>
              </w:rPr>
              <w:t>长期青年发展规划力，效果明显，</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eastAsia="zh-CN" w:bidi="ar"/>
              </w:rPr>
              <w:t>分；根据实际情况酌情扣分，扣完为止。</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9657B0">
            <w:pPr>
              <w:widowControl/>
              <w:jc w:val="center"/>
              <w:textAlignment w:val="center"/>
              <w:rPr>
                <w:rFonts w:hint="eastAsia"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kern w:val="0"/>
                <w:sz w:val="24"/>
                <w:szCs w:val="24"/>
                <w:highlight w:val="none"/>
                <w:lang w:val="en-US" w:eastAsia="zh-CN" w:bidi="ar"/>
              </w:rPr>
              <w:t>2.5</w:t>
            </w:r>
          </w:p>
        </w:tc>
      </w:tr>
      <w:tr w14:paraId="56EFBB70">
        <w:tblPrEx>
          <w:tblCellMar>
            <w:top w:w="0" w:type="dxa"/>
            <w:left w:w="0" w:type="dxa"/>
            <w:bottom w:w="0" w:type="dxa"/>
            <w:right w:w="0" w:type="dxa"/>
          </w:tblCellMar>
        </w:tblPrEx>
        <w:trPr>
          <w:trHeight w:val="963" w:hRule="atLeast"/>
          <w:jc w:val="center"/>
        </w:trPr>
        <w:tc>
          <w:tcPr>
            <w:tcW w:w="1215" w:type="dxa"/>
            <w:tcBorders>
              <w:left w:val="single" w:color="000000" w:sz="4" w:space="0"/>
              <w:right w:val="single" w:color="000000" w:sz="4" w:space="0"/>
            </w:tcBorders>
            <w:tcMar>
              <w:top w:w="15" w:type="dxa"/>
              <w:left w:w="15" w:type="dxa"/>
              <w:right w:w="15" w:type="dxa"/>
            </w:tcMar>
            <w:vAlign w:val="center"/>
          </w:tcPr>
          <w:p w14:paraId="2B84717A">
            <w:pPr>
              <w:widowControl/>
              <w:jc w:val="center"/>
              <w:textAlignment w:val="center"/>
              <w:rPr>
                <w:rFonts w:hint="eastAsia" w:ascii="仿宋" w:hAnsi="仿宋" w:eastAsia="仿宋" w:cs="仿宋"/>
                <w:b/>
                <w:color w:val="000000"/>
                <w:kern w:val="0"/>
                <w:sz w:val="24"/>
                <w:szCs w:val="24"/>
                <w:highlight w:val="none"/>
                <w:lang w:bidi="ar"/>
              </w:rPr>
            </w:pPr>
          </w:p>
        </w:tc>
        <w:tc>
          <w:tcPr>
            <w:tcW w:w="1331" w:type="dxa"/>
            <w:vMerge w:val="continue"/>
            <w:tcBorders>
              <w:left w:val="single" w:color="000000" w:sz="4" w:space="0"/>
              <w:right w:val="single" w:color="000000" w:sz="4" w:space="0"/>
            </w:tcBorders>
            <w:tcMar>
              <w:top w:w="15" w:type="dxa"/>
              <w:left w:w="15" w:type="dxa"/>
              <w:right w:w="15" w:type="dxa"/>
            </w:tcMar>
            <w:vAlign w:val="center"/>
          </w:tcPr>
          <w:p w14:paraId="3DBFB816">
            <w:pPr>
              <w:widowControl/>
              <w:jc w:val="center"/>
              <w:textAlignment w:val="center"/>
              <w:rPr>
                <w:rFonts w:hint="eastAsia" w:ascii="仿宋" w:hAnsi="仿宋" w:eastAsia="仿宋" w:cs="仿宋"/>
                <w:color w:val="000000"/>
                <w:kern w:val="0"/>
                <w:sz w:val="24"/>
                <w:szCs w:val="24"/>
                <w:highlight w:val="none"/>
                <w:lang w:bidi="ar"/>
              </w:rPr>
            </w:pP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67187F">
            <w:pPr>
              <w:widowControl/>
              <w:jc w:val="center"/>
              <w:textAlignment w:val="center"/>
              <w:rPr>
                <w:rFonts w:hint="eastAsia" w:ascii="仿宋" w:hAnsi="仿宋" w:eastAsia="仿宋" w:cs="仿宋"/>
                <w:color w:val="000000"/>
                <w:kern w:val="0"/>
                <w:sz w:val="24"/>
                <w:szCs w:val="24"/>
                <w:highlight w:val="none"/>
                <w:lang w:eastAsia="zh-CN" w:bidi="ar"/>
              </w:rPr>
            </w:pPr>
            <w:r>
              <w:rPr>
                <w:rFonts w:hint="eastAsia" w:ascii="仿宋" w:hAnsi="仿宋" w:eastAsia="仿宋" w:cs="仿宋"/>
                <w:color w:val="000000"/>
                <w:kern w:val="0"/>
                <w:sz w:val="24"/>
                <w:szCs w:val="24"/>
                <w:highlight w:val="none"/>
                <w:lang w:eastAsia="zh-CN" w:bidi="ar"/>
              </w:rPr>
              <w:t>业务提升能力</w:t>
            </w:r>
          </w:p>
          <w:p w14:paraId="3F6A6278">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822790">
            <w:pPr>
              <w:widowControl/>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eastAsia="zh-CN" w:bidi="ar"/>
              </w:rPr>
              <w:t>业务提升能力，效果明显，</w:t>
            </w:r>
            <w:r>
              <w:rPr>
                <w:rFonts w:hint="eastAsia" w:ascii="仿宋" w:hAnsi="仿宋" w:eastAsia="仿宋" w:cs="仿宋"/>
                <w:color w:val="000000"/>
                <w:kern w:val="0"/>
                <w:sz w:val="24"/>
                <w:szCs w:val="24"/>
                <w:highlight w:val="none"/>
                <w:lang w:val="en-US" w:eastAsia="zh-CN" w:bidi="ar"/>
              </w:rPr>
              <w:t>2.5</w:t>
            </w:r>
            <w:r>
              <w:rPr>
                <w:rFonts w:hint="eastAsia" w:ascii="仿宋" w:hAnsi="仿宋" w:eastAsia="仿宋" w:cs="仿宋"/>
                <w:color w:val="000000"/>
                <w:kern w:val="0"/>
                <w:sz w:val="24"/>
                <w:szCs w:val="24"/>
                <w:highlight w:val="none"/>
                <w:lang w:eastAsia="zh-CN" w:bidi="ar"/>
              </w:rPr>
              <w:t>分；根据实际情况酌情扣分，扣完为止。</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DF8127">
            <w:pPr>
              <w:widowControl/>
              <w:jc w:val="center"/>
              <w:textAlignment w:val="center"/>
              <w:rPr>
                <w:rFonts w:hint="eastAsia"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kern w:val="0"/>
                <w:sz w:val="24"/>
                <w:szCs w:val="24"/>
                <w:highlight w:val="none"/>
                <w:lang w:val="en-US" w:eastAsia="zh-CN" w:bidi="ar"/>
              </w:rPr>
              <w:t>2.5</w:t>
            </w:r>
          </w:p>
        </w:tc>
      </w:tr>
      <w:tr w14:paraId="5E728041">
        <w:tblPrEx>
          <w:tblCellMar>
            <w:top w:w="0" w:type="dxa"/>
            <w:left w:w="0" w:type="dxa"/>
            <w:bottom w:w="0" w:type="dxa"/>
            <w:right w:w="0" w:type="dxa"/>
          </w:tblCellMar>
        </w:tblPrEx>
        <w:trPr>
          <w:trHeight w:val="1145" w:hRule="atLeast"/>
          <w:jc w:val="center"/>
        </w:trPr>
        <w:tc>
          <w:tcPr>
            <w:tcW w:w="1215"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39D4E634">
            <w:pPr>
              <w:widowControl/>
              <w:jc w:val="center"/>
              <w:textAlignment w:val="center"/>
              <w:rPr>
                <w:rFonts w:hint="eastAsia" w:ascii="仿宋" w:hAnsi="仿宋" w:eastAsia="仿宋" w:cs="仿宋"/>
                <w:b/>
                <w:color w:val="000000"/>
                <w:kern w:val="0"/>
                <w:sz w:val="24"/>
                <w:szCs w:val="24"/>
                <w:highlight w:val="none"/>
                <w:lang w:bidi="ar"/>
              </w:rPr>
            </w:pPr>
            <w:r>
              <w:rPr>
                <w:rFonts w:hint="eastAsia" w:ascii="仿宋" w:hAnsi="仿宋" w:eastAsia="仿宋" w:cs="仿宋"/>
                <w:b/>
                <w:color w:val="000000"/>
                <w:kern w:val="0"/>
                <w:sz w:val="24"/>
                <w:szCs w:val="24"/>
                <w:highlight w:val="none"/>
                <w:lang w:bidi="ar"/>
              </w:rPr>
              <w:t>满意度指标</w:t>
            </w:r>
          </w:p>
          <w:p w14:paraId="1A7FF1CA">
            <w:pPr>
              <w:widowControl/>
              <w:jc w:val="center"/>
              <w:textAlignment w:val="center"/>
              <w:rPr>
                <w:rFonts w:hint="eastAsia"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kern w:val="0"/>
                <w:sz w:val="24"/>
                <w:szCs w:val="24"/>
                <w:highlight w:val="none"/>
                <w:lang w:bidi="ar"/>
              </w:rPr>
              <w:t>（</w:t>
            </w:r>
            <w:r>
              <w:rPr>
                <w:rFonts w:hint="eastAsia" w:ascii="仿宋" w:hAnsi="仿宋" w:eastAsia="仿宋" w:cs="仿宋"/>
                <w:b/>
                <w:color w:val="000000"/>
                <w:kern w:val="0"/>
                <w:sz w:val="24"/>
                <w:szCs w:val="24"/>
                <w:highlight w:val="none"/>
                <w:lang w:val="en-US" w:eastAsia="zh-CN" w:bidi="ar"/>
              </w:rPr>
              <w:t>5</w:t>
            </w:r>
            <w:r>
              <w:rPr>
                <w:rFonts w:hint="eastAsia" w:ascii="仿宋" w:hAnsi="仿宋" w:eastAsia="仿宋" w:cs="仿宋"/>
                <w:b/>
                <w:color w:val="000000"/>
                <w:kern w:val="0"/>
                <w:sz w:val="24"/>
                <w:szCs w:val="24"/>
                <w:highlight w:val="none"/>
                <w:lang w:bidi="ar"/>
              </w:rPr>
              <w:t>分）</w:t>
            </w:r>
          </w:p>
        </w:tc>
        <w:tc>
          <w:tcPr>
            <w:tcW w:w="1331"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7271D62C">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服务对象满意度指标</w:t>
            </w:r>
          </w:p>
          <w:p w14:paraId="0EF23B56">
            <w:pPr>
              <w:widowControl/>
              <w:jc w:val="center"/>
              <w:textAlignment w:val="center"/>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21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1FDAA">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eastAsia="zh-CN" w:bidi="ar"/>
              </w:rPr>
              <w:t>青少年</w:t>
            </w:r>
            <w:r>
              <w:rPr>
                <w:rFonts w:hint="eastAsia" w:ascii="仿宋" w:hAnsi="仿宋" w:eastAsia="仿宋" w:cs="仿宋"/>
                <w:color w:val="000000"/>
                <w:kern w:val="0"/>
                <w:sz w:val="24"/>
                <w:szCs w:val="24"/>
                <w:highlight w:val="none"/>
                <w:lang w:bidi="ar"/>
              </w:rPr>
              <w:t>满意度</w:t>
            </w:r>
          </w:p>
          <w:p w14:paraId="4D13A103">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bidi="ar"/>
              </w:rPr>
              <w:t>分）</w:t>
            </w:r>
          </w:p>
        </w:tc>
        <w:tc>
          <w:tcPr>
            <w:tcW w:w="332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C15851">
            <w:pPr>
              <w:widowControl/>
              <w:jc w:val="left"/>
              <w:textAlignment w:val="center"/>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0"/>
                <w:sz w:val="24"/>
                <w:szCs w:val="24"/>
                <w:highlight w:val="none"/>
                <w:lang w:eastAsia="zh-CN" w:bidi="ar"/>
              </w:rPr>
              <w:t>青少年满意度≥95%，</w:t>
            </w:r>
            <w:r>
              <w:rPr>
                <w:rFonts w:hint="eastAsia" w:ascii="仿宋" w:hAnsi="仿宋" w:eastAsia="仿宋" w:cs="仿宋"/>
                <w:color w:val="000000"/>
                <w:kern w:val="0"/>
                <w:sz w:val="24"/>
                <w:szCs w:val="24"/>
                <w:highlight w:val="none"/>
                <w:lang w:val="en-US" w:eastAsia="zh-CN" w:bidi="ar"/>
              </w:rPr>
              <w:t>5</w:t>
            </w:r>
            <w:r>
              <w:rPr>
                <w:rFonts w:hint="eastAsia" w:ascii="仿宋" w:hAnsi="仿宋" w:eastAsia="仿宋" w:cs="仿宋"/>
                <w:color w:val="000000"/>
                <w:kern w:val="0"/>
                <w:sz w:val="24"/>
                <w:szCs w:val="24"/>
                <w:highlight w:val="none"/>
                <w:lang w:eastAsia="zh-CN" w:bidi="ar"/>
              </w:rPr>
              <w:t>分；每减少5%扣</w:t>
            </w:r>
            <w:r>
              <w:rPr>
                <w:rFonts w:hint="eastAsia" w:ascii="仿宋" w:hAnsi="仿宋" w:eastAsia="仿宋" w:cs="仿宋"/>
                <w:color w:val="000000"/>
                <w:kern w:val="0"/>
                <w:sz w:val="24"/>
                <w:szCs w:val="24"/>
                <w:highlight w:val="none"/>
                <w:lang w:val="en-US" w:eastAsia="zh-CN" w:bidi="ar"/>
              </w:rPr>
              <w:t>0.5</w:t>
            </w:r>
            <w:r>
              <w:rPr>
                <w:rFonts w:hint="eastAsia" w:ascii="仿宋" w:hAnsi="仿宋" w:eastAsia="仿宋" w:cs="仿宋"/>
                <w:color w:val="000000"/>
                <w:kern w:val="0"/>
                <w:sz w:val="24"/>
                <w:szCs w:val="24"/>
                <w:highlight w:val="none"/>
                <w:lang w:eastAsia="zh-CN" w:bidi="ar"/>
              </w:rPr>
              <w:t>分，扣完为止。</w:t>
            </w:r>
          </w:p>
        </w:tc>
        <w:tc>
          <w:tcPr>
            <w:tcW w:w="91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EE064">
            <w:pPr>
              <w:widowControl/>
              <w:jc w:val="center"/>
              <w:textAlignment w:val="center"/>
              <w:rPr>
                <w:rFonts w:hint="eastAsia"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sz w:val="24"/>
                <w:szCs w:val="24"/>
                <w:highlight w:val="none"/>
                <w:lang w:val="en-US" w:eastAsia="zh-CN"/>
              </w:rPr>
              <w:t>5</w:t>
            </w:r>
          </w:p>
        </w:tc>
      </w:tr>
      <w:tr w14:paraId="2D8A02FE">
        <w:tblPrEx>
          <w:tblCellMar>
            <w:top w:w="0" w:type="dxa"/>
            <w:left w:w="0" w:type="dxa"/>
            <w:bottom w:w="0" w:type="dxa"/>
            <w:right w:w="0" w:type="dxa"/>
          </w:tblCellMar>
        </w:tblPrEx>
        <w:trPr>
          <w:trHeight w:val="465" w:hRule="atLeast"/>
          <w:jc w:val="center"/>
        </w:trPr>
        <w:tc>
          <w:tcPr>
            <w:tcW w:w="2546"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28A77080">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kern w:val="0"/>
                <w:sz w:val="24"/>
                <w:szCs w:val="24"/>
                <w:highlight w:val="none"/>
                <w:lang w:bidi="ar"/>
              </w:rPr>
              <w:t>合计</w:t>
            </w:r>
          </w:p>
        </w:tc>
        <w:tc>
          <w:tcPr>
            <w:tcW w:w="2101"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14:paraId="45EB10D1">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kern w:val="0"/>
                <w:sz w:val="24"/>
                <w:szCs w:val="24"/>
                <w:highlight w:val="none"/>
                <w:lang w:bidi="ar"/>
              </w:rPr>
              <w:t>100</w:t>
            </w:r>
          </w:p>
        </w:tc>
        <w:tc>
          <w:tcPr>
            <w:tcW w:w="3329"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14:paraId="719F80E8">
            <w:pPr>
              <w:rPr>
                <w:rFonts w:hint="eastAsia" w:ascii="仿宋" w:hAnsi="仿宋" w:eastAsia="仿宋" w:cs="仿宋"/>
                <w:b/>
                <w:color w:val="000000"/>
                <w:sz w:val="24"/>
                <w:szCs w:val="24"/>
                <w:highlight w:val="none"/>
              </w:rPr>
            </w:pPr>
          </w:p>
        </w:tc>
        <w:tc>
          <w:tcPr>
            <w:tcW w:w="91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0D5E39A3">
            <w:pPr>
              <w:widowControl/>
              <w:jc w:val="center"/>
              <w:textAlignment w:val="center"/>
              <w:rPr>
                <w:rFonts w:hint="default" w:ascii="仿宋" w:hAnsi="仿宋" w:eastAsia="仿宋" w:cs="仿宋"/>
                <w:b/>
                <w:color w:val="000000"/>
                <w:sz w:val="24"/>
                <w:szCs w:val="24"/>
                <w:highlight w:val="none"/>
                <w:lang w:val="en-US" w:eastAsia="zh-CN"/>
              </w:rPr>
            </w:pPr>
            <w:r>
              <w:rPr>
                <w:rFonts w:hint="eastAsia" w:ascii="仿宋" w:hAnsi="仿宋" w:eastAsia="仿宋" w:cs="仿宋"/>
                <w:b/>
                <w:color w:val="000000"/>
                <w:kern w:val="0"/>
                <w:sz w:val="24"/>
                <w:szCs w:val="24"/>
                <w:highlight w:val="none"/>
                <w:lang w:val="en-US" w:eastAsia="zh-CN" w:bidi="ar"/>
              </w:rPr>
              <w:t>97</w:t>
            </w:r>
          </w:p>
        </w:tc>
      </w:tr>
    </w:tbl>
    <w:p w14:paraId="4415367D">
      <w:pPr>
        <w:rPr>
          <w:rFonts w:ascii="仿宋" w:hAnsi="仿宋" w:cs="仿宋"/>
          <w:color w:val="FF0000"/>
          <w:sz w:val="28"/>
          <w:szCs w:val="28"/>
          <w:highlight w:val="none"/>
          <w:shd w:val="clear" w:color="auto" w:fill="FFFFFF"/>
        </w:rPr>
      </w:pPr>
    </w:p>
    <w:sectPr>
      <w:footerReference r:id="rId4" w:type="first"/>
      <w:footerReference r:id="rId3" w:type="default"/>
      <w:pgSz w:w="11906" w:h="16838"/>
      <w:pgMar w:top="1474" w:right="1531" w:bottom="1304" w:left="1531" w:header="1020" w:footer="680"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roma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4D6B9">
    <w:pPr>
      <w:pStyle w:val="8"/>
      <w:ind w:left="151" w:leftChars="72"/>
      <w:rPr>
        <w:rFonts w:ascii="仿宋_GB2312" w:eastAsia="仿宋_GB2312"/>
        <w:i/>
        <w:sz w:val="15"/>
        <w:szCs w:val="15"/>
        <w:u w:val="single"/>
      </w:rPr>
    </w:pPr>
    <w:r>
      <w:rPr>
        <w:rFonts w:hint="eastAsia" w:ascii="仿宋_GB2312" w:eastAsia="仿宋_GB2312"/>
        <w:i/>
        <w:sz w:val="15"/>
        <w:szCs w:val="15"/>
        <w:u w:val="single"/>
      </w:rPr>
      <w:t xml:space="preserve">                                                                                                                    </w:t>
    </w:r>
  </w:p>
  <w:p w14:paraId="172931F0">
    <w:pPr>
      <w:pStyle w:val="8"/>
      <w:ind w:left="151" w:leftChars="72"/>
      <w:rPr>
        <w:rFonts w:ascii="仿宋_GB2312" w:eastAsia="仿宋_GB2312"/>
        <w:i/>
        <w:sz w:val="15"/>
        <w:szCs w:val="15"/>
      </w:rPr>
    </w:pPr>
    <w:r>
      <w:rPr>
        <w:rFonts w:hint="eastAsia" w:ascii="仿宋_GB2312" w:eastAsia="仿宋_GB2312"/>
        <w:i/>
        <w:sz w:val="15"/>
        <w:szCs w:val="15"/>
      </w:rPr>
      <w:t xml:space="preserve">河北方舟会计师事务所                                    </w:t>
    </w:r>
    <w:r>
      <w:rPr>
        <w:rFonts w:ascii="仿宋_GB2312" w:eastAsia="仿宋_GB2312"/>
        <w:i/>
        <w:sz w:val="15"/>
        <w:szCs w:val="15"/>
      </w:rPr>
      <w:fldChar w:fldCharType="begin"/>
    </w:r>
    <w:r>
      <w:rPr>
        <w:rFonts w:ascii="仿宋_GB2312" w:eastAsia="仿宋_GB2312"/>
        <w:i/>
        <w:sz w:val="15"/>
        <w:szCs w:val="15"/>
      </w:rPr>
      <w:instrText xml:space="preserve"> PAGE   \* MERGEFORMAT </w:instrText>
    </w:r>
    <w:r>
      <w:rPr>
        <w:rFonts w:ascii="仿宋_GB2312" w:eastAsia="仿宋_GB2312"/>
        <w:i/>
        <w:sz w:val="15"/>
        <w:szCs w:val="15"/>
      </w:rPr>
      <w:fldChar w:fldCharType="separate"/>
    </w:r>
    <w:r>
      <w:rPr>
        <w:rFonts w:ascii="仿宋_GB2312" w:eastAsia="仿宋_GB2312"/>
        <w:i/>
        <w:sz w:val="15"/>
        <w:szCs w:val="15"/>
        <w:lang w:val="zh-CN"/>
      </w:rPr>
      <w:t>1</w:t>
    </w:r>
    <w:r>
      <w:rPr>
        <w:rFonts w:ascii="仿宋_GB2312" w:eastAsia="仿宋_GB2312"/>
        <w:i/>
        <w:sz w:val="15"/>
        <w:szCs w:val="15"/>
      </w:rPr>
      <w:fldChar w:fldCharType="end"/>
    </w:r>
    <w:r>
      <w:rPr>
        <w:rFonts w:hint="eastAsia" w:ascii="仿宋_GB2312" w:eastAsia="仿宋_GB2312"/>
        <w:i/>
        <w:sz w:val="15"/>
        <w:szCs w:val="15"/>
      </w:rPr>
      <w:t xml:space="preserve">                                      电话：0311-86219825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3AB70">
    <w:pPr>
      <w:pStyle w:val="8"/>
      <w:tabs>
        <w:tab w:val="left" w:pos="1665"/>
        <w:tab w:val="clear" w:pos="4153"/>
        <w:tab w:val="clear" w:pos="8306"/>
      </w:tabs>
    </w:pPr>
    <w: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leftChars="0" w:firstLine="0" w:firstLineChars="0"/>
      </w:pPr>
      <w:rPr>
        <w:rFonts w:hint="eastAsia"/>
      </w:rPr>
    </w:lvl>
  </w:abstractNum>
  <w:abstractNum w:abstractNumId="1">
    <w:nsid w:val="4CCE1CAC"/>
    <w:multiLevelType w:val="singleLevel"/>
    <w:tmpl w:val="4CCE1CAC"/>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E4YmVlZjQxNTkzZWUxOGI0NmFlNWZlMTVkNTEwOWMifQ=="/>
  </w:docVars>
  <w:rsids>
    <w:rsidRoot w:val="00172A27"/>
    <w:rsid w:val="00044368"/>
    <w:rsid w:val="00057262"/>
    <w:rsid w:val="00060A66"/>
    <w:rsid w:val="00070F6B"/>
    <w:rsid w:val="000741DC"/>
    <w:rsid w:val="000B26A3"/>
    <w:rsid w:val="000B362E"/>
    <w:rsid w:val="000B5100"/>
    <w:rsid w:val="000B6294"/>
    <w:rsid w:val="000E7D37"/>
    <w:rsid w:val="000F00E5"/>
    <w:rsid w:val="00117F4C"/>
    <w:rsid w:val="0014528D"/>
    <w:rsid w:val="00152DA1"/>
    <w:rsid w:val="00172A27"/>
    <w:rsid w:val="0019409E"/>
    <w:rsid w:val="001C5550"/>
    <w:rsid w:val="001D03AC"/>
    <w:rsid w:val="001D4F95"/>
    <w:rsid w:val="001D55F6"/>
    <w:rsid w:val="001D7816"/>
    <w:rsid w:val="001F596C"/>
    <w:rsid w:val="002006AD"/>
    <w:rsid w:val="0026544D"/>
    <w:rsid w:val="00277541"/>
    <w:rsid w:val="00294A4A"/>
    <w:rsid w:val="002C28E6"/>
    <w:rsid w:val="002C3EAC"/>
    <w:rsid w:val="002D4D75"/>
    <w:rsid w:val="002E1705"/>
    <w:rsid w:val="003120EF"/>
    <w:rsid w:val="00312BB5"/>
    <w:rsid w:val="003766DE"/>
    <w:rsid w:val="003845F9"/>
    <w:rsid w:val="00391347"/>
    <w:rsid w:val="003A4113"/>
    <w:rsid w:val="003C45A5"/>
    <w:rsid w:val="003E7A0B"/>
    <w:rsid w:val="003F70BA"/>
    <w:rsid w:val="004315A9"/>
    <w:rsid w:val="00442A15"/>
    <w:rsid w:val="00461B44"/>
    <w:rsid w:val="00467951"/>
    <w:rsid w:val="00484C68"/>
    <w:rsid w:val="00497503"/>
    <w:rsid w:val="004B3AD9"/>
    <w:rsid w:val="0053770C"/>
    <w:rsid w:val="005555D9"/>
    <w:rsid w:val="005613F9"/>
    <w:rsid w:val="00565E10"/>
    <w:rsid w:val="005775DB"/>
    <w:rsid w:val="00590FBD"/>
    <w:rsid w:val="005B29B0"/>
    <w:rsid w:val="005B69FB"/>
    <w:rsid w:val="005C22F8"/>
    <w:rsid w:val="005E06F3"/>
    <w:rsid w:val="00607CA0"/>
    <w:rsid w:val="00615F13"/>
    <w:rsid w:val="0063118F"/>
    <w:rsid w:val="00632BC8"/>
    <w:rsid w:val="0065040D"/>
    <w:rsid w:val="00655CDB"/>
    <w:rsid w:val="00667024"/>
    <w:rsid w:val="00690BC7"/>
    <w:rsid w:val="006A1515"/>
    <w:rsid w:val="006C43B3"/>
    <w:rsid w:val="006C6218"/>
    <w:rsid w:val="006D725E"/>
    <w:rsid w:val="00734AA6"/>
    <w:rsid w:val="00756C8F"/>
    <w:rsid w:val="007A6C82"/>
    <w:rsid w:val="007A7E67"/>
    <w:rsid w:val="007B3E7C"/>
    <w:rsid w:val="007B6E0B"/>
    <w:rsid w:val="007C59ED"/>
    <w:rsid w:val="007C7698"/>
    <w:rsid w:val="007C7D94"/>
    <w:rsid w:val="007D2E61"/>
    <w:rsid w:val="007E4529"/>
    <w:rsid w:val="007F08B6"/>
    <w:rsid w:val="00857F5D"/>
    <w:rsid w:val="00894382"/>
    <w:rsid w:val="00895DE6"/>
    <w:rsid w:val="008F3B22"/>
    <w:rsid w:val="00914336"/>
    <w:rsid w:val="0091502C"/>
    <w:rsid w:val="00920457"/>
    <w:rsid w:val="009A3122"/>
    <w:rsid w:val="009B6CC9"/>
    <w:rsid w:val="009C4C82"/>
    <w:rsid w:val="009F2ED1"/>
    <w:rsid w:val="00A16547"/>
    <w:rsid w:val="00A174F7"/>
    <w:rsid w:val="00A22CA6"/>
    <w:rsid w:val="00A34669"/>
    <w:rsid w:val="00A37AE3"/>
    <w:rsid w:val="00A47290"/>
    <w:rsid w:val="00A71764"/>
    <w:rsid w:val="00AA76AA"/>
    <w:rsid w:val="00AC7D93"/>
    <w:rsid w:val="00AD4DE7"/>
    <w:rsid w:val="00B00C1F"/>
    <w:rsid w:val="00B03EE1"/>
    <w:rsid w:val="00B1065E"/>
    <w:rsid w:val="00B2020F"/>
    <w:rsid w:val="00B33ED4"/>
    <w:rsid w:val="00B35E37"/>
    <w:rsid w:val="00B36276"/>
    <w:rsid w:val="00B8311D"/>
    <w:rsid w:val="00B84579"/>
    <w:rsid w:val="00B96F4F"/>
    <w:rsid w:val="00BA1BF6"/>
    <w:rsid w:val="00BA233D"/>
    <w:rsid w:val="00BB3467"/>
    <w:rsid w:val="00BE7AA0"/>
    <w:rsid w:val="00C11EFD"/>
    <w:rsid w:val="00C263C2"/>
    <w:rsid w:val="00C3107D"/>
    <w:rsid w:val="00C313D3"/>
    <w:rsid w:val="00C32298"/>
    <w:rsid w:val="00C54C17"/>
    <w:rsid w:val="00C632BC"/>
    <w:rsid w:val="00C66362"/>
    <w:rsid w:val="00C74B7D"/>
    <w:rsid w:val="00C80296"/>
    <w:rsid w:val="00C870EA"/>
    <w:rsid w:val="00CB344B"/>
    <w:rsid w:val="00CD3571"/>
    <w:rsid w:val="00CE1B2B"/>
    <w:rsid w:val="00CF11D5"/>
    <w:rsid w:val="00D178C0"/>
    <w:rsid w:val="00D20403"/>
    <w:rsid w:val="00D24116"/>
    <w:rsid w:val="00D35880"/>
    <w:rsid w:val="00D53DC9"/>
    <w:rsid w:val="00D623DB"/>
    <w:rsid w:val="00DB0F7E"/>
    <w:rsid w:val="00DC59CF"/>
    <w:rsid w:val="00DE3BD2"/>
    <w:rsid w:val="00E15418"/>
    <w:rsid w:val="00E2078A"/>
    <w:rsid w:val="00E316F1"/>
    <w:rsid w:val="00E52180"/>
    <w:rsid w:val="00E6344C"/>
    <w:rsid w:val="00E659B2"/>
    <w:rsid w:val="00E8482B"/>
    <w:rsid w:val="00EA283C"/>
    <w:rsid w:val="00EA3981"/>
    <w:rsid w:val="00EC03AC"/>
    <w:rsid w:val="00ED6C4B"/>
    <w:rsid w:val="00F51E9C"/>
    <w:rsid w:val="00F53B93"/>
    <w:rsid w:val="00F550B5"/>
    <w:rsid w:val="00F91225"/>
    <w:rsid w:val="00FA6432"/>
    <w:rsid w:val="00FB5D17"/>
    <w:rsid w:val="00FC5CF8"/>
    <w:rsid w:val="00FD247D"/>
    <w:rsid w:val="00FD6A48"/>
    <w:rsid w:val="015E69D9"/>
    <w:rsid w:val="01B61653"/>
    <w:rsid w:val="020324CF"/>
    <w:rsid w:val="025A5C68"/>
    <w:rsid w:val="027904C5"/>
    <w:rsid w:val="02B0351B"/>
    <w:rsid w:val="03A27284"/>
    <w:rsid w:val="03AA44E5"/>
    <w:rsid w:val="03EA6454"/>
    <w:rsid w:val="04FF44C5"/>
    <w:rsid w:val="05470DBF"/>
    <w:rsid w:val="05500244"/>
    <w:rsid w:val="056C6600"/>
    <w:rsid w:val="059D3E3D"/>
    <w:rsid w:val="05D4629F"/>
    <w:rsid w:val="06097C4B"/>
    <w:rsid w:val="062D4914"/>
    <w:rsid w:val="067370A2"/>
    <w:rsid w:val="071228A9"/>
    <w:rsid w:val="0724607E"/>
    <w:rsid w:val="07246EC6"/>
    <w:rsid w:val="089977CF"/>
    <w:rsid w:val="09434250"/>
    <w:rsid w:val="09650A66"/>
    <w:rsid w:val="09B960DB"/>
    <w:rsid w:val="09F67B25"/>
    <w:rsid w:val="0A5E4ABB"/>
    <w:rsid w:val="0A977B3B"/>
    <w:rsid w:val="0AFC052B"/>
    <w:rsid w:val="0B005F1C"/>
    <w:rsid w:val="0B192D19"/>
    <w:rsid w:val="0B982CAE"/>
    <w:rsid w:val="0B992A46"/>
    <w:rsid w:val="0BB33495"/>
    <w:rsid w:val="0BE373ED"/>
    <w:rsid w:val="0CA71943"/>
    <w:rsid w:val="0CCA65B8"/>
    <w:rsid w:val="0D095D9C"/>
    <w:rsid w:val="0D571810"/>
    <w:rsid w:val="0E242F75"/>
    <w:rsid w:val="0E7C47EE"/>
    <w:rsid w:val="0E92447C"/>
    <w:rsid w:val="0EA976BD"/>
    <w:rsid w:val="0EC67D2F"/>
    <w:rsid w:val="0EDC0D99"/>
    <w:rsid w:val="0F0F4154"/>
    <w:rsid w:val="0F3E43AF"/>
    <w:rsid w:val="10481EA0"/>
    <w:rsid w:val="107839CC"/>
    <w:rsid w:val="11401CD6"/>
    <w:rsid w:val="115F7758"/>
    <w:rsid w:val="11C30FB6"/>
    <w:rsid w:val="11E477A1"/>
    <w:rsid w:val="11E812E8"/>
    <w:rsid w:val="12092C14"/>
    <w:rsid w:val="12207E0C"/>
    <w:rsid w:val="124D0AFB"/>
    <w:rsid w:val="128A347A"/>
    <w:rsid w:val="130B642F"/>
    <w:rsid w:val="13507281"/>
    <w:rsid w:val="136C72A6"/>
    <w:rsid w:val="13C210C2"/>
    <w:rsid w:val="14596B6E"/>
    <w:rsid w:val="145D635D"/>
    <w:rsid w:val="14E77CF6"/>
    <w:rsid w:val="152E1952"/>
    <w:rsid w:val="155308EA"/>
    <w:rsid w:val="15547B3B"/>
    <w:rsid w:val="156111BE"/>
    <w:rsid w:val="158011B2"/>
    <w:rsid w:val="160354E9"/>
    <w:rsid w:val="16296B40"/>
    <w:rsid w:val="162C507A"/>
    <w:rsid w:val="165862C9"/>
    <w:rsid w:val="16941A6F"/>
    <w:rsid w:val="169D43E0"/>
    <w:rsid w:val="17596ECA"/>
    <w:rsid w:val="17F34621"/>
    <w:rsid w:val="18623522"/>
    <w:rsid w:val="18EB43EE"/>
    <w:rsid w:val="199F28B1"/>
    <w:rsid w:val="19CF7EE4"/>
    <w:rsid w:val="19E25915"/>
    <w:rsid w:val="19E959B3"/>
    <w:rsid w:val="19EB75F3"/>
    <w:rsid w:val="19F91D16"/>
    <w:rsid w:val="1A753EF5"/>
    <w:rsid w:val="1ACF7038"/>
    <w:rsid w:val="1AF307B7"/>
    <w:rsid w:val="1BA72485"/>
    <w:rsid w:val="1BEF2EF1"/>
    <w:rsid w:val="1C056D9D"/>
    <w:rsid w:val="1C334E07"/>
    <w:rsid w:val="1C462A1C"/>
    <w:rsid w:val="1CE52835"/>
    <w:rsid w:val="1CFB6F08"/>
    <w:rsid w:val="1CFF6E22"/>
    <w:rsid w:val="1D7A5F78"/>
    <w:rsid w:val="1DE31DB1"/>
    <w:rsid w:val="1DED6E5E"/>
    <w:rsid w:val="1DF27428"/>
    <w:rsid w:val="1E401407"/>
    <w:rsid w:val="1E420D96"/>
    <w:rsid w:val="1E967AEE"/>
    <w:rsid w:val="1ED36772"/>
    <w:rsid w:val="1F2B252E"/>
    <w:rsid w:val="1FA66DAF"/>
    <w:rsid w:val="1FFC5377"/>
    <w:rsid w:val="2019269C"/>
    <w:rsid w:val="204236FB"/>
    <w:rsid w:val="20675D65"/>
    <w:rsid w:val="20726449"/>
    <w:rsid w:val="208F0738"/>
    <w:rsid w:val="21131207"/>
    <w:rsid w:val="218230F9"/>
    <w:rsid w:val="21B943D7"/>
    <w:rsid w:val="22024A71"/>
    <w:rsid w:val="222C0C17"/>
    <w:rsid w:val="225676AE"/>
    <w:rsid w:val="226225E7"/>
    <w:rsid w:val="22C14422"/>
    <w:rsid w:val="231619B8"/>
    <w:rsid w:val="23197571"/>
    <w:rsid w:val="23360381"/>
    <w:rsid w:val="23BB04AF"/>
    <w:rsid w:val="240C5232"/>
    <w:rsid w:val="244258B7"/>
    <w:rsid w:val="24560FAE"/>
    <w:rsid w:val="247D18D5"/>
    <w:rsid w:val="24DB77A0"/>
    <w:rsid w:val="24E91E1B"/>
    <w:rsid w:val="25112FDF"/>
    <w:rsid w:val="25666112"/>
    <w:rsid w:val="258A19A4"/>
    <w:rsid w:val="26483F68"/>
    <w:rsid w:val="265366D2"/>
    <w:rsid w:val="26B30D3B"/>
    <w:rsid w:val="27354C00"/>
    <w:rsid w:val="27CB767A"/>
    <w:rsid w:val="28083BE3"/>
    <w:rsid w:val="287816DE"/>
    <w:rsid w:val="29380582"/>
    <w:rsid w:val="297461E1"/>
    <w:rsid w:val="29AE0DEF"/>
    <w:rsid w:val="2A353D77"/>
    <w:rsid w:val="2AE6594A"/>
    <w:rsid w:val="2B3B3711"/>
    <w:rsid w:val="2B6367E4"/>
    <w:rsid w:val="2B7E5AE4"/>
    <w:rsid w:val="2BB039F8"/>
    <w:rsid w:val="2C016EE9"/>
    <w:rsid w:val="2CB8788E"/>
    <w:rsid w:val="2CE72BBB"/>
    <w:rsid w:val="2CF63222"/>
    <w:rsid w:val="2D1E64DA"/>
    <w:rsid w:val="2D254C1E"/>
    <w:rsid w:val="2D4A3AD6"/>
    <w:rsid w:val="2D6709C9"/>
    <w:rsid w:val="2DC92C7E"/>
    <w:rsid w:val="2DF82722"/>
    <w:rsid w:val="2E397D64"/>
    <w:rsid w:val="2E847EE1"/>
    <w:rsid w:val="2EFC3CB6"/>
    <w:rsid w:val="2F2015B0"/>
    <w:rsid w:val="2FC5710F"/>
    <w:rsid w:val="304D61CB"/>
    <w:rsid w:val="307D5C1A"/>
    <w:rsid w:val="30C12AC0"/>
    <w:rsid w:val="31A3214E"/>
    <w:rsid w:val="32026506"/>
    <w:rsid w:val="321A6559"/>
    <w:rsid w:val="3268470E"/>
    <w:rsid w:val="336E1ADD"/>
    <w:rsid w:val="33E02581"/>
    <w:rsid w:val="35091591"/>
    <w:rsid w:val="35C241E2"/>
    <w:rsid w:val="36A06865"/>
    <w:rsid w:val="36BB7666"/>
    <w:rsid w:val="36E97C36"/>
    <w:rsid w:val="375E5BBE"/>
    <w:rsid w:val="37C73900"/>
    <w:rsid w:val="38176C95"/>
    <w:rsid w:val="384B232D"/>
    <w:rsid w:val="38F60787"/>
    <w:rsid w:val="39006C13"/>
    <w:rsid w:val="390869DB"/>
    <w:rsid w:val="39440601"/>
    <w:rsid w:val="398A1841"/>
    <w:rsid w:val="39DA394A"/>
    <w:rsid w:val="3AFE3509"/>
    <w:rsid w:val="3B0E5B16"/>
    <w:rsid w:val="3BE2110A"/>
    <w:rsid w:val="3C0F6C36"/>
    <w:rsid w:val="3C393086"/>
    <w:rsid w:val="3C8905D0"/>
    <w:rsid w:val="3D564177"/>
    <w:rsid w:val="3E0C74E8"/>
    <w:rsid w:val="3E82539F"/>
    <w:rsid w:val="3F2F5068"/>
    <w:rsid w:val="3FBC1E94"/>
    <w:rsid w:val="406C1EAF"/>
    <w:rsid w:val="409D370D"/>
    <w:rsid w:val="40E07769"/>
    <w:rsid w:val="42582D62"/>
    <w:rsid w:val="43374CD4"/>
    <w:rsid w:val="43AE6141"/>
    <w:rsid w:val="43E05D25"/>
    <w:rsid w:val="44A31F10"/>
    <w:rsid w:val="44C43727"/>
    <w:rsid w:val="44D92060"/>
    <w:rsid w:val="44EC0EA2"/>
    <w:rsid w:val="451F4D14"/>
    <w:rsid w:val="45364632"/>
    <w:rsid w:val="45892CCA"/>
    <w:rsid w:val="459771B6"/>
    <w:rsid w:val="46DF4861"/>
    <w:rsid w:val="474C6ED0"/>
    <w:rsid w:val="47C034BC"/>
    <w:rsid w:val="47D225BB"/>
    <w:rsid w:val="47DB41D4"/>
    <w:rsid w:val="47EF2DF2"/>
    <w:rsid w:val="481D675B"/>
    <w:rsid w:val="484B5029"/>
    <w:rsid w:val="487B00FD"/>
    <w:rsid w:val="48803326"/>
    <w:rsid w:val="49014762"/>
    <w:rsid w:val="490F6056"/>
    <w:rsid w:val="493F17A0"/>
    <w:rsid w:val="497C7CDD"/>
    <w:rsid w:val="498266A4"/>
    <w:rsid w:val="49CA6E95"/>
    <w:rsid w:val="4A160622"/>
    <w:rsid w:val="4A7A46EA"/>
    <w:rsid w:val="4A7C6F40"/>
    <w:rsid w:val="4AC30E0C"/>
    <w:rsid w:val="4AF72CF3"/>
    <w:rsid w:val="4B2D64F0"/>
    <w:rsid w:val="4B7477CC"/>
    <w:rsid w:val="4B891C7B"/>
    <w:rsid w:val="4C362182"/>
    <w:rsid w:val="4C713ED6"/>
    <w:rsid w:val="4CFB2556"/>
    <w:rsid w:val="4D0C1D99"/>
    <w:rsid w:val="4DA87C73"/>
    <w:rsid w:val="4F2540BB"/>
    <w:rsid w:val="4F2B5D43"/>
    <w:rsid w:val="4F821F42"/>
    <w:rsid w:val="4FED3C7E"/>
    <w:rsid w:val="50122EB3"/>
    <w:rsid w:val="50264710"/>
    <w:rsid w:val="503C45E2"/>
    <w:rsid w:val="503F4522"/>
    <w:rsid w:val="50505774"/>
    <w:rsid w:val="50FC4946"/>
    <w:rsid w:val="510E4BC5"/>
    <w:rsid w:val="51181418"/>
    <w:rsid w:val="514E4828"/>
    <w:rsid w:val="516A1D36"/>
    <w:rsid w:val="517C2D15"/>
    <w:rsid w:val="51A222F2"/>
    <w:rsid w:val="51AA19E6"/>
    <w:rsid w:val="52031C70"/>
    <w:rsid w:val="53132A5C"/>
    <w:rsid w:val="53B35A5D"/>
    <w:rsid w:val="53DD67F8"/>
    <w:rsid w:val="540C0DC4"/>
    <w:rsid w:val="54800B63"/>
    <w:rsid w:val="54B67950"/>
    <w:rsid w:val="54B81CBA"/>
    <w:rsid w:val="54C433A6"/>
    <w:rsid w:val="54CF5E6D"/>
    <w:rsid w:val="54F05CFE"/>
    <w:rsid w:val="552022B9"/>
    <w:rsid w:val="553A4F0C"/>
    <w:rsid w:val="55C16608"/>
    <w:rsid w:val="55F72FA4"/>
    <w:rsid w:val="56D11ACE"/>
    <w:rsid w:val="576A6CA1"/>
    <w:rsid w:val="5782740F"/>
    <w:rsid w:val="57895D26"/>
    <w:rsid w:val="58D42B55"/>
    <w:rsid w:val="58DE7C59"/>
    <w:rsid w:val="59EE16C8"/>
    <w:rsid w:val="59F313E7"/>
    <w:rsid w:val="5A062FAD"/>
    <w:rsid w:val="5A4D6F36"/>
    <w:rsid w:val="5AC74589"/>
    <w:rsid w:val="5ADD760C"/>
    <w:rsid w:val="5AE322B8"/>
    <w:rsid w:val="5B3B0CC2"/>
    <w:rsid w:val="5B451AE0"/>
    <w:rsid w:val="5B770D44"/>
    <w:rsid w:val="5BF77BFA"/>
    <w:rsid w:val="5C6F0AB8"/>
    <w:rsid w:val="5DAB2282"/>
    <w:rsid w:val="5DE655AD"/>
    <w:rsid w:val="5E2D136F"/>
    <w:rsid w:val="5E934337"/>
    <w:rsid w:val="5EF8216D"/>
    <w:rsid w:val="5F5A6ED0"/>
    <w:rsid w:val="5FE7624E"/>
    <w:rsid w:val="60176B4C"/>
    <w:rsid w:val="60740800"/>
    <w:rsid w:val="60814593"/>
    <w:rsid w:val="60FB0F87"/>
    <w:rsid w:val="6116050B"/>
    <w:rsid w:val="613D6494"/>
    <w:rsid w:val="61DC6B22"/>
    <w:rsid w:val="62A23AD7"/>
    <w:rsid w:val="62BC0F0F"/>
    <w:rsid w:val="62E14709"/>
    <w:rsid w:val="63727642"/>
    <w:rsid w:val="6402249F"/>
    <w:rsid w:val="64260E06"/>
    <w:rsid w:val="64393C7E"/>
    <w:rsid w:val="64C82E45"/>
    <w:rsid w:val="656A5C99"/>
    <w:rsid w:val="65A632B4"/>
    <w:rsid w:val="65AA65D5"/>
    <w:rsid w:val="66616DFD"/>
    <w:rsid w:val="66762CE6"/>
    <w:rsid w:val="674D39CA"/>
    <w:rsid w:val="681770D1"/>
    <w:rsid w:val="68754EED"/>
    <w:rsid w:val="68C4370E"/>
    <w:rsid w:val="68FF4E51"/>
    <w:rsid w:val="69906154"/>
    <w:rsid w:val="6999535D"/>
    <w:rsid w:val="6A035C33"/>
    <w:rsid w:val="6AB1009A"/>
    <w:rsid w:val="6AEC4FA9"/>
    <w:rsid w:val="6B6309BA"/>
    <w:rsid w:val="6BDF51A0"/>
    <w:rsid w:val="6CB563DB"/>
    <w:rsid w:val="6D8668BF"/>
    <w:rsid w:val="6D964C21"/>
    <w:rsid w:val="6DDB381F"/>
    <w:rsid w:val="6E2711F5"/>
    <w:rsid w:val="6E287449"/>
    <w:rsid w:val="6E484859"/>
    <w:rsid w:val="6E931052"/>
    <w:rsid w:val="6ED92DE7"/>
    <w:rsid w:val="6EE60D07"/>
    <w:rsid w:val="6F1F107C"/>
    <w:rsid w:val="6F380483"/>
    <w:rsid w:val="6F5B70B4"/>
    <w:rsid w:val="70002A47"/>
    <w:rsid w:val="7005544B"/>
    <w:rsid w:val="70B51F67"/>
    <w:rsid w:val="70C070A4"/>
    <w:rsid w:val="72B806DE"/>
    <w:rsid w:val="72E32258"/>
    <w:rsid w:val="72F67F2A"/>
    <w:rsid w:val="7324110C"/>
    <w:rsid w:val="73F53827"/>
    <w:rsid w:val="740D4B85"/>
    <w:rsid w:val="743F3744"/>
    <w:rsid w:val="74DB2D22"/>
    <w:rsid w:val="751C7845"/>
    <w:rsid w:val="75830FC4"/>
    <w:rsid w:val="75A8094A"/>
    <w:rsid w:val="760D59A3"/>
    <w:rsid w:val="76837A92"/>
    <w:rsid w:val="76DE43BA"/>
    <w:rsid w:val="76FC2752"/>
    <w:rsid w:val="772F1051"/>
    <w:rsid w:val="776734E3"/>
    <w:rsid w:val="776F6DFF"/>
    <w:rsid w:val="7794508D"/>
    <w:rsid w:val="77F32923"/>
    <w:rsid w:val="783D15F2"/>
    <w:rsid w:val="78DA3624"/>
    <w:rsid w:val="79452590"/>
    <w:rsid w:val="79A266BF"/>
    <w:rsid w:val="7A181176"/>
    <w:rsid w:val="7A436EFE"/>
    <w:rsid w:val="7A754EB1"/>
    <w:rsid w:val="7A923DC7"/>
    <w:rsid w:val="7AC83082"/>
    <w:rsid w:val="7B9D6061"/>
    <w:rsid w:val="7BFE117C"/>
    <w:rsid w:val="7CAC34C2"/>
    <w:rsid w:val="7CB35273"/>
    <w:rsid w:val="7CC44BD6"/>
    <w:rsid w:val="7D240B72"/>
    <w:rsid w:val="7D8B3E03"/>
    <w:rsid w:val="7EA914FC"/>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600" w:lineRule="exact"/>
      <w:ind w:firstLine="1000" w:firstLineChars="200"/>
      <w:jc w:val="left"/>
      <w:outlineLvl w:val="0"/>
    </w:pPr>
    <w:rPr>
      <w:rFonts w:eastAsia="仿宋"/>
      <w:b/>
      <w:kern w:val="44"/>
      <w:sz w:val="30"/>
    </w:rPr>
  </w:style>
  <w:style w:type="paragraph" w:styleId="4">
    <w:name w:val="heading 3"/>
    <w:basedOn w:val="1"/>
    <w:next w:val="1"/>
    <w:link w:val="30"/>
    <w:qFormat/>
    <w:uiPriority w:val="0"/>
    <w:pPr>
      <w:keepNext/>
      <w:keepLines/>
      <w:spacing w:line="600" w:lineRule="exact"/>
      <w:ind w:firstLine="1000" w:firstLineChars="200"/>
      <w:outlineLvl w:val="2"/>
    </w:pPr>
    <w:rPr>
      <w:rFonts w:eastAsia="仿宋"/>
      <w:b/>
      <w:sz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index 9"/>
    <w:next w:val="1"/>
    <w:qFormat/>
    <w:uiPriority w:val="0"/>
    <w:pPr>
      <w:widowControl w:val="0"/>
      <w:ind w:left="3360"/>
      <w:jc w:val="both"/>
    </w:pPr>
    <w:rPr>
      <w:rFonts w:ascii="Calibri" w:hAnsi="Calibri" w:eastAsia="宋体" w:cs="Arial"/>
      <w:kern w:val="2"/>
      <w:sz w:val="21"/>
      <w:szCs w:val="24"/>
      <w:lang w:val="en-US" w:eastAsia="zh-CN" w:bidi="ar-SA"/>
    </w:rPr>
  </w:style>
  <w:style w:type="paragraph" w:styleId="5">
    <w:name w:val="Body Text"/>
    <w:basedOn w:val="1"/>
    <w:qFormat/>
    <w:uiPriority w:val="1"/>
    <w:pPr>
      <w:spacing w:before="190"/>
      <w:ind w:left="1333"/>
    </w:pPr>
    <w:rPr>
      <w:rFonts w:ascii="仿宋_GB2312" w:hAnsi="仿宋_GB2312" w:eastAsia="仿宋_GB2312" w:cs="仿宋_GB2312"/>
      <w:sz w:val="32"/>
      <w:szCs w:val="32"/>
      <w:lang w:val="zh-CN" w:bidi="zh-CN"/>
    </w:rPr>
  </w:style>
  <w:style w:type="paragraph" w:styleId="6">
    <w:name w:val="Body Text Indent"/>
    <w:basedOn w:val="1"/>
    <w:link w:val="21"/>
    <w:qFormat/>
    <w:uiPriority w:val="0"/>
    <w:pPr>
      <w:spacing w:line="360" w:lineRule="auto"/>
      <w:ind w:firstLine="570"/>
    </w:pPr>
    <w:rPr>
      <w:rFonts w:ascii="宋体" w:hAnsi="宋体"/>
      <w:sz w:val="28"/>
    </w:rPr>
  </w:style>
  <w:style w:type="paragraph" w:styleId="7">
    <w:name w:val="Balloon Text"/>
    <w:basedOn w:val="1"/>
    <w:semiHidden/>
    <w:qFormat/>
    <w:uiPriority w:val="0"/>
    <w:rPr>
      <w:sz w:val="18"/>
      <w:szCs w:val="18"/>
    </w:rPr>
  </w:style>
  <w:style w:type="paragraph" w:styleId="8">
    <w:name w:val="footer"/>
    <w:basedOn w:val="1"/>
    <w:link w:val="18"/>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6"/>
    <w:qFormat/>
    <w:uiPriority w:val="0"/>
    <w:pPr>
      <w:ind w:firstLine="420" w:firstLineChars="200"/>
    </w:pPr>
  </w:style>
  <w:style w:type="table" w:styleId="13">
    <w:name w:val="Table Grid"/>
    <w:basedOn w:val="12"/>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
    <w:name w:val="Strong"/>
    <w:basedOn w:val="14"/>
    <w:qFormat/>
    <w:uiPriority w:val="0"/>
    <w:rPr>
      <w:b/>
    </w:rPr>
  </w:style>
  <w:style w:type="character" w:styleId="16">
    <w:name w:val="page number"/>
    <w:basedOn w:val="14"/>
    <w:qFormat/>
    <w:uiPriority w:val="0"/>
  </w:style>
  <w:style w:type="character" w:styleId="17">
    <w:name w:val="Hyperlink"/>
    <w:basedOn w:val="14"/>
    <w:qFormat/>
    <w:uiPriority w:val="0"/>
    <w:rPr>
      <w:color w:val="0000FF"/>
      <w:u w:val="none"/>
    </w:rPr>
  </w:style>
  <w:style w:type="character" w:customStyle="1" w:styleId="18">
    <w:name w:val="页脚 字符"/>
    <w:basedOn w:val="14"/>
    <w:link w:val="8"/>
    <w:qFormat/>
    <w:uiPriority w:val="0"/>
    <w:rPr>
      <w:kern w:val="2"/>
      <w:sz w:val="18"/>
      <w:szCs w:val="18"/>
    </w:rPr>
  </w:style>
  <w:style w:type="character" w:customStyle="1" w:styleId="19">
    <w:name w:val="页眉 字符"/>
    <w:basedOn w:val="14"/>
    <w:link w:val="9"/>
    <w:qFormat/>
    <w:uiPriority w:val="0"/>
    <w:rPr>
      <w:kern w:val="2"/>
      <w:sz w:val="18"/>
      <w:szCs w:val="18"/>
    </w:rPr>
  </w:style>
  <w:style w:type="character" w:customStyle="1" w:styleId="20">
    <w:name w:val="font41"/>
    <w:basedOn w:val="14"/>
    <w:qFormat/>
    <w:uiPriority w:val="0"/>
    <w:rPr>
      <w:rFonts w:hint="default" w:ascii="仿宋_GB2312" w:eastAsia="仿宋_GB2312" w:cs="仿宋_GB2312"/>
      <w:color w:val="000000"/>
      <w:sz w:val="20"/>
      <w:szCs w:val="20"/>
      <w:u w:val="none"/>
    </w:rPr>
  </w:style>
  <w:style w:type="character" w:customStyle="1" w:styleId="21">
    <w:name w:val="正文文本缩进 字符"/>
    <w:basedOn w:val="14"/>
    <w:link w:val="6"/>
    <w:qFormat/>
    <w:uiPriority w:val="0"/>
    <w:rPr>
      <w:rFonts w:ascii="宋体" w:hAnsi="宋体"/>
      <w:kern w:val="2"/>
      <w:sz w:val="28"/>
      <w:szCs w:val="24"/>
    </w:rPr>
  </w:style>
  <w:style w:type="character" w:customStyle="1" w:styleId="22">
    <w:name w:val="font21"/>
    <w:basedOn w:val="14"/>
    <w:qFormat/>
    <w:uiPriority w:val="0"/>
    <w:rPr>
      <w:rFonts w:hint="eastAsia" w:ascii="宋体" w:hAnsi="宋体" w:eastAsia="宋体" w:cs="宋体"/>
      <w:color w:val="000000"/>
      <w:sz w:val="20"/>
      <w:szCs w:val="20"/>
      <w:u w:val="none"/>
    </w:rPr>
  </w:style>
  <w:style w:type="character" w:customStyle="1" w:styleId="23">
    <w:name w:val="无间隔 字符"/>
    <w:basedOn w:val="14"/>
    <w:link w:val="24"/>
    <w:qFormat/>
    <w:uiPriority w:val="1"/>
    <w:rPr>
      <w:rFonts w:ascii="Calibri" w:hAnsi="Calibri"/>
      <w:sz w:val="22"/>
      <w:szCs w:val="22"/>
      <w:lang w:val="en-US" w:eastAsia="zh-CN" w:bidi="ar-SA"/>
    </w:rPr>
  </w:style>
  <w:style w:type="paragraph" w:styleId="24">
    <w:name w:val="No Spacing"/>
    <w:link w:val="23"/>
    <w:qFormat/>
    <w:uiPriority w:val="1"/>
    <w:rPr>
      <w:rFonts w:ascii="Calibri" w:hAnsi="Calibri" w:eastAsia="宋体" w:cs="Times New Roman"/>
      <w:sz w:val="22"/>
      <w:szCs w:val="22"/>
      <w:lang w:val="en-US" w:eastAsia="zh-CN" w:bidi="ar-SA"/>
    </w:rPr>
  </w:style>
  <w:style w:type="paragraph" w:styleId="25">
    <w:name w:val="List Paragraph"/>
    <w:basedOn w:val="1"/>
    <w:qFormat/>
    <w:uiPriority w:val="34"/>
    <w:pPr>
      <w:ind w:firstLine="420" w:firstLineChars="200"/>
    </w:pPr>
  </w:style>
  <w:style w:type="paragraph" w:customStyle="1" w:styleId="26">
    <w:name w:val="默认段落字体 Para Char Char Char Char Char Char Char"/>
    <w:basedOn w:val="1"/>
    <w:qFormat/>
    <w:uiPriority w:val="0"/>
  </w:style>
  <w:style w:type="character" w:customStyle="1" w:styleId="27">
    <w:name w:val="hei41"/>
    <w:basedOn w:val="14"/>
    <w:qFormat/>
    <w:uiPriority w:val="0"/>
  </w:style>
  <w:style w:type="character" w:customStyle="1" w:styleId="28">
    <w:name w:val="unnamed2"/>
    <w:basedOn w:val="14"/>
    <w:qFormat/>
    <w:uiPriority w:val="0"/>
  </w:style>
  <w:style w:type="paragraph" w:customStyle="1" w:styleId="29">
    <w:name w:val="列出段落1"/>
    <w:basedOn w:val="1"/>
    <w:qFormat/>
    <w:uiPriority w:val="34"/>
    <w:pPr>
      <w:ind w:firstLine="420" w:firstLineChars="200"/>
    </w:pPr>
  </w:style>
  <w:style w:type="character" w:customStyle="1" w:styleId="30">
    <w:name w:val="标题 3 Char"/>
    <w:link w:val="4"/>
    <w:qFormat/>
    <w:uiPriority w:val="0"/>
    <w:rPr>
      <w:rFonts w:eastAsia="仿宋"/>
      <w:b/>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17</Pages>
  <Words>9443</Words>
  <Characters>10003</Characters>
  <Lines>5</Lines>
  <Paragraphs>15</Paragraphs>
  <TotalTime>6</TotalTime>
  <ScaleCrop>false</ScaleCrop>
  <LinksUpToDate>false</LinksUpToDate>
  <CharactersWithSpaces>10037</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2020-04-08T03:02:00Z</dcterms:created>
  <dc:creator>Lenovo User</dc:creator>
  <cp:lastModifiedBy>H.M</cp:lastModifiedBy>
  <cp:lastPrinted>2022-03-31T10:55:00Z</cp:lastPrinted>
  <dcterms:modified xsi:type="dcterms:W3CDTF">2026-09-10T01:53:22Z</dcterms:modified>
  <dc:title>河北方舟会计师事务所有限责任公司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633283CB8031440ABB4E89B3BCEF1918</vt:lpwstr>
  </property>
  <property fmtid="{D5CDD505-2E9C-101B-9397-08002B2CF9AE}" pid="4" name="KSOTemplateDocerSaveRecord">
    <vt:lpwstr>eyJoZGlkIjoiZjYwODFhOWY5YjE3NjE5MGE4ODhkZmM4NzhhYmMzZjIiLCJ1c2VySWQiOiIxMDI1NjYzMzcwIn0=</vt:lpwstr>
  </property>
</Properties>
</file>