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600" w:firstLineChars="20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</w:pPr>
      <w:bookmarkStart w:id="0" w:name="_GoBack"/>
      <w:bookmarkEnd w:id="0"/>
      <w:r>
        <w:rPr>
          <w:rFonts w:ascii="微软雅黑" w:hAnsi="微软雅黑" w:eastAsia="微软雅黑" w:cs="微软雅黑"/>
          <w:b/>
          <w:i w:val="0"/>
          <w:caps w:val="0"/>
          <w:color w:val="333333"/>
          <w:spacing w:val="0"/>
          <w:sz w:val="30"/>
          <w:szCs w:val="30"/>
          <w:shd w:val="clear" w:fill="FFFFFF"/>
        </w:rPr>
        <w:t>关于调整节能汽车、新能源汽车车船税优惠政策的公告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　　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480" w:firstLineChars="200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为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根据《中华人民共和国车船税法》及其实施条例有关规定，现就调整节能汽车、新能源汽车车船税优惠政策有关事项公告如下：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　　自2027年1月1日起，取消对节能汽车减半征收车船税政策，取消对纯电动商用车、插电式（含增程式）混合动力汽车、燃料电池商用车免征车船税政策；纳税人新取得及本公告实施前已取得的上述类型车辆，应按照《中华人民共和国车船税法》及其实施条例和其他相关规定征收车船税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　　本公告自2027年1月1日起实施，《财政部 税务总局 工业和信息化部 交通运输部关于节能 新能源车船享受车船税优惠政策的通知》（财税〔2018〕74号）第一条、第二条第（一）项和第（二）项、第三条、第四条、第七条同时废止。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　　特此公告。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　　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　　财政部 税务总局 工业和信息化部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shd w:val="clear" w:fill="FFFFFF"/>
        </w:rPr>
        <w:t>　　2026年7月2日  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474AF"/>
    <w:rsid w:val="2A7474AF"/>
    <w:rsid w:val="33B26ADF"/>
    <w:rsid w:val="4F3858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2025-09-11T05:50:00Z</dcterms:created>
  <dc:creator>lenovo</dc:creator>
  <cp:lastModifiedBy>lenovo</cp:lastModifiedBy>
  <cp:lastPrinted>2025-09-11T07:02:00Z</cp:lastPrinted>
  <dcterms:modified xsi:type="dcterms:W3CDTF">2026-09-17T02:28:16Z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