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 w:firstLine="0"/>
        <w:jc w:val="center"/>
        <w:textAlignment w:val="auto"/>
        <w:rPr>
          <w:rFonts w:ascii="方正小标宋简体" w:eastAsia="方正小标宋简体" w:cs="方正小标宋简体" w:hAnsi="方正小标宋简体"/>
          <w:b w:val="0"/>
          <w:bCs w:val="0"/>
          <w:sz w:val="44"/>
          <w:szCs w:val="44"/>
          <w:lang w:val="en-US" w:eastAsia="zh-CN"/>
          <w:highlight w:val="none"/>
        </w:rPr>
      </w:pPr>
      <w:r>
        <w:rPr>
          <w:rFonts w:ascii="方正小标宋简体" w:eastAsia="方正小标宋简体" w:cs="方正小标宋简体" w:hAnsi="方正小标宋简体" w:hint="eastAsia"/>
          <w:b w:val="0"/>
          <w:bCs w:val="0"/>
          <w:sz w:val="44"/>
          <w:szCs w:val="44"/>
          <w:lang w:val="en-US" w:eastAsia="zh-CN"/>
          <w:highlight w:val="none"/>
        </w:rPr>
        <w:t>石家庄市桥西区人民政府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 w:firstLine="0"/>
        <w:jc w:val="center"/>
        <w:textAlignment w:val="auto"/>
        <w:rPr>
          <w:rFonts w:ascii="方正小标宋简体" w:eastAsia="方正小标宋简体" w:cs="方正小标宋简体" w:hAnsi="方正小标宋简体" w:hint="eastAsia"/>
          <w:sz w:val="44"/>
          <w:szCs w:val="44"/>
          <w:highlight w:val="none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  <w:highlight w:val="none"/>
        </w:rPr>
        <w:t>2026年第二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  <w:highlight w:val="none"/>
        </w:rPr>
        <w:t>次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highlight w:val="none"/>
        </w:rPr>
        <w:t>预算调整方案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9" w:lineRule="exact"/>
        <w:ind w:firstLineChars="0" w:firstLine="0"/>
        <w:jc w:val="center"/>
        <w:textAlignment w:val="auto"/>
        <w:rPr>
          <w:rFonts w:ascii="方正小标宋简体" w:eastAsia="方正小标宋简体" w:cs="方正小标宋简体" w:hAnsi="方正小标宋简体" w:hint="eastAsia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Chars="200" w:firstLine="640"/>
        <w:jc w:val="both"/>
        <w:textAlignment w:val="auto"/>
        <w:rPr>
          <w:rFonts w:ascii="仿宋_GB2312" w:eastAsia="仿宋_GB2312" w:cs="仿宋_GB2312" w:hAnsi="仿宋_GB2312" w:hint="eastAsia"/>
          <w:sz w:val="32"/>
          <w:szCs w:val="32"/>
          <w:lang w:eastAsia="zh-CN"/>
          <w:highlight w:val="none"/>
        </w:rPr>
      </w:pP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6月份，市财政局核定下达我区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新增一般债务限额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6500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专项债务限额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21000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</w:t>
      </w:r>
      <w:r>
        <w:rPr>
          <w:rFonts w:ascii="仿宋_GB2312" w:eastAsia="仿宋_GB2312" w:cs="仿宋_GB2312" w:hAnsi="仿宋_GB2312" w:hint="eastAsia"/>
          <w:sz w:val="32"/>
          <w:szCs w:val="32"/>
          <w:lang w:eastAsia="zh-CN"/>
        </w:rPr>
        <w:t>。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新增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发行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一般债券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6500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万元</w:t>
      </w:r>
      <w:r>
        <w:rPr>
          <w:rFonts w:ascii="仿宋_GB2312" w:cs="仿宋_GB2312" w:hAnsi="仿宋_GB2312" w:hint="eastAsia"/>
          <w:sz w:val="32"/>
          <w:szCs w:val="32"/>
          <w:lang w:eastAsia="zh-CN"/>
          <w:highlight w:val="none"/>
        </w:rPr>
        <w:t>、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新增发行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专项债券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21000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万元</w:t>
      </w:r>
      <w:r>
        <w:rPr>
          <w:rFonts w:ascii="仿宋_GB2312" w:cs="仿宋_GB2312" w:hAnsi="仿宋_GB2312" w:hint="eastAsia"/>
          <w:sz w:val="32"/>
          <w:szCs w:val="32"/>
          <w:lang w:eastAsia="zh-CN"/>
          <w:highlight w:val="none"/>
        </w:rPr>
        <w:t>，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按要求进行预算调整</w:t>
      </w:r>
      <w:r>
        <w:rPr>
          <w:rFonts w:ascii="仿宋_GB2312" w:eastAsia="仿宋_GB2312" w:cs="仿宋_GB2312" w:hAnsi="仿宋_GB2312" w:hint="eastAsia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9" w:lineRule="exact"/>
        <w:ind w:firstLineChars="200" w:firstLine="640"/>
        <w:jc w:val="both"/>
        <w:textAlignment w:val="auto"/>
        <w:rPr>
          <w:rFonts w:ascii="仿宋_GB2312" w:eastAsia="仿宋_GB2312" w:cs="仿宋_GB2312" w:hAnsi="仿宋_GB2312"/>
          <w:sz w:val="32"/>
          <w:szCs w:val="32"/>
          <w:lang w:val="en-US" w:eastAsia="zh-CN"/>
          <w:highlight w:val="none"/>
        </w:rPr>
      </w:pP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按照《</w:t>
      </w:r>
      <w:r>
        <w:rPr>
          <w:rFonts w:ascii="仿宋_GB2312" w:cs="仿宋_GB2312" w:hAnsi="仿宋_GB2312"/>
          <w:sz w:val="32"/>
          <w:szCs w:val="32"/>
          <w:lang w:val="en-US" w:eastAsia="zh-CN"/>
          <w:highlight w:val="none"/>
        </w:rPr>
        <w:t>中华人民共和国</w:t>
      </w:r>
      <w:bookmarkStart w:id="0" w:name="_GoBack"/>
      <w:bookmarkEnd w:id="0"/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预算法》《河北省预算审查监督条例》等有关规定，现提出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/>
        </w:rPr>
        <w:t>桥西区2026年第二</w:t>
      </w:r>
      <w:r>
        <w:rPr>
          <w:rFonts w:ascii="仿宋_GB2312" w:cs="仿宋_GB2312" w:hAnsi="仿宋_GB2312" w:hint="eastAsia"/>
          <w:kern w:val="2"/>
          <w:sz w:val="32"/>
          <w:szCs w:val="32"/>
          <w:lang w:val="en-US" w:eastAsia="zh-CN"/>
        </w:rPr>
        <w:t>次</w:t>
      </w:r>
      <w:r>
        <w:rPr>
          <w:rFonts w:ascii="仿宋_GB2312" w:eastAsia="仿宋_GB2312" w:cs="仿宋_GB2312" w:hAnsi="仿宋_GB2312" w:hint="eastAsia"/>
          <w:kern w:val="2"/>
          <w:sz w:val="32"/>
          <w:szCs w:val="32"/>
          <w:lang w:val="en-US" w:eastAsia="zh-CN"/>
        </w:rPr>
        <w:t>预算调整方案</w:t>
      </w:r>
      <w:r>
        <w:rPr>
          <w:rFonts w:ascii="仿宋_GB2312" w:cs="仿宋_GB2312" w:hAnsi="仿宋_GB2312" w:hint="eastAsia"/>
          <w:sz w:val="32"/>
          <w:szCs w:val="32"/>
          <w:lang w:val="en-US" w:eastAsia="zh-CN"/>
          <w:highlight w:val="none"/>
        </w:rPr>
        <w:t>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黑体" w:eastAsia="黑体" w:cs="黑体" w:hAnsi="黑体" w:hint="eastAsia"/>
          <w:sz w:val="32"/>
          <w:szCs w:val="32"/>
          <w:lang w:val="en-US" w:eastAsia="zh-CN"/>
        </w:rPr>
      </w:pPr>
      <w:r>
        <w:rPr>
          <w:rFonts w:ascii="黑体" w:eastAsia="黑体" w:cs="黑体" w:hAnsi="黑体" w:hint="eastAsia"/>
          <w:sz w:val="32"/>
          <w:szCs w:val="32"/>
          <w:lang w:val="en-US" w:eastAsia="zh-CN"/>
        </w:rPr>
        <w:t>一、一般公共预算调整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仿宋_GB2312" w:eastAsia="仿宋_GB2312" w:cs="仿宋_GB2312" w:hAnsi="仿宋_GB2312" w:hint="eastAsia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市下达桥西区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新增</w:t>
      </w:r>
      <w:r>
        <w:rPr>
          <w:rFonts w:ascii="仿宋_GB2312" w:eastAsia="仿宋_GB2312" w:cs="仿宋_GB2312" w:hAnsi="仿宋_GB2312" w:hint="eastAsia"/>
          <w:sz w:val="32"/>
          <w:szCs w:val="32"/>
        </w:rPr>
        <w:t>一般债券资金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6500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用于学校建设和道路工程。其中，安排区教育局3所学校项目资金600万元；安排区城市管理综合行政执法局15项道路工程项目资金5900万元</w:t>
      </w:r>
      <w:r>
        <w:rPr>
          <w:rFonts w:ascii="仿宋_GB2312" w:eastAsia="仿宋_GB2312" w:cs="仿宋_GB2312" w:hAnsi="仿宋_GB2312" w:hint="eastAsia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仿宋_GB2312" w:eastAsia="仿宋_GB2312" w:cs="仿宋_GB2312" w:hAnsi="仿宋_GB2312"/>
          <w:color w:val="auto"/>
          <w:sz w:val="32"/>
          <w:szCs w:val="32"/>
          <w:lang w:val="en-US" w:eastAsia="zh-CN"/>
        </w:rPr>
      </w:pP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按照有关规定，一般债券纳入一般公共预算管理。据此，一般公共预算调增地方政府一般债券转贷收入6500万元，相应调增一般公共预算支出6500万元。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黑体" w:eastAsia="黑体" w:cs="黑体" w:hAnsi="黑体"/>
          <w:sz w:val="32"/>
          <w:szCs w:val="32"/>
          <w:lang w:val="en-US" w:eastAsia="zh-CN"/>
        </w:rPr>
      </w:pPr>
      <w:r>
        <w:rPr>
          <w:rFonts w:ascii="黑体" w:eastAsia="黑体" w:cs="黑体" w:hAnsi="黑体" w:hint="eastAsia"/>
          <w:sz w:val="32"/>
          <w:szCs w:val="32"/>
          <w:lang w:val="en-US" w:eastAsia="zh-CN"/>
        </w:rPr>
        <w:t>二、政府性基金预算调整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市下达桥西区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新增</w:t>
      </w:r>
      <w:r>
        <w:rPr>
          <w:rFonts w:ascii="仿宋_GB2312" w:eastAsia="仿宋_GB2312" w:cs="仿宋_GB2312" w:hAnsi="仿宋_GB2312" w:hint="eastAsia"/>
          <w:sz w:val="32"/>
          <w:szCs w:val="32"/>
        </w:rPr>
        <w:t>专项债券资金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21000</w:t>
      </w:r>
      <w:r>
        <w:rPr>
          <w:rFonts w:ascii="仿宋_GB2312" w:eastAsia="仿宋_GB2312" w:cs="仿宋_GB2312" w:hAnsi="仿宋_GB2312" w:hint="eastAsia"/>
          <w:sz w:val="32"/>
          <w:szCs w:val="32"/>
        </w:rPr>
        <w:t>万元，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安排区发改局解决拖欠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工程款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资金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21000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79" w:lineRule="exact"/>
        <w:ind w:left="0" w:firstLineChars="200" w:firstLine="640"/>
        <w:jc w:val="both"/>
        <w:textAlignment w:val="auto"/>
        <w:outlineLvl w:val="9"/>
        <w:rPr>
          <w:rFonts w:ascii="仿宋_GB2312" w:cs="仿宋_GB2312" w:hAnsi="仿宋_GB2312" w:hint="eastAsia"/>
          <w:sz w:val="32"/>
          <w:szCs w:val="32"/>
          <w:lang w:val="en-US" w:eastAsia="zh-CN"/>
        </w:rPr>
      </w:pP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按照有关规定，专项债券收入纳入政府性基金预算管理。据此，政府性基金预算调增地方政府专项债券转贷收入21000万元，相应调增政府性基金预算支出21000万元。</w:t>
      </w:r>
    </w:p>
    <w:p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textAlignment w:val="auto"/>
        <w:rPr>
          <w:rFonts w:hint="eastAsia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关于专项债券调整，因区全民健身中心项目竣工后有资金结余，调整金额1000万元至区2024年老旧小区改造配套基础设施增补项目</w:t>
      </w:r>
      <w:r>
        <w:rPr>
          <w:rFonts w:ascii="仿宋_GB2312" w:cs="仿宋_GB2312" w:hAnsi="仿宋_GB2312" w:hint="eastAsia"/>
          <w:sz w:val="32"/>
          <w:szCs w:val="32"/>
          <w:lang w:val="en-US" w:eastAsia="zh-CN"/>
        </w:rPr>
        <w:t>。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ascii="黑体" w:eastAsia="黑体" w:cs="黑体" w:hAnsi="黑体" w:hint="eastAsia"/>
          <w:kern w:val="2"/>
          <w:sz w:val="32"/>
          <w:szCs w:val="32"/>
          <w:lang w:val="en-US" w:eastAsia="zh-CN" w:bidi="ar-SA"/>
        </w:rPr>
      </w:pPr>
      <w:r>
        <w:rPr>
          <w:rFonts w:ascii="黑体" w:eastAsia="黑体" w:cs="黑体" w:hAnsi="黑体" w:hint="eastAsia"/>
          <w:kern w:val="2"/>
          <w:sz w:val="32"/>
          <w:szCs w:val="32"/>
          <w:lang w:val="en-US" w:eastAsia="zh-CN" w:bidi="ar-SA"/>
        </w:rPr>
        <w:t>三、其他需要说明的事项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ascii="仿宋_GB2312" w:eastAsia="仿宋_GB2312" w:cs="仿宋_GB2312" w:hAnsi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按照政府债务审查监督有关要求，另就以下几项内容予以说明：一是关于地方政府债务限额，本次新增债务限额下达后，全区政府债务总限额为</w:t>
      </w:r>
      <w:r>
        <w:rPr>
          <w:rFonts w:ascii="仿宋_GB2312" w:eastAsia="仿宋_GB2312" w:cs="仿宋_GB2312" w:hAnsi="仿宋_GB2312" w:hint="eastAsia"/>
          <w:color w:val="auto"/>
          <w:sz w:val="32"/>
          <w:szCs w:val="32"/>
          <w:lang w:val="en-US" w:eastAsia="zh-CN"/>
        </w:rPr>
        <w:t>347671万元（一般债务限额58308万元，专项债务限额289363万元）；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二是</w:t>
      </w:r>
      <w:r>
        <w:rPr>
          <w:rFonts w:ascii="仿宋_GB2312" w:eastAsia="仿宋_GB2312" w:cs="仿宋_GB2312" w:hAnsi="仿宋_GB2312" w:hint="eastAsia"/>
          <w:color w:val="auto"/>
          <w:sz w:val="32"/>
          <w:szCs w:val="32"/>
          <w:lang w:val="en-US" w:eastAsia="zh-CN"/>
        </w:rPr>
        <w:t>关于地方政府债务余额，截至6月底，全区政府债务余额为347162万元（一般债务余额58100万元，专项债务余额289062万元），在政府债务限额之内；三是关于偿债计划，2026年到期债务本金2209.90万元，通过再融资偿还</w:t>
      </w:r>
      <w:r>
        <w:rPr>
          <w:rFonts w:ascii="仿宋_GB2312" w:eastAsia="仿宋_GB2312" w:cs="仿宋_GB2312" w:hAnsi="仿宋_GB2312" w:hint="eastAsia"/>
          <w:color w:val="auto"/>
          <w:sz w:val="28"/>
          <w:szCs w:val="28"/>
          <w:lang w:val="en-US" w:eastAsia="zh-CN"/>
        </w:rPr>
        <w:t>1</w:t>
      </w:r>
      <w:r>
        <w:rPr>
          <w:rFonts w:ascii="仿宋_GB2312" w:eastAsia="仿宋_GB2312" w:cs="仿宋_GB2312" w:hAnsi="仿宋_GB2312" w:hint="eastAsia"/>
          <w:color w:val="auto"/>
          <w:sz w:val="32"/>
          <w:szCs w:val="32"/>
          <w:lang w:val="en-US" w:eastAsia="zh-CN"/>
        </w:rPr>
        <w:t>800万元，使用一般财力和对应专项收入偿还409.90万元；四是关于政府债务风险，按照财政部评估方法测算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，年度债务率123%，债务风险总体平稳，可防可控。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</w:pP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firstLineChars="200" w:firstLine="640"/>
        <w:jc w:val="both"/>
        <w:textAlignment w:val="auto"/>
        <w:outlineLvl w:val="9"/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附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表1</w:t>
      </w:r>
      <w:r>
        <w:rPr>
          <w:rFonts w:ascii="仿宋_GB2312" w:eastAsia="仿宋_GB2312" w:cs="仿宋_GB2312" w:hAnsi="仿宋_GB2312" w:hint="eastAsia"/>
          <w:sz w:val="32"/>
          <w:szCs w:val="32"/>
        </w:rPr>
        <w:t>：202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6</w:t>
      </w:r>
      <w:r>
        <w:rPr>
          <w:rFonts w:ascii="仿宋_GB2312" w:eastAsia="仿宋_GB2312" w:cs="仿宋_GB2312" w:hAnsi="仿宋_GB2312" w:hint="eastAsia"/>
          <w:sz w:val="32"/>
          <w:szCs w:val="32"/>
        </w:rPr>
        <w:t>年一般公共预算调整表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附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表2：</w:t>
      </w:r>
      <w:r>
        <w:rPr>
          <w:rFonts w:ascii="仿宋_GB2312" w:eastAsia="仿宋_GB2312" w:cs="仿宋_GB2312" w:hAnsi="仿宋_GB2312" w:hint="eastAsia"/>
          <w:sz w:val="32"/>
          <w:szCs w:val="32"/>
        </w:rPr>
        <w:t>202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6年</w:t>
      </w:r>
      <w:r>
        <w:rPr>
          <w:rFonts w:ascii="仿宋_GB2312" w:eastAsia="仿宋_GB2312" w:cs="仿宋_GB2312" w:hAnsi="仿宋_GB2312" w:hint="eastAsia"/>
          <w:sz w:val="32"/>
          <w:szCs w:val="32"/>
        </w:rPr>
        <w:t>政府性基金预算调整表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ascii="仿宋_GB2312" w:eastAsia="仿宋_GB2312" w:cs="仿宋_GB2312" w:hAnsi="仿宋_GB2312" w:hint="eastAsia"/>
          <w:sz w:val="32"/>
          <w:szCs w:val="32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附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表3：</w:t>
      </w:r>
      <w:r>
        <w:rPr>
          <w:rFonts w:ascii="仿宋_GB2312" w:eastAsia="仿宋_GB2312" w:cs="仿宋_GB2312" w:hAnsi="仿宋_GB2312" w:hint="eastAsia"/>
          <w:sz w:val="32"/>
          <w:szCs w:val="32"/>
        </w:rPr>
        <w:t>202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6年</w:t>
      </w:r>
      <w:r>
        <w:rPr>
          <w:rFonts w:ascii="仿宋_GB2312" w:eastAsia="仿宋_GB2312" w:cs="仿宋_GB2312" w:hAnsi="仿宋_GB2312" w:hint="eastAsia"/>
          <w:sz w:val="32"/>
          <w:szCs w:val="32"/>
        </w:rPr>
        <w:t>新增政府债券项目明细表</w:t>
      </w:r>
    </w:p>
    <w:p>
      <w:pPr>
        <w:pStyle w:val="2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9" w:lineRule="exact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ascii="仿宋_GB2312" w:eastAsia="仿宋_GB2312" w:cs="仿宋_GB2312" w:hAnsi="仿宋_GB2312" w:hint="eastAsia"/>
          <w:sz w:val="32"/>
          <w:szCs w:val="32"/>
        </w:rPr>
        <w:t>附</w:t>
      </w:r>
      <w:r>
        <w:rPr>
          <w:rFonts w:ascii="仿宋_GB2312" w:eastAsia="仿宋_GB2312" w:cs="仿宋_GB2312" w:hAnsi="仿宋_GB2312" w:hint="eastAsia"/>
          <w:sz w:val="32"/>
          <w:szCs w:val="32"/>
          <w:lang w:val="en-US" w:eastAsia="zh-CN"/>
        </w:rPr>
        <w:t>表4：2026年债券项目调整情况表</w:t>
      </w:r>
    </w:p>
    <w:sectPr>
      <w:footerReference w:type="default" r:id="rId2"/>
      <w:pgSz w:w="11906" w:h="16838"/>
      <w:pgMar w:top="2098" w:right="1474" w:bottom="1984" w:left="1587" w:header="851" w:footer="992" w:gutter="0"/>
      <w:pgNumType w:fmt="numberInDash" w:start="1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EFF" w:usb1="C0007843" w:usb2="00000009" w:usb3="00000000" w:csb0="400001FF" w:csb1="FFFF0000"/>
  </w:font>
  <w:font w:name="宋体">
    <w:panose1 w:val="02010600030101010101"/>
    <w:charset w:val="50"/>
    <w:family w:val="auto"/>
    <w:pitch w:val="variable"/>
    <w:sig w:usb0="00000003" w:usb1="288F0000" w:usb2="0000000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EFF" w:usb1="C0007843" w:usb2="00000009" w:usb3="00000000" w:csb0="400001FF" w:csb1="FFFF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9"/>
      <w:tabs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84"/>
              <wp:wrapNone/>
              <wp:docPr id="2" name="文本框 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44500" cy="230584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1">
                      <w:txbxContent>
                        <w:p>
                          <w:pPr>
                            <w:pStyle w:val="19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eastAsia="仿宋_GB2312" w:cs="仿宋_GB2312" w:hAnsi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cs="仿宋_GB2312" w:hAnsi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cs="仿宋_GB2312" w:hAnsi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cs="仿宋_GB2312" w:hAnsi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cs="仿宋_GB2312" w:hAnsi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文本框 2" o:spid="_x0000_s2" filled="f" stroked="f" strokeweight="0.5pt" style="position:absolute;margin-left:0.0pt;margin-top:0.0pt;width:35.000004pt;height:18.156258pt;z-index:12;mso-position-horizontal:outside;mso-position-horizontal-relative:margin;mso-position-vertical:absolute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9"/>
                      <w:tabs>
                        <w:tab w:val="center" w:pos="4153"/>
                        <w:tab w:val="right" w:pos="8306"/>
                      </w:tabs>
                      <w:rPr>
                        <w:sz w:val="28"/>
                        <w:szCs w:val="28"/>
                      </w:rPr>
                    </w:pPr>
                    <w:r>
                      <w:rPr>
                        <w:rFonts w:ascii="仿宋_GB2312" w:eastAsia="仿宋_GB2312" w:cs="仿宋_GB2312" w:hAnsi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cs="仿宋_GB2312" w:hAnsi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cs="仿宋_GB2312" w:hAnsi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cs="仿宋_GB2312" w:hAnsi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cs="仿宋_GB2312" w:hAnsi="仿宋_GB2312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 w:val="0"/>
  <w:bordersDoNotSurroundFooter w:val="0"/>
  <w:defaultTabStop w:val="420"/>
  <w:drawingGridHorizontalSpacing w:val="16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next w:val="15"/>
    <w:pPr>
      <w:widowControl w:val="0"/>
      <w:jc w:val="both"/>
    </w:pPr>
    <w:rPr>
      <w:rFonts w:ascii="Times New Roman" w:eastAsia="仿宋_GB2312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仿宋_GB2312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Times New Roman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仿宋_GB2312" w:cs="Times New Roman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Normal Indent"/>
    <w:qFormat/>
    <w:basedOn w:val="0"/>
    <w:next w:val="16"/>
    <w:pPr>
      <w:ind w:firstLineChars="200" w:firstLine="200"/>
    </w:pPr>
  </w:style>
  <w:style w:type="paragraph" w:styleId="16">
    <w:name w:val="Subtitle"/>
    <w:qFormat/>
    <w:basedOn w:val="0"/>
    <w:next w:val="0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7">
    <w:name w:val="Body Text Indent"/>
    <w:qFormat/>
    <w:basedOn w:val="0"/>
    <w:next w:val="18"/>
    <w:pPr>
      <w:ind w:firstLine="465"/>
    </w:pPr>
    <w:rPr>
      <w:sz w:val="24"/>
      <w:szCs w:val="20"/>
    </w:rPr>
  </w:style>
  <w:style w:type="paragraph" w:styleId="18">
    <w:name w:val="envelope return"/>
    <w:qFormat/>
    <w:basedOn w:val="0"/>
    <w:pPr>
      <w:snapToGrid w:val="0"/>
    </w:pPr>
    <w:rPr>
      <w:rFonts w:ascii="Arial" w:hAnsi="Arial"/>
    </w:rPr>
  </w:style>
  <w:style w:type="paragraph" w:styleId="19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qFormat/>
    <w:basedOn w:val="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21">
    <w:name w:val="Body Text First Indent 2"/>
    <w:qFormat/>
    <w:basedOn w:val="17"/>
    <w:pPr>
      <w:ind w:firstLineChars="200" w:firstLine="200"/>
    </w:pPr>
  </w:style>
  <w:style w:type="paragraph" w:customStyle="1" w:yozoId="4094" w:styleId="22">
    <w:name w:val="无间隔1"/>
    <w:qFormat/>
    <w:pPr>
      <w:widowControl w:val="0"/>
      <w:ind w:firstLineChars="200" w:firstLine="200"/>
      <w:jc w:val="both"/>
    </w:pPr>
    <w:rPr>
      <w:rFonts w:ascii="Times New Roman" w:eastAsia="宋体" w:cs="Times New Roman" w:hAnsi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DD3369F0-3052-459C-A2BD-1C4860259726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122</TotalTime>
  <Application>WPS_Yozo_Office9.0.6115.191ZH</Application>
  <Pages>2</Pages>
  <Words>0</Words>
  <Characters>696</Characters>
  <Lines>0</Lines>
  <Paragraphs>19</Paragraphs>
  <CharactersWithSpaces>929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</dc:creator>
  <cp:lastModifiedBy>user</cp:lastModifiedBy>
  <cp:revision>2</cp:revision>
  <cp:lastPrinted>2026-09-07T01:37:00Z</cp:lastPrinted>
  <dcterms:created xsi:type="dcterms:W3CDTF">2019-01-07T07:42:00Z</dcterms:created>
  <dcterms:modified xsi:type="dcterms:W3CDTF">2026-09-20T07:24:28Z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2052-11.8.2.12309</vt:lpwstr>
  </property>
  <property fmtid="{D5CDD505-2E9C-101B-9397-08002B2CF9AE}" pid="3" name="ICV">
    <vt:lpwstr>0FF022BFCAA043BB8CCBA0213D527F89</vt:lpwstr>
  </property>
</Properties>
</file>