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一、中共石家庄市桥西区委区直机关工作委员会机关本级收支预算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一、中共石家庄市桥西区委区直机关工作委员会机关本级收支预算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181.97</w:t>
            </w:r>
          </w:p>
        </w:tc>
        <w:tc>
          <w:tcPr>
            <w:tcW w:w="4535" w:type="dxa"/>
            <w:vAlign w:val="center"/>
          </w:tcPr>
          <w:p>
            <w:pPr>
              <w:pStyle w:val="12"/>
            </w:pPr>
            <w:r>
              <w:t>一、一般公共服务支出</w:t>
            </w:r>
          </w:p>
        </w:tc>
        <w:tc>
          <w:tcPr>
            <w:tcW w:w="2126" w:type="dxa"/>
            <w:vAlign w:val="center"/>
          </w:tcPr>
          <w:p>
            <w:pPr>
              <w:pStyle w:val="11"/>
            </w:pPr>
            <w:r>
              <w:t>109.08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181.97</w:t>
            </w:r>
          </w:p>
        </w:tc>
        <w:tc>
          <w:tcPr>
            <w:tcW w:w="4535" w:type="dxa"/>
            <w:vAlign w:val="center"/>
          </w:tcPr>
          <w:p>
            <w:pPr>
              <w:pStyle w:val="14"/>
            </w:pPr>
            <w:r>
              <w:t>本年支出合计</w:t>
            </w:r>
          </w:p>
        </w:tc>
        <w:tc>
          <w:tcPr>
            <w:tcW w:w="2126" w:type="dxa"/>
            <w:vAlign w:val="center"/>
          </w:tcPr>
          <w:p>
            <w:pPr>
              <w:pStyle w:val="15"/>
            </w:pPr>
            <w:r>
              <w:t>181.97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181.97</w:t>
            </w:r>
          </w:p>
        </w:tc>
        <w:tc>
          <w:tcPr>
            <w:tcW w:w="4535" w:type="dxa"/>
            <w:vAlign w:val="center"/>
          </w:tcPr>
          <w:p>
            <w:pPr>
              <w:pStyle w:val="14"/>
            </w:pPr>
            <w:r>
              <w:t>支出总计</w:t>
            </w:r>
          </w:p>
        </w:tc>
        <w:tc>
          <w:tcPr>
            <w:tcW w:w="2126" w:type="dxa"/>
            <w:vAlign w:val="center"/>
          </w:tcPr>
          <w:p>
            <w:pPr>
              <w:pStyle w:val="15"/>
            </w:pPr>
            <w:r>
              <w:t>181.97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181.97</w:t>
            </w:r>
          </w:p>
        </w:tc>
        <w:tc>
          <w:tcPr>
            <w:tcW w:w="1134" w:type="dxa"/>
            <w:vAlign w:val="center"/>
          </w:tcPr>
          <w:p>
            <w:pPr>
              <w:pStyle w:val="15"/>
            </w:pPr>
            <w:r>
              <w:t>181.97</w:t>
            </w:r>
          </w:p>
        </w:tc>
        <w:tc>
          <w:tcPr>
            <w:tcW w:w="1134" w:type="dxa"/>
            <w:vAlign w:val="center"/>
          </w:tcPr>
          <w:p>
            <w:pPr>
              <w:pStyle w:val="15"/>
            </w:pPr>
            <w:r>
              <w:t>181.97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109.08</w:t>
            </w:r>
          </w:p>
        </w:tc>
        <w:tc>
          <w:tcPr>
            <w:tcW w:w="1134" w:type="dxa"/>
            <w:vAlign w:val="center"/>
          </w:tcPr>
          <w:p>
            <w:pPr>
              <w:pStyle w:val="11"/>
            </w:pPr>
            <w:r>
              <w:t>109.08</w:t>
            </w:r>
          </w:p>
        </w:tc>
        <w:tc>
          <w:tcPr>
            <w:tcW w:w="1134" w:type="dxa"/>
            <w:vAlign w:val="center"/>
          </w:tcPr>
          <w:p>
            <w:pPr>
              <w:pStyle w:val="11"/>
            </w:pPr>
            <w:r>
              <w:t>109.08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0.84</w:t>
            </w:r>
          </w:p>
        </w:tc>
        <w:tc>
          <w:tcPr>
            <w:tcW w:w="1134" w:type="dxa"/>
            <w:vAlign w:val="center"/>
          </w:tcPr>
          <w:p>
            <w:pPr>
              <w:pStyle w:val="11"/>
            </w:pPr>
            <w:r>
              <w:t>0.84</w:t>
            </w:r>
          </w:p>
        </w:tc>
        <w:tc>
          <w:tcPr>
            <w:tcW w:w="1134" w:type="dxa"/>
            <w:vAlign w:val="center"/>
          </w:tcPr>
          <w:p>
            <w:pPr>
              <w:pStyle w:val="11"/>
            </w:pPr>
            <w:r>
              <w:t>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0.84</w:t>
            </w:r>
          </w:p>
        </w:tc>
        <w:tc>
          <w:tcPr>
            <w:tcW w:w="1134" w:type="dxa"/>
            <w:vAlign w:val="center"/>
          </w:tcPr>
          <w:p>
            <w:pPr>
              <w:pStyle w:val="11"/>
            </w:pPr>
            <w:r>
              <w:t>0.84</w:t>
            </w:r>
          </w:p>
        </w:tc>
        <w:tc>
          <w:tcPr>
            <w:tcW w:w="1134" w:type="dxa"/>
            <w:vAlign w:val="center"/>
          </w:tcPr>
          <w:p>
            <w:pPr>
              <w:pStyle w:val="11"/>
            </w:pPr>
            <w:r>
              <w:t>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108.24</w:t>
            </w:r>
          </w:p>
        </w:tc>
        <w:tc>
          <w:tcPr>
            <w:tcW w:w="1134" w:type="dxa"/>
            <w:vAlign w:val="center"/>
          </w:tcPr>
          <w:p>
            <w:pPr>
              <w:pStyle w:val="11"/>
            </w:pPr>
            <w:r>
              <w:t>108.24</w:t>
            </w:r>
          </w:p>
        </w:tc>
        <w:tc>
          <w:tcPr>
            <w:tcW w:w="1134" w:type="dxa"/>
            <w:vAlign w:val="center"/>
          </w:tcPr>
          <w:p>
            <w:pPr>
              <w:pStyle w:val="11"/>
            </w:pPr>
            <w:r>
              <w:t>108.24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108.24</w:t>
            </w:r>
          </w:p>
        </w:tc>
        <w:tc>
          <w:tcPr>
            <w:tcW w:w="1134" w:type="dxa"/>
            <w:vAlign w:val="center"/>
          </w:tcPr>
          <w:p>
            <w:pPr>
              <w:pStyle w:val="11"/>
            </w:pPr>
            <w:r>
              <w:t>108.24</w:t>
            </w:r>
          </w:p>
        </w:tc>
        <w:tc>
          <w:tcPr>
            <w:tcW w:w="1134" w:type="dxa"/>
            <w:vAlign w:val="center"/>
          </w:tcPr>
          <w:p>
            <w:pPr>
              <w:pStyle w:val="11"/>
            </w:pPr>
            <w:r>
              <w:t>108.24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54.89</w:t>
            </w:r>
          </w:p>
        </w:tc>
        <w:tc>
          <w:tcPr>
            <w:tcW w:w="1134" w:type="dxa"/>
            <w:vAlign w:val="center"/>
          </w:tcPr>
          <w:p>
            <w:pPr>
              <w:pStyle w:val="11"/>
            </w:pPr>
            <w:r>
              <w:t>54.89</w:t>
            </w:r>
          </w:p>
        </w:tc>
        <w:tc>
          <w:tcPr>
            <w:tcW w:w="1134" w:type="dxa"/>
            <w:vAlign w:val="center"/>
          </w:tcPr>
          <w:p>
            <w:pPr>
              <w:pStyle w:val="11"/>
            </w:pPr>
            <w:r>
              <w:t>54.89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54.89</w:t>
            </w:r>
          </w:p>
        </w:tc>
        <w:tc>
          <w:tcPr>
            <w:tcW w:w="1134" w:type="dxa"/>
            <w:vAlign w:val="center"/>
          </w:tcPr>
          <w:p>
            <w:pPr>
              <w:pStyle w:val="11"/>
            </w:pPr>
            <w:r>
              <w:t>54.89</w:t>
            </w:r>
          </w:p>
        </w:tc>
        <w:tc>
          <w:tcPr>
            <w:tcW w:w="1134" w:type="dxa"/>
            <w:vAlign w:val="center"/>
          </w:tcPr>
          <w:p>
            <w:pPr>
              <w:pStyle w:val="11"/>
            </w:pPr>
            <w:r>
              <w:t>54.89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35.19</w:t>
            </w:r>
          </w:p>
        </w:tc>
        <w:tc>
          <w:tcPr>
            <w:tcW w:w="1134" w:type="dxa"/>
            <w:vAlign w:val="center"/>
          </w:tcPr>
          <w:p>
            <w:pPr>
              <w:pStyle w:val="11"/>
            </w:pPr>
            <w:r>
              <w:t>35.19</w:t>
            </w:r>
          </w:p>
        </w:tc>
        <w:tc>
          <w:tcPr>
            <w:tcW w:w="1134" w:type="dxa"/>
            <w:vAlign w:val="center"/>
          </w:tcPr>
          <w:p>
            <w:pPr>
              <w:pStyle w:val="11"/>
            </w:pPr>
            <w:r>
              <w:t>35.19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7.64</w:t>
            </w:r>
          </w:p>
        </w:tc>
        <w:tc>
          <w:tcPr>
            <w:tcW w:w="1134" w:type="dxa"/>
            <w:vAlign w:val="center"/>
          </w:tcPr>
          <w:p>
            <w:pPr>
              <w:pStyle w:val="11"/>
            </w:pPr>
            <w:r>
              <w:t>7.64</w:t>
            </w:r>
          </w:p>
        </w:tc>
        <w:tc>
          <w:tcPr>
            <w:tcW w:w="1134" w:type="dxa"/>
            <w:vAlign w:val="center"/>
          </w:tcPr>
          <w:p>
            <w:pPr>
              <w:pStyle w:val="11"/>
            </w:pPr>
            <w:r>
              <w:t>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7.64</w:t>
            </w:r>
          </w:p>
        </w:tc>
        <w:tc>
          <w:tcPr>
            <w:tcW w:w="1134" w:type="dxa"/>
            <w:vAlign w:val="center"/>
          </w:tcPr>
          <w:p>
            <w:pPr>
              <w:pStyle w:val="11"/>
            </w:pPr>
            <w:r>
              <w:t>7.64</w:t>
            </w:r>
          </w:p>
        </w:tc>
        <w:tc>
          <w:tcPr>
            <w:tcW w:w="1134" w:type="dxa"/>
            <w:vAlign w:val="center"/>
          </w:tcPr>
          <w:p>
            <w:pPr>
              <w:pStyle w:val="11"/>
            </w:pPr>
            <w:r>
              <w:t>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7.64</w:t>
            </w:r>
          </w:p>
        </w:tc>
        <w:tc>
          <w:tcPr>
            <w:tcW w:w="1134" w:type="dxa"/>
            <w:vAlign w:val="center"/>
          </w:tcPr>
          <w:p>
            <w:pPr>
              <w:pStyle w:val="11"/>
            </w:pPr>
            <w:r>
              <w:t>7.64</w:t>
            </w:r>
          </w:p>
        </w:tc>
        <w:tc>
          <w:tcPr>
            <w:tcW w:w="1134" w:type="dxa"/>
            <w:vAlign w:val="center"/>
          </w:tcPr>
          <w:p>
            <w:pPr>
              <w:pStyle w:val="11"/>
            </w:pPr>
            <w:r>
              <w:t>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181.97</w:t>
            </w:r>
          </w:p>
        </w:tc>
        <w:tc>
          <w:tcPr>
            <w:tcW w:w="1361" w:type="dxa"/>
            <w:vAlign w:val="center"/>
          </w:tcPr>
          <w:p>
            <w:pPr>
              <w:pStyle w:val="15"/>
            </w:pPr>
            <w:r>
              <w:t>181.13</w:t>
            </w:r>
          </w:p>
        </w:tc>
        <w:tc>
          <w:tcPr>
            <w:tcW w:w="1361" w:type="dxa"/>
            <w:vAlign w:val="center"/>
          </w:tcPr>
          <w:p>
            <w:pPr>
              <w:pStyle w:val="15"/>
            </w:pPr>
            <w:r>
              <w:t>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109.08</w:t>
            </w:r>
          </w:p>
        </w:tc>
        <w:tc>
          <w:tcPr>
            <w:tcW w:w="1361" w:type="dxa"/>
            <w:vAlign w:val="center"/>
          </w:tcPr>
          <w:p>
            <w:pPr>
              <w:pStyle w:val="11"/>
            </w:pPr>
            <w:r>
              <w:t>108.24</w:t>
            </w:r>
          </w:p>
        </w:tc>
        <w:tc>
          <w:tcPr>
            <w:tcW w:w="1361" w:type="dxa"/>
            <w:vAlign w:val="center"/>
          </w:tcPr>
          <w:p>
            <w:pPr>
              <w:pStyle w:val="11"/>
            </w:pPr>
            <w:r>
              <w:t>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0.84</w:t>
            </w:r>
          </w:p>
        </w:tc>
        <w:tc>
          <w:tcPr>
            <w:tcW w:w="1361" w:type="dxa"/>
            <w:vAlign w:val="center"/>
          </w:tcPr>
          <w:p>
            <w:pPr>
              <w:pStyle w:val="11"/>
            </w:pPr>
          </w:p>
        </w:tc>
        <w:tc>
          <w:tcPr>
            <w:tcW w:w="1361" w:type="dxa"/>
            <w:vAlign w:val="center"/>
          </w:tcPr>
          <w:p>
            <w:pPr>
              <w:pStyle w:val="11"/>
            </w:pPr>
            <w:r>
              <w:t>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0.84</w:t>
            </w:r>
          </w:p>
        </w:tc>
        <w:tc>
          <w:tcPr>
            <w:tcW w:w="1361" w:type="dxa"/>
            <w:vAlign w:val="center"/>
          </w:tcPr>
          <w:p>
            <w:pPr>
              <w:pStyle w:val="11"/>
            </w:pPr>
          </w:p>
        </w:tc>
        <w:tc>
          <w:tcPr>
            <w:tcW w:w="1361" w:type="dxa"/>
            <w:vAlign w:val="center"/>
          </w:tcPr>
          <w:p>
            <w:pPr>
              <w:pStyle w:val="11"/>
            </w:pPr>
            <w:r>
              <w:t>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108.24</w:t>
            </w:r>
          </w:p>
        </w:tc>
        <w:tc>
          <w:tcPr>
            <w:tcW w:w="1361" w:type="dxa"/>
            <w:vAlign w:val="center"/>
          </w:tcPr>
          <w:p>
            <w:pPr>
              <w:pStyle w:val="11"/>
            </w:pPr>
            <w:r>
              <w:t>108.24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108.24</w:t>
            </w:r>
          </w:p>
        </w:tc>
        <w:tc>
          <w:tcPr>
            <w:tcW w:w="1361" w:type="dxa"/>
            <w:vAlign w:val="center"/>
          </w:tcPr>
          <w:p>
            <w:pPr>
              <w:pStyle w:val="11"/>
            </w:pPr>
            <w:r>
              <w:t>108.24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54.89</w:t>
            </w:r>
          </w:p>
        </w:tc>
        <w:tc>
          <w:tcPr>
            <w:tcW w:w="1361" w:type="dxa"/>
            <w:vAlign w:val="center"/>
          </w:tcPr>
          <w:p>
            <w:pPr>
              <w:pStyle w:val="11"/>
            </w:pPr>
            <w:r>
              <w:t>54.89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54.89</w:t>
            </w:r>
          </w:p>
        </w:tc>
        <w:tc>
          <w:tcPr>
            <w:tcW w:w="1361" w:type="dxa"/>
            <w:vAlign w:val="center"/>
          </w:tcPr>
          <w:p>
            <w:pPr>
              <w:pStyle w:val="11"/>
            </w:pPr>
            <w:r>
              <w:t>54.89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35.19</w:t>
            </w:r>
          </w:p>
        </w:tc>
        <w:tc>
          <w:tcPr>
            <w:tcW w:w="1361" w:type="dxa"/>
            <w:vAlign w:val="center"/>
          </w:tcPr>
          <w:p>
            <w:pPr>
              <w:pStyle w:val="11"/>
            </w:pPr>
            <w:r>
              <w:t>35.19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10.70</w:t>
            </w:r>
          </w:p>
        </w:tc>
        <w:tc>
          <w:tcPr>
            <w:tcW w:w="1361" w:type="dxa"/>
            <w:vAlign w:val="center"/>
          </w:tcPr>
          <w:p>
            <w:pPr>
              <w:pStyle w:val="11"/>
            </w:pPr>
            <w:r>
              <w:t>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7.64</w:t>
            </w:r>
          </w:p>
        </w:tc>
        <w:tc>
          <w:tcPr>
            <w:tcW w:w="1361" w:type="dxa"/>
            <w:vAlign w:val="center"/>
          </w:tcPr>
          <w:p>
            <w:pPr>
              <w:pStyle w:val="11"/>
            </w:pPr>
            <w:r>
              <w:t>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7.64</w:t>
            </w:r>
          </w:p>
        </w:tc>
        <w:tc>
          <w:tcPr>
            <w:tcW w:w="1361" w:type="dxa"/>
            <w:vAlign w:val="center"/>
          </w:tcPr>
          <w:p>
            <w:pPr>
              <w:pStyle w:val="11"/>
            </w:pPr>
            <w:r>
              <w:t>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7.64</w:t>
            </w:r>
          </w:p>
        </w:tc>
        <w:tc>
          <w:tcPr>
            <w:tcW w:w="1361" w:type="dxa"/>
            <w:vAlign w:val="center"/>
          </w:tcPr>
          <w:p>
            <w:pPr>
              <w:pStyle w:val="11"/>
            </w:pPr>
            <w:r>
              <w:t>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10.36</w:t>
            </w: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10.36</w:t>
            </w: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10.36</w:t>
            </w: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181.97</w:t>
            </w:r>
          </w:p>
        </w:tc>
        <w:tc>
          <w:tcPr>
            <w:tcW w:w="3402" w:type="dxa"/>
            <w:vAlign w:val="center"/>
          </w:tcPr>
          <w:p>
            <w:pPr>
              <w:pStyle w:val="12"/>
            </w:pPr>
            <w:r>
              <w:t>一、一般公共服务支出</w:t>
            </w:r>
          </w:p>
        </w:tc>
        <w:tc>
          <w:tcPr>
            <w:tcW w:w="1474" w:type="dxa"/>
            <w:vAlign w:val="center"/>
          </w:tcPr>
          <w:p>
            <w:pPr>
              <w:pStyle w:val="11"/>
            </w:pPr>
            <w:r>
              <w:t>109.08</w:t>
            </w:r>
          </w:p>
        </w:tc>
        <w:tc>
          <w:tcPr>
            <w:tcW w:w="1474" w:type="dxa"/>
            <w:vAlign w:val="center"/>
          </w:tcPr>
          <w:p>
            <w:pPr>
              <w:pStyle w:val="11"/>
            </w:pPr>
            <w:r>
              <w:t>109.08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54.89</w:t>
            </w:r>
          </w:p>
        </w:tc>
        <w:tc>
          <w:tcPr>
            <w:tcW w:w="1474" w:type="dxa"/>
            <w:vAlign w:val="center"/>
          </w:tcPr>
          <w:p>
            <w:pPr>
              <w:pStyle w:val="11"/>
            </w:pPr>
            <w:r>
              <w:t>54.89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7.64</w:t>
            </w:r>
          </w:p>
        </w:tc>
        <w:tc>
          <w:tcPr>
            <w:tcW w:w="1474" w:type="dxa"/>
            <w:vAlign w:val="center"/>
          </w:tcPr>
          <w:p>
            <w:pPr>
              <w:pStyle w:val="11"/>
            </w:pPr>
            <w:r>
              <w:t>7.64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10.36</w:t>
            </w:r>
          </w:p>
        </w:tc>
        <w:tc>
          <w:tcPr>
            <w:tcW w:w="1474" w:type="dxa"/>
            <w:vAlign w:val="center"/>
          </w:tcPr>
          <w:p>
            <w:pPr>
              <w:pStyle w:val="11"/>
            </w:pPr>
            <w:r>
              <w:t>10.36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181.97</w:t>
            </w:r>
          </w:p>
        </w:tc>
        <w:tc>
          <w:tcPr>
            <w:tcW w:w="3402" w:type="dxa"/>
            <w:vAlign w:val="center"/>
          </w:tcPr>
          <w:p>
            <w:pPr>
              <w:pStyle w:val="14"/>
            </w:pPr>
            <w:r>
              <w:t>本年支出合计</w:t>
            </w:r>
          </w:p>
        </w:tc>
        <w:tc>
          <w:tcPr>
            <w:tcW w:w="1474" w:type="dxa"/>
            <w:vAlign w:val="center"/>
          </w:tcPr>
          <w:p>
            <w:pPr>
              <w:pStyle w:val="15"/>
            </w:pPr>
            <w:r>
              <w:t>181.97</w:t>
            </w:r>
          </w:p>
        </w:tc>
        <w:tc>
          <w:tcPr>
            <w:tcW w:w="1474" w:type="dxa"/>
            <w:vAlign w:val="center"/>
          </w:tcPr>
          <w:p>
            <w:pPr>
              <w:pStyle w:val="15"/>
            </w:pPr>
            <w:r>
              <w:t>181.97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181.97</w:t>
            </w:r>
          </w:p>
        </w:tc>
        <w:tc>
          <w:tcPr>
            <w:tcW w:w="3402" w:type="dxa"/>
            <w:vAlign w:val="center"/>
          </w:tcPr>
          <w:p>
            <w:pPr>
              <w:pStyle w:val="14"/>
            </w:pPr>
            <w:r>
              <w:t>支出总计</w:t>
            </w:r>
          </w:p>
        </w:tc>
        <w:tc>
          <w:tcPr>
            <w:tcW w:w="1474" w:type="dxa"/>
            <w:vAlign w:val="center"/>
          </w:tcPr>
          <w:p>
            <w:pPr>
              <w:pStyle w:val="15"/>
            </w:pPr>
            <w:r>
              <w:t>181.97</w:t>
            </w:r>
          </w:p>
        </w:tc>
        <w:tc>
          <w:tcPr>
            <w:tcW w:w="1474" w:type="dxa"/>
            <w:vAlign w:val="center"/>
          </w:tcPr>
          <w:p>
            <w:pPr>
              <w:pStyle w:val="15"/>
            </w:pPr>
            <w:r>
              <w:t>181.97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181.97</w:t>
            </w:r>
          </w:p>
        </w:tc>
        <w:tc>
          <w:tcPr>
            <w:tcW w:w="2551" w:type="dxa"/>
            <w:vAlign w:val="center"/>
          </w:tcPr>
          <w:p>
            <w:pPr>
              <w:pStyle w:val="15"/>
            </w:pPr>
            <w:r>
              <w:t>181.13</w:t>
            </w:r>
          </w:p>
        </w:tc>
        <w:tc>
          <w:tcPr>
            <w:tcW w:w="2551" w:type="dxa"/>
            <w:vAlign w:val="center"/>
          </w:tcPr>
          <w:p>
            <w:pPr>
              <w:pStyle w:val="15"/>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109.08</w:t>
            </w:r>
          </w:p>
        </w:tc>
        <w:tc>
          <w:tcPr>
            <w:tcW w:w="2551" w:type="dxa"/>
            <w:vAlign w:val="center"/>
          </w:tcPr>
          <w:p>
            <w:pPr>
              <w:pStyle w:val="11"/>
            </w:pPr>
            <w:r>
              <w:t>108.24</w:t>
            </w:r>
          </w:p>
        </w:tc>
        <w:tc>
          <w:tcPr>
            <w:tcW w:w="2551" w:type="dxa"/>
            <w:vAlign w:val="center"/>
          </w:tcPr>
          <w:p>
            <w:pPr>
              <w:pStyle w:val="11"/>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108.24</w:t>
            </w:r>
          </w:p>
        </w:tc>
        <w:tc>
          <w:tcPr>
            <w:tcW w:w="2551" w:type="dxa"/>
            <w:vAlign w:val="center"/>
          </w:tcPr>
          <w:p>
            <w:pPr>
              <w:pStyle w:val="11"/>
            </w:pPr>
            <w:r>
              <w:t>108.24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108.24</w:t>
            </w:r>
          </w:p>
        </w:tc>
        <w:tc>
          <w:tcPr>
            <w:tcW w:w="2551" w:type="dxa"/>
            <w:vAlign w:val="center"/>
          </w:tcPr>
          <w:p>
            <w:pPr>
              <w:pStyle w:val="11"/>
            </w:pPr>
            <w:r>
              <w:t>108.24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54.89</w:t>
            </w:r>
          </w:p>
        </w:tc>
        <w:tc>
          <w:tcPr>
            <w:tcW w:w="2551" w:type="dxa"/>
            <w:vAlign w:val="center"/>
          </w:tcPr>
          <w:p>
            <w:pPr>
              <w:pStyle w:val="11"/>
            </w:pPr>
            <w:r>
              <w:t>54.89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54.89</w:t>
            </w:r>
          </w:p>
        </w:tc>
        <w:tc>
          <w:tcPr>
            <w:tcW w:w="2551" w:type="dxa"/>
            <w:vAlign w:val="center"/>
          </w:tcPr>
          <w:p>
            <w:pPr>
              <w:pStyle w:val="11"/>
            </w:pPr>
            <w:r>
              <w:t>54.89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35.19</w:t>
            </w:r>
          </w:p>
        </w:tc>
        <w:tc>
          <w:tcPr>
            <w:tcW w:w="2551" w:type="dxa"/>
            <w:vAlign w:val="center"/>
          </w:tcPr>
          <w:p>
            <w:pPr>
              <w:pStyle w:val="11"/>
            </w:pPr>
            <w:r>
              <w:t>35.19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7.64</w:t>
            </w:r>
          </w:p>
        </w:tc>
        <w:tc>
          <w:tcPr>
            <w:tcW w:w="2551" w:type="dxa"/>
            <w:vAlign w:val="center"/>
          </w:tcPr>
          <w:p>
            <w:pPr>
              <w:pStyle w:val="11"/>
            </w:pPr>
            <w:r>
              <w:t>7.64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7.64</w:t>
            </w:r>
          </w:p>
        </w:tc>
        <w:tc>
          <w:tcPr>
            <w:tcW w:w="2551" w:type="dxa"/>
            <w:vAlign w:val="center"/>
          </w:tcPr>
          <w:p>
            <w:pPr>
              <w:pStyle w:val="11"/>
            </w:pPr>
            <w:r>
              <w:t>7.64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7.64</w:t>
            </w:r>
          </w:p>
        </w:tc>
        <w:tc>
          <w:tcPr>
            <w:tcW w:w="2551" w:type="dxa"/>
            <w:vAlign w:val="center"/>
          </w:tcPr>
          <w:p>
            <w:pPr>
              <w:pStyle w:val="11"/>
            </w:pPr>
            <w:r>
              <w:t>7.64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10.36</w:t>
            </w:r>
          </w:p>
        </w:tc>
        <w:tc>
          <w:tcPr>
            <w:tcW w:w="2551" w:type="dxa"/>
            <w:vAlign w:val="center"/>
          </w:tcPr>
          <w:p>
            <w:pPr>
              <w:pStyle w:val="11"/>
            </w:pPr>
            <w:r>
              <w:t>10.36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10.36</w:t>
            </w:r>
          </w:p>
        </w:tc>
        <w:tc>
          <w:tcPr>
            <w:tcW w:w="2551" w:type="dxa"/>
            <w:vAlign w:val="center"/>
          </w:tcPr>
          <w:p>
            <w:pPr>
              <w:pStyle w:val="11"/>
            </w:pPr>
            <w:r>
              <w:t>10.36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10.36</w:t>
            </w:r>
          </w:p>
        </w:tc>
        <w:tc>
          <w:tcPr>
            <w:tcW w:w="2551" w:type="dxa"/>
            <w:vAlign w:val="center"/>
          </w:tcPr>
          <w:p>
            <w:pPr>
              <w:pStyle w:val="11"/>
            </w:pPr>
            <w:r>
              <w:t>10.36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181.13</w:t>
            </w:r>
          </w:p>
        </w:tc>
        <w:tc>
          <w:tcPr>
            <w:tcW w:w="2551" w:type="dxa"/>
            <w:vAlign w:val="center"/>
          </w:tcPr>
          <w:p>
            <w:pPr>
              <w:pStyle w:val="15"/>
            </w:pPr>
            <w:r>
              <w:t>166.36</w:t>
            </w:r>
          </w:p>
        </w:tc>
        <w:tc>
          <w:tcPr>
            <w:tcW w:w="2551" w:type="dxa"/>
            <w:vAlign w:val="center"/>
          </w:tcPr>
          <w:p>
            <w:pPr>
              <w:pStyle w:val="15"/>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131.93</w:t>
            </w:r>
          </w:p>
        </w:tc>
        <w:tc>
          <w:tcPr>
            <w:tcW w:w="2551" w:type="dxa"/>
            <w:vAlign w:val="center"/>
          </w:tcPr>
          <w:p>
            <w:pPr>
              <w:pStyle w:val="11"/>
            </w:pPr>
            <w:r>
              <w:t>131.93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29.87</w:t>
            </w:r>
          </w:p>
        </w:tc>
        <w:tc>
          <w:tcPr>
            <w:tcW w:w="2551" w:type="dxa"/>
            <w:vAlign w:val="center"/>
          </w:tcPr>
          <w:p>
            <w:pPr>
              <w:pStyle w:val="11"/>
            </w:pPr>
            <w:r>
              <w:t>29.87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24.40</w:t>
            </w:r>
          </w:p>
        </w:tc>
        <w:tc>
          <w:tcPr>
            <w:tcW w:w="2551" w:type="dxa"/>
            <w:vAlign w:val="center"/>
          </w:tcPr>
          <w:p>
            <w:pPr>
              <w:pStyle w:val="11"/>
            </w:pPr>
            <w:r>
              <w:t>24.40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27.71</w:t>
            </w:r>
          </w:p>
        </w:tc>
        <w:tc>
          <w:tcPr>
            <w:tcW w:w="2551" w:type="dxa"/>
            <w:vAlign w:val="center"/>
          </w:tcPr>
          <w:p>
            <w:pPr>
              <w:pStyle w:val="11"/>
            </w:pPr>
            <w:r>
              <w:t>27.71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3.31</w:t>
            </w:r>
          </w:p>
        </w:tc>
        <w:tc>
          <w:tcPr>
            <w:tcW w:w="2551" w:type="dxa"/>
            <w:vAlign w:val="center"/>
          </w:tcPr>
          <w:p>
            <w:pPr>
              <w:pStyle w:val="11"/>
            </w:pPr>
            <w:r>
              <w:t>3.31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10.36</w:t>
            </w:r>
          </w:p>
        </w:tc>
        <w:tc>
          <w:tcPr>
            <w:tcW w:w="2551" w:type="dxa"/>
            <w:vAlign w:val="center"/>
          </w:tcPr>
          <w:p>
            <w:pPr>
              <w:pStyle w:val="11"/>
            </w:pPr>
            <w:r>
              <w:t>10.36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11.99</w:t>
            </w:r>
          </w:p>
        </w:tc>
        <w:tc>
          <w:tcPr>
            <w:tcW w:w="2551" w:type="dxa"/>
            <w:vAlign w:val="center"/>
          </w:tcPr>
          <w:p>
            <w:pPr>
              <w:pStyle w:val="11"/>
            </w:pPr>
            <w:r>
              <w:t>11.99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14.77</w:t>
            </w:r>
          </w:p>
        </w:tc>
        <w:tc>
          <w:tcPr>
            <w:tcW w:w="2551" w:type="dxa"/>
            <w:vAlign w:val="center"/>
          </w:tcPr>
          <w:p>
            <w:pPr>
              <w:pStyle w:val="11"/>
            </w:pPr>
          </w:p>
        </w:tc>
        <w:tc>
          <w:tcPr>
            <w:tcW w:w="2551" w:type="dxa"/>
            <w:vAlign w:val="center"/>
          </w:tcPr>
          <w:p>
            <w:pPr>
              <w:pStyle w:val="11"/>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3.95</w:t>
            </w:r>
          </w:p>
        </w:tc>
        <w:tc>
          <w:tcPr>
            <w:tcW w:w="2551" w:type="dxa"/>
            <w:vAlign w:val="center"/>
          </w:tcPr>
          <w:p>
            <w:pPr>
              <w:pStyle w:val="11"/>
            </w:pPr>
          </w:p>
        </w:tc>
        <w:tc>
          <w:tcPr>
            <w:tcW w:w="2551" w:type="dxa"/>
            <w:vAlign w:val="center"/>
          </w:tcPr>
          <w:p>
            <w:pPr>
              <w:pStyle w:val="11"/>
            </w:pPr>
            <w:r>
              <w:t>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4.92</w:t>
            </w:r>
          </w:p>
        </w:tc>
        <w:tc>
          <w:tcPr>
            <w:tcW w:w="2551" w:type="dxa"/>
            <w:vAlign w:val="center"/>
          </w:tcPr>
          <w:p>
            <w:pPr>
              <w:pStyle w:val="11"/>
            </w:pPr>
          </w:p>
        </w:tc>
        <w:tc>
          <w:tcPr>
            <w:tcW w:w="2551" w:type="dxa"/>
            <w:vAlign w:val="center"/>
          </w:tcPr>
          <w:p>
            <w:pPr>
              <w:pStyle w:val="11"/>
            </w:pPr>
            <w:r>
              <w:t>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34.43</w:t>
            </w:r>
          </w:p>
        </w:tc>
        <w:tc>
          <w:tcPr>
            <w:tcW w:w="2551" w:type="dxa"/>
            <w:vAlign w:val="center"/>
          </w:tcPr>
          <w:p>
            <w:pPr>
              <w:pStyle w:val="11"/>
            </w:pPr>
            <w:r>
              <w:t>34.43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34.23</w:t>
            </w:r>
          </w:p>
        </w:tc>
        <w:tc>
          <w:tcPr>
            <w:tcW w:w="2551" w:type="dxa"/>
            <w:vAlign w:val="center"/>
          </w:tcPr>
          <w:p>
            <w:pPr>
              <w:pStyle w:val="11"/>
            </w:pPr>
            <w:r>
              <w:t>34.23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中共石家庄市桥西区委区直机关工作委员会机关本级2025年单位预算信息公开情况说明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按照《中华人民共和国预算法》、《地方预决算公开操作规程》和《关于进一步推进预算公开工作的实施意见》规定，现将中共石家庄市桥西区委区直机关工作委员会机关本级2025年单位预算公开如下：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根据《中共石家庄市桥西区委区直机关工作委员会职能配置、内设机构和人员编制规定》， 中共石家庄市桥西区委区直机关工作委员会的主要职责是：</w:t>
      </w:r>
    </w:p>
    <w:p>
      <w:pPr>
        <w:pStyle w:val="17"/>
      </w:pPr>
      <w:r>
        <w:t>（一）组织、规划、部署区直机关党的工作，提出加强和改进机关党的建设的意见和建议，研究制定工作规划，并抓好组织实施。</w:t>
      </w:r>
    </w:p>
    <w:p>
      <w:pPr>
        <w:pStyle w:val="17"/>
      </w:pPr>
      <w:r>
        <w:t>（二）指导区直机关党的政治建设、思想建设、组织建设、作风建设、纪律建设，把制度建设贯穿其中，深入推进反腐败斗争。</w:t>
      </w:r>
    </w:p>
    <w:p>
      <w:pPr>
        <w:pStyle w:val="17"/>
      </w:pPr>
      <w:r>
        <w:t>（三）组织指导区直机关各党总支（支部）和广大党员学习马克思列宁主义、毛泽东思想、邓小平理论、“三个代表”重要思想、科学发展观、习近平新时代中国特色社会主义思想。</w:t>
      </w:r>
    </w:p>
    <w:p>
      <w:pPr>
        <w:pStyle w:val="17"/>
      </w:pPr>
      <w:r>
        <w:t>（四）对区直机关各党总支（支部）、党员领导干部落实党建责任制、遵守政治纪律和政治规矩情况进行教育监督。</w:t>
      </w:r>
    </w:p>
    <w:p>
      <w:pPr>
        <w:pStyle w:val="17"/>
      </w:pPr>
      <w:r>
        <w:t>（五）指导区直机关各党总支（支部）实施对党员特别是党员领导干部的监督和管理。</w:t>
      </w:r>
    </w:p>
    <w:p>
      <w:pPr>
        <w:pStyle w:val="17"/>
      </w:pPr>
      <w:r>
        <w:t>（六）配合区委有关部门抓好区直机关各部门领导班子思想政治建设，参与组织生活会和各党总支（支部）理论学习的督促检查和指导，了解掌握情况，按规定报送情况报告。</w:t>
      </w:r>
    </w:p>
    <w:p>
      <w:pPr>
        <w:pStyle w:val="17"/>
      </w:pPr>
      <w:r>
        <w:t>（七）督促指导区直机关各党总支（支部）按期换届，审批区直机关各党总支（支部）的组成及书记、副书记和委员的任免。</w:t>
      </w:r>
    </w:p>
    <w:p>
      <w:pPr>
        <w:pStyle w:val="17"/>
      </w:pPr>
      <w:r>
        <w:t>（八）指导区直机关各党总支（支部）加强基层组织建设，对入党积极分子进行教育、培养和考察，做好党员发展、教育和管理等工作。负责区直各党总支（支部）和党员的统计工作，认真做好党费的收缴工作。</w:t>
      </w:r>
    </w:p>
    <w:p>
      <w:pPr>
        <w:pStyle w:val="17"/>
      </w:pPr>
      <w:r>
        <w:t>（九）了解掌握区直机关工作人员的思想状况，指导区直机关各党总支（支部）加强思想政治工作和精神文明建设。</w:t>
      </w:r>
    </w:p>
    <w:p>
      <w:pPr>
        <w:pStyle w:val="17"/>
      </w:pPr>
      <w:r>
        <w:t>（十）指导区直机关各党总支（支部）做好党的群众工作、统一战线工作。领导区直机关工会、共青团、妇委会等群团组织的工作。</w:t>
      </w:r>
    </w:p>
    <w:p>
      <w:pPr>
        <w:pStyle w:val="17"/>
      </w:pPr>
      <w:r>
        <w:t>（十一）协同有关部门指导、规划、协调、监督、检査区直机关干部教育培训工作，培训轮训区直机关党员领导干部和党务干部。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2"/>
            </w:pPr>
            <w:r>
              <w:t>中共石家庄市桥西区委区直机关工作委员会机关本级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181.97万元，其中：一般公共预算收入181.97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桥西区委区直机关工作委员会机关本级年度单位预算中支出预算的总体情况。2025年支出预算181.97万元，其中基本支出181.13万元，包括人员经费166.36万元和日常公用经费14.77万元；项目支出0.84万元，主要为。</w:t>
      </w:r>
    </w:p>
    <w:p>
      <w:pPr>
        <w:pStyle w:val="18"/>
      </w:pPr>
      <w:r>
        <w:t>3、比上年增减情况</w:t>
      </w:r>
    </w:p>
    <w:p>
      <w:pPr>
        <w:pStyle w:val="18"/>
      </w:pPr>
      <w:r>
        <w:t>2025年预算收支安排181.97万元，较2024年预算增加49.64万元，其中：基本支出增加50.29万元，主要为。项目支出减少0.65万元，主要为。</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560" w:firstLineChars="200"/>
        <w:jc w:val="left"/>
        <w:outlineLvl w:val="2"/>
      </w:pPr>
      <w:r>
        <w:rPr>
          <w:rFonts w:hint="eastAsia" w:eastAsia="方正仿宋_GBK" w:cs="Times New Roman"/>
          <w:color w:val="000000"/>
          <w:sz w:val="28"/>
        </w:rPr>
        <w:t>桥西区委区直机关工委202</w:t>
      </w:r>
      <w:r>
        <w:rPr>
          <w:rFonts w:hint="eastAsia" w:eastAsia="方正仿宋_GBK" w:cs="Times New Roman"/>
          <w:color w:val="000000"/>
          <w:sz w:val="28"/>
          <w:lang w:val="en-US" w:eastAsia="zh-CN"/>
        </w:rPr>
        <w:t>5</w:t>
      </w:r>
      <w:r>
        <w:rPr>
          <w:rFonts w:hint="eastAsia" w:eastAsia="方正仿宋_GBK" w:cs="Times New Roman"/>
          <w:color w:val="000000"/>
          <w:sz w:val="28"/>
        </w:rPr>
        <w:t>年机关运行经费财政拨款预算</w:t>
      </w:r>
      <w:r>
        <w:rPr>
          <w:rFonts w:hint="eastAsia" w:eastAsia="方正仿宋_GBK" w:cs="Times New Roman"/>
          <w:color w:val="000000"/>
          <w:sz w:val="28"/>
          <w:lang w:eastAsia="zh-CN"/>
        </w:rPr>
        <w:t>1</w:t>
      </w:r>
      <w:r>
        <w:rPr>
          <w:rFonts w:hint="eastAsia" w:eastAsia="方正仿宋_GBK" w:cs="Times New Roman"/>
          <w:color w:val="000000"/>
          <w:sz w:val="28"/>
          <w:lang w:val="en-US" w:eastAsia="zh-CN"/>
        </w:rPr>
        <w:t>4.77</w:t>
      </w:r>
      <w:r>
        <w:rPr>
          <w:rFonts w:hint="eastAsia" w:eastAsia="方正仿宋_GBK" w:cs="Times New Roman"/>
          <w:color w:val="000000"/>
          <w:sz w:val="28"/>
        </w:rPr>
        <w:t>万元，较202</w:t>
      </w:r>
      <w:r>
        <w:rPr>
          <w:rFonts w:hint="eastAsia" w:eastAsia="方正仿宋_GBK" w:cs="Times New Roman"/>
          <w:color w:val="000000"/>
          <w:sz w:val="28"/>
          <w:lang w:val="en-US" w:eastAsia="zh-CN"/>
        </w:rPr>
        <w:t>4</w:t>
      </w:r>
      <w:r>
        <w:rPr>
          <w:rFonts w:hint="eastAsia" w:eastAsia="方正仿宋_GBK" w:cs="Times New Roman"/>
          <w:color w:val="000000"/>
          <w:sz w:val="28"/>
        </w:rPr>
        <w:t>年预算</w:t>
      </w:r>
      <w:r>
        <w:rPr>
          <w:rFonts w:hint="eastAsia" w:eastAsia="方正仿宋_GBK" w:cs="Times New Roman"/>
          <w:color w:val="000000"/>
          <w:sz w:val="28"/>
          <w:lang w:eastAsia="zh-CN"/>
        </w:rPr>
        <w:t>增加</w:t>
      </w:r>
      <w:r>
        <w:rPr>
          <w:rFonts w:hint="eastAsia" w:eastAsia="方正仿宋_GBK" w:cs="Times New Roman"/>
          <w:color w:val="000000"/>
          <w:sz w:val="28"/>
        </w:rPr>
        <w:t>了</w:t>
      </w:r>
      <w:r>
        <w:rPr>
          <w:rFonts w:hint="eastAsia" w:eastAsia="方正仿宋_GBK" w:cs="Times New Roman"/>
          <w:color w:val="000000"/>
          <w:sz w:val="28"/>
          <w:lang w:eastAsia="zh-CN"/>
        </w:rPr>
        <w:t>0.29</w:t>
      </w:r>
      <w:r>
        <w:rPr>
          <w:rFonts w:hint="eastAsia" w:eastAsia="方正仿宋_GBK" w:cs="Times New Roman"/>
          <w:color w:val="000000"/>
          <w:sz w:val="28"/>
        </w:rPr>
        <w:t>万元</w:t>
      </w:r>
      <w:r>
        <w:rPr>
          <w:rFonts w:hint="eastAsia" w:eastAsia="方正仿宋_GBK" w:cs="Times New Roman"/>
          <w:color w:val="000000"/>
          <w:sz w:val="28"/>
          <w:lang w:eastAsia="zh-CN"/>
        </w:rPr>
        <w:t>，主要原因是人员工资调整</w:t>
      </w:r>
      <w:r>
        <w:rPr>
          <w:rFonts w:hint="eastAsia" w:eastAsia="方正仿宋_GBK" w:cs="Times New Roman"/>
          <w:color w:val="000000"/>
          <w:sz w:val="28"/>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eastAsia="方正仿宋_GBK" w:cs="Times New Roman"/>
          <w:color w:val="000000"/>
          <w:sz w:val="28"/>
        </w:rPr>
        <w:t>压减“三公”经费</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p>
      <w:pPr>
        <w:spacing w:before="0" w:after="0"/>
        <w:ind w:firstLine="560"/>
        <w:jc w:val="left"/>
        <w:outlineLvl w:val="9"/>
      </w:pPr>
      <w:r>
        <w:rPr>
          <w:rFonts w:ascii="方正仿宋_GBK" w:hAnsi="方正仿宋_GBK" w:eastAsia="方正仿宋_GBK" w:cs="方正仿宋_GBK"/>
          <w:b/>
          <w:color w:val="000000"/>
          <w:sz w:val="28"/>
        </w:rPr>
        <w:t>1、代理记账服务费绩效目标表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13010425P00001410020G</w:t>
            </w:r>
          </w:p>
        </w:tc>
        <w:tc>
          <w:tcPr>
            <w:tcW w:w="2835" w:type="dxa"/>
            <w:vAlign w:val="center"/>
          </w:tcPr>
          <w:p>
            <w:pPr>
              <w:pStyle w:val="10"/>
            </w:pPr>
            <w:r>
              <w:t>项目名称</w:t>
            </w:r>
          </w:p>
        </w:tc>
        <w:tc>
          <w:tcPr>
            <w:tcW w:w="6095" w:type="dxa"/>
            <w:gridSpan w:val="3"/>
            <w:vAlign w:val="center"/>
          </w:tcPr>
          <w:p>
            <w:pPr>
              <w:pStyle w:val="12"/>
            </w:pPr>
            <w:r>
              <w:t>代理记账服务费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财务代理记账经费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1.按时间节点，保质保量完成财务工作。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完成每月代理记账工作</w:t>
            </w:r>
          </w:p>
        </w:tc>
        <w:tc>
          <w:tcPr>
            <w:tcW w:w="5386" w:type="dxa"/>
            <w:vAlign w:val="center"/>
          </w:tcPr>
          <w:p>
            <w:pPr>
              <w:pStyle w:val="12"/>
            </w:pPr>
            <w:r>
              <w:t>完成每月代理记账工作</w:t>
            </w:r>
          </w:p>
        </w:tc>
        <w:tc>
          <w:tcPr>
            <w:tcW w:w="2268" w:type="dxa"/>
            <w:vAlign w:val="center"/>
          </w:tcPr>
          <w:p>
            <w:pPr>
              <w:pStyle w:val="12"/>
            </w:pPr>
            <w:r>
              <w:t>≥12次</w:t>
            </w:r>
          </w:p>
        </w:tc>
        <w:tc>
          <w:tcPr>
            <w:tcW w:w="1276" w:type="dxa"/>
            <w:vAlign w:val="center"/>
          </w:tcPr>
          <w:p>
            <w:pPr>
              <w:pStyle w:val="12"/>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5386" w:type="dxa"/>
            <w:vAlign w:val="center"/>
          </w:tcPr>
          <w:p>
            <w:pPr>
              <w:pStyle w:val="12"/>
            </w:pPr>
            <w:r>
              <w:t>服务水平</w:t>
            </w:r>
          </w:p>
        </w:tc>
        <w:tc>
          <w:tcPr>
            <w:tcW w:w="2268" w:type="dxa"/>
            <w:vAlign w:val="center"/>
          </w:tcPr>
          <w:p>
            <w:pPr>
              <w:pStyle w:val="12"/>
            </w:pPr>
            <w:r>
              <w:t>≥90%</w:t>
            </w:r>
          </w:p>
        </w:tc>
        <w:tc>
          <w:tcPr>
            <w:tcW w:w="1276" w:type="dxa"/>
            <w:vAlign w:val="center"/>
          </w:tcPr>
          <w:p>
            <w:pPr>
              <w:pStyle w:val="12"/>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按时间节点完成代理记账工作</w:t>
            </w:r>
          </w:p>
        </w:tc>
        <w:tc>
          <w:tcPr>
            <w:tcW w:w="5386" w:type="dxa"/>
            <w:vAlign w:val="center"/>
          </w:tcPr>
          <w:p>
            <w:pPr>
              <w:pStyle w:val="12"/>
            </w:pPr>
            <w:r>
              <w:t>按时间节点完成代理记账工作</w:t>
            </w:r>
          </w:p>
        </w:tc>
        <w:tc>
          <w:tcPr>
            <w:tcW w:w="2268" w:type="dxa"/>
            <w:vAlign w:val="center"/>
          </w:tcPr>
          <w:p>
            <w:pPr>
              <w:pStyle w:val="12"/>
            </w:pPr>
            <w:r>
              <w:t>≥12次</w:t>
            </w:r>
          </w:p>
        </w:tc>
        <w:tc>
          <w:tcPr>
            <w:tcW w:w="1276" w:type="dxa"/>
            <w:vAlign w:val="center"/>
          </w:tcPr>
          <w:p>
            <w:pPr>
              <w:pStyle w:val="12"/>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预算金额</w:t>
            </w:r>
          </w:p>
        </w:tc>
        <w:tc>
          <w:tcPr>
            <w:tcW w:w="5386" w:type="dxa"/>
            <w:vAlign w:val="center"/>
          </w:tcPr>
          <w:p>
            <w:pPr>
              <w:pStyle w:val="12"/>
            </w:pPr>
            <w:r>
              <w:t>预算金额</w:t>
            </w:r>
          </w:p>
        </w:tc>
        <w:tc>
          <w:tcPr>
            <w:tcW w:w="2268" w:type="dxa"/>
            <w:vAlign w:val="center"/>
          </w:tcPr>
          <w:p>
            <w:pPr>
              <w:pStyle w:val="12"/>
            </w:pPr>
            <w:r>
              <w:t>0.84万元</w:t>
            </w:r>
          </w:p>
        </w:tc>
        <w:tc>
          <w:tcPr>
            <w:tcW w:w="1276" w:type="dxa"/>
            <w:vAlign w:val="center"/>
          </w:tcPr>
          <w:p>
            <w:pPr>
              <w:pStyle w:val="12"/>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保证财务工作正常运转</w:t>
            </w:r>
          </w:p>
        </w:tc>
        <w:tc>
          <w:tcPr>
            <w:tcW w:w="5386" w:type="dxa"/>
            <w:vAlign w:val="center"/>
          </w:tcPr>
          <w:p>
            <w:pPr>
              <w:pStyle w:val="12"/>
            </w:pPr>
            <w:r>
              <w:t>保证财务工作正常运转</w:t>
            </w:r>
          </w:p>
        </w:tc>
        <w:tc>
          <w:tcPr>
            <w:tcW w:w="2268" w:type="dxa"/>
            <w:vAlign w:val="center"/>
          </w:tcPr>
          <w:p>
            <w:pPr>
              <w:pStyle w:val="12"/>
            </w:pPr>
            <w:r>
              <w:t>≥90%</w:t>
            </w:r>
          </w:p>
        </w:tc>
        <w:tc>
          <w:tcPr>
            <w:tcW w:w="1276" w:type="dxa"/>
            <w:vAlign w:val="center"/>
          </w:tcPr>
          <w:p>
            <w:pPr>
              <w:pStyle w:val="12"/>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≥90%</w:t>
            </w:r>
          </w:p>
        </w:tc>
        <w:tc>
          <w:tcPr>
            <w:tcW w:w="1276" w:type="dxa"/>
            <w:vAlign w:val="center"/>
          </w:tcPr>
          <w:p>
            <w:pPr>
              <w:pStyle w:val="12"/>
            </w:pPr>
            <w:r>
              <w:t>依据西呈财(2023)11号关于解决区直机关工委等10个区直单位的财务记账工作的请示批复。</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中共石家庄市桥西区委区直机关工作委员会机关本级上年末固定资产金额为0.00万元（详见下表）。本年度拟购置固定资产总额为0.00万元，已按要求列入政府采购预算，详见政府采购预算表。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286001中共石家庄市桥西区委区直机关工作委员会机关本级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5B5011"/>
    <w:multiLevelType w:val="singleLevel"/>
    <w:tmpl w:val="FF5B501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92F3DE6"/>
    <w:rsid w:val="BCFB285C"/>
    <w:rsid w:val="EDEFF5CD"/>
    <w:rsid w:val="F3EF9C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1867</Words>
  <Characters>2566</Characters>
  <TotalTime>1</TotalTime>
  <ScaleCrop>false</ScaleCrop>
  <LinksUpToDate>false</LinksUpToDate>
  <CharactersWithSpaces>2595</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2025-01-21T01:50:00Z</dcterms:created>
  <dc:creator>lenovo</dc:creator>
  <cp:lastModifiedBy>jggw-001</cp:lastModifiedBy>
  <dcterms:modified xsi:type="dcterms:W3CDTF">2026-02-13T11:33:27Z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AA7BEE1D43D448278C8C3DC1F9223C50_13</vt:lpwstr>
  </property>
</Properties>
</file>