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customXml/itemProps1.xml" ContentType="application/vnd.openxmlformats-officedocument.customXmlPropertie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ind w:firstLineChars="200" w:firstLine="880"/>
        <w:jc w:val="center"/>
        <w:rPr>
          <w:rFonts w:ascii="方正小标宋_GBK" w:eastAsia="方正小标宋_GBK" w:cs="方正小标宋_GBK" w:hAnsi="方正小标宋_GBK" w:hint="eastAsia"/>
          <w:bCs/>
          <w:sz w:val="44"/>
          <w:szCs w:val="44"/>
          <w:lang w:bidi="ar-SA"/>
        </w:rPr>
      </w:pPr>
      <w:r>
        <w:rPr>
          <w:rFonts w:ascii="方正小标宋_GBK" w:eastAsia="方正小标宋_GBK" w:cs="方正小标宋_GBK" w:hAnsi="方正小标宋_GBK" w:hint="eastAsia"/>
          <w:bCs/>
          <w:sz w:val="44"/>
          <w:szCs w:val="44"/>
          <w:lang w:bidi="ar-SA"/>
        </w:rPr>
        <w:t>桥西区财政局机构职能</w:t>
      </w:r>
    </w:p>
    <w:p>
      <w:pPr>
        <w:ind w:firstLineChars="200" w:firstLine="880"/>
        <w:jc w:val="center"/>
        <w:rPr>
          <w:rFonts w:ascii="方正小标宋_GBK" w:eastAsia="方正小标宋_GBK" w:cs="方正小标宋_GBK" w:hAnsi="方正小标宋_GBK" w:hint="eastAsia"/>
          <w:bCs/>
          <w:sz w:val="44"/>
          <w:szCs w:val="44"/>
          <w:lang w:bidi="ar-SA"/>
        </w:rPr>
      </w:pPr>
    </w:p>
    <w:p>
      <w:pPr>
        <w:ind w:left="0"/>
        <w:jc w:val="left"/>
        <w:rPr>
          <w:rFonts w:ascii="黑体" w:eastAsia="黑体" w:cs="黑体" w:hAnsi="黑体" w:hint="eastAsia"/>
          <w:sz w:val="32"/>
          <w:szCs w:val="32"/>
          <w:lang w:bidi="ar-SA"/>
        </w:rPr>
      </w:pPr>
      <w:r>
        <w:rPr>
          <w:rFonts w:ascii="黑体" w:eastAsia="黑体" w:cs="黑体" w:hAnsi="黑体" w:hint="eastAsia"/>
          <w:sz w:val="32"/>
          <w:szCs w:val="32"/>
          <w:lang w:bidi="ar-SA"/>
        </w:rPr>
        <w:t>石家庄市桥西区财政局机构职能</w:t>
      </w:r>
    </w:p>
    <w:p>
      <w:pPr>
        <w:ind w:firstLineChars="200" w:firstLine="640"/>
        <w:rPr>
          <w:rFonts w:ascii="黑体" w:eastAsia="黑体" w:cs="黑体" w:hAnsi="黑体" w:hint="eastAsia"/>
          <w:sz w:val="32"/>
          <w:szCs w:val="32"/>
          <w:lang w:bidi="ar-SA"/>
        </w:rPr>
      </w:pPr>
      <w:r>
        <w:rPr>
          <w:rFonts w:ascii="黑体" w:eastAsia="黑体" w:cs="黑体" w:hAnsi="黑体" w:hint="eastAsia"/>
          <w:bCs/>
          <w:sz w:val="32"/>
          <w:szCs w:val="32"/>
          <w:lang w:bidi="ar-SA"/>
        </w:rPr>
        <w:t>一、领导信息</w:t>
      </w:r>
    </w:p>
    <w:p>
      <w:pPr>
        <w:ind w:firstLineChars="200" w:firstLine="640"/>
        <w:rPr>
          <w:rFonts w:ascii="仿宋_GB2312" w:eastAsia="仿宋_GB2312" w:cs="仿宋_GB2312" w:hAnsi="仿宋_GB2312" w:hint="eastAsia"/>
          <w:sz w:val="32"/>
          <w:szCs w:val="32"/>
          <w:lang w:bidi="ar-SA"/>
        </w:rPr>
      </w:pPr>
      <w:r>
        <w:rPr>
          <w:rFonts w:ascii="仿宋_GB2312" w:eastAsia="仿宋_GB2312" w:cs="仿宋_GB2312" w:hAnsi="仿宋_GB2312" w:hint="eastAsia"/>
          <w:sz w:val="32"/>
          <w:szCs w:val="32"/>
          <w:lang w:bidi="ar-SA"/>
        </w:rPr>
        <w:t>赵忠波党组书记、局长 主持财政局全面工作；</w:t>
      </w:r>
    </w:p>
    <w:p>
      <w:pPr>
        <w:ind w:firstLineChars="200" w:firstLine="640"/>
        <w:rPr>
          <w:rFonts w:ascii="仿宋_GB2312" w:eastAsia="仿宋_GB2312" w:cs="仿宋_GB2312" w:hAnsi="仿宋_GB2312" w:hint="eastAsia"/>
          <w:sz w:val="32"/>
          <w:szCs w:val="32"/>
          <w:lang w:bidi="ar-SA"/>
        </w:rPr>
      </w:pPr>
      <w:r>
        <w:rPr>
          <w:rFonts w:ascii="仿宋_GB2312" w:eastAsia="仿宋_GB2312" w:cs="仿宋_GB2312" w:hAnsi="仿宋_GB2312" w:hint="eastAsia"/>
          <w:sz w:val="32"/>
          <w:szCs w:val="32"/>
          <w:lang w:bidi="ar-SA"/>
        </w:rPr>
        <w:t>刘莉党组成员、副局长 分管办公室、监督会计、评审等工作。</w:t>
      </w:r>
    </w:p>
    <w:p>
      <w:pPr>
        <w:ind w:firstLineChars="200" w:firstLine="640"/>
        <w:rPr>
          <w:rFonts w:ascii="仿宋_GB2312" w:eastAsia="仿宋_GB2312" w:cs="仿宋_GB2312" w:hAnsi="仿宋_GB2312" w:hint="eastAsia"/>
          <w:sz w:val="32"/>
          <w:szCs w:val="32"/>
          <w:lang w:bidi="ar-SA"/>
        </w:rPr>
      </w:pPr>
      <w:r>
        <w:rPr>
          <w:rFonts w:ascii="仿宋_GB2312" w:eastAsia="仿宋_GB2312" w:cs="仿宋_GB2312" w:hAnsi="仿宋_GB2312" w:hint="eastAsia"/>
          <w:sz w:val="32"/>
          <w:szCs w:val="32"/>
          <w:lang w:bidi="ar-SA"/>
        </w:rPr>
        <w:t>骆少鹏党组成员、副局长 分管行教、社保、税政综治等工作。</w:t>
      </w:r>
    </w:p>
    <w:p>
      <w:pPr>
        <w:ind w:firstLineChars="200" w:firstLine="640"/>
        <w:rPr>
          <w:rFonts w:ascii="仿宋_GB2312" w:eastAsia="仿宋_GB2312" w:cs="仿宋_GB2312" w:hAnsi="仿宋_GB2312" w:hint="eastAsia"/>
          <w:sz w:val="32"/>
          <w:szCs w:val="32"/>
          <w:lang w:bidi="ar-SA"/>
        </w:rPr>
      </w:pPr>
      <w:r>
        <w:rPr>
          <w:rFonts w:ascii="仿宋_GB2312" w:eastAsia="仿宋_GB2312" w:cs="仿宋_GB2312" w:hAnsi="仿宋_GB2312" w:hint="eastAsia"/>
          <w:sz w:val="32"/>
          <w:szCs w:val="32"/>
          <w:lang w:bidi="ar-SA"/>
        </w:rPr>
        <w:t>侯晓芝党组成员、采购中心主任 分管政府采购、国库等工作。</w:t>
      </w:r>
    </w:p>
    <w:p>
      <w:pPr>
        <w:ind w:firstLineChars="200" w:firstLine="640"/>
        <w:rPr>
          <w:rFonts w:ascii="仿宋_GB2312" w:eastAsia="仿宋_GB2312" w:cs="仿宋_GB2312" w:hAnsi="仿宋_GB2312" w:hint="eastAsia"/>
          <w:sz w:val="32"/>
          <w:szCs w:val="32"/>
          <w:lang w:bidi="ar-SA"/>
        </w:rPr>
      </w:pPr>
      <w:r>
        <w:rPr>
          <w:rFonts w:ascii="仿宋_GB2312" w:eastAsia="仿宋_GB2312" w:cs="仿宋_GB2312" w:hAnsi="仿宋_GB2312" w:hint="eastAsia"/>
          <w:sz w:val="32"/>
          <w:szCs w:val="32"/>
          <w:lang w:bidi="ar-SA"/>
        </w:rPr>
        <w:t>刘子婧党组成员、财源建设中心主任</w:t>
      </w:r>
      <w:bookmarkStart w:id="0" w:name="_GoBack"/>
      <w:bookmarkEnd w:id="0"/>
      <w:r>
        <w:rPr>
          <w:rFonts w:ascii="仿宋_GB2312" w:eastAsia="仿宋_GB2312" w:cs="仿宋_GB2312" w:hAnsi="仿宋_GB2312" w:hint="eastAsia"/>
          <w:sz w:val="32"/>
          <w:szCs w:val="32"/>
          <w:lang w:bidi="ar-SA"/>
        </w:rPr>
        <w:t xml:space="preserve"> 分管预算绩效、综合（债务）等工作。</w:t>
      </w:r>
    </w:p>
    <w:p>
      <w:pPr>
        <w:ind w:firstLineChars="200" w:firstLine="640"/>
        <w:rPr>
          <w:rFonts w:ascii="黑体" w:eastAsia="黑体" w:cs="黑体" w:hAnsi="黑体" w:hint="eastAsia"/>
          <w:bCs/>
          <w:sz w:val="32"/>
          <w:szCs w:val="32"/>
          <w:lang w:bidi="ar-SA"/>
        </w:rPr>
      </w:pPr>
      <w:r>
        <w:rPr>
          <w:rFonts w:ascii="黑体" w:eastAsia="黑体" w:cs="黑体" w:hAnsi="黑体" w:hint="eastAsia"/>
          <w:bCs/>
          <w:sz w:val="32"/>
          <w:szCs w:val="32"/>
          <w:lang w:bidi="ar-SA"/>
        </w:rPr>
        <w:t>二、机关职能</w:t>
      </w:r>
    </w:p>
    <w:p>
      <w:pPr>
        <w:ind w:firstLineChars="200" w:firstLine="640"/>
        <w:rPr>
          <w:rFonts w:ascii="仿宋_GB2312" w:eastAsia="仿宋_GB2312" w:cs="仿宋_GB2312" w:hAnsi="仿宋_GB2312" w:hint="eastAsia"/>
          <w:sz w:val="32"/>
          <w:szCs w:val="32"/>
          <w:lang w:bidi="ar-SA"/>
        </w:rPr>
      </w:pPr>
      <w:r>
        <w:rPr>
          <w:rFonts w:ascii="仿宋_GB2312" w:eastAsia="仿宋_GB2312" w:cs="仿宋_GB2312" w:hAnsi="仿宋_GB2312" w:hint="eastAsia"/>
          <w:sz w:val="32"/>
          <w:szCs w:val="32"/>
          <w:lang w:bidi="ar-SA"/>
        </w:rPr>
        <w:t>第一条 根据《中共石家庄市委办公厅、石家庄市人民政府办公厅关于印发石家庄市桥西区机构改革方案的通知》（石办字〔2018〕82号），制定本规定。</w:t>
      </w:r>
    </w:p>
    <w:p>
      <w:pPr>
        <w:ind w:firstLineChars="200" w:firstLine="640"/>
        <w:rPr>
          <w:rFonts w:ascii="仿宋_GB2312" w:eastAsia="仿宋_GB2312" w:cs="仿宋_GB2312" w:hAnsi="仿宋_GB2312" w:hint="eastAsia"/>
          <w:sz w:val="32"/>
          <w:szCs w:val="32"/>
          <w:lang w:bidi="ar-SA"/>
        </w:rPr>
      </w:pPr>
      <w:r>
        <w:rPr>
          <w:rFonts w:ascii="仿宋_GB2312" w:eastAsia="仿宋_GB2312" w:cs="仿宋_GB2312" w:hAnsi="仿宋_GB2312" w:hint="eastAsia"/>
          <w:sz w:val="32"/>
          <w:szCs w:val="32"/>
          <w:lang w:bidi="ar-SA"/>
        </w:rPr>
        <w:t>第二条 石家庄市桥西区财政局（以下简称区财政局）为区政府工作部门，机构规格正科级。</w:t>
      </w:r>
    </w:p>
    <w:p>
      <w:pPr>
        <w:ind w:firstLineChars="200" w:firstLine="640"/>
        <w:rPr>
          <w:rFonts w:ascii="仿宋_GB2312" w:eastAsia="仿宋_GB2312" w:cs="仿宋_GB2312" w:hAnsi="仿宋_GB2312" w:hint="eastAsia"/>
          <w:sz w:val="32"/>
          <w:szCs w:val="32"/>
          <w:lang w:bidi="ar-SA"/>
        </w:rPr>
      </w:pPr>
      <w:r>
        <w:rPr>
          <w:rFonts w:ascii="仿宋_GB2312" w:eastAsia="仿宋_GB2312" w:cs="仿宋_GB2312" w:hAnsi="仿宋_GB2312" w:hint="eastAsia"/>
          <w:sz w:val="32"/>
          <w:szCs w:val="32"/>
          <w:lang w:bidi="ar-SA"/>
        </w:rPr>
        <w:t>第三条 贯彻落实党中央和省委、市委、区委关于财政工作的方针政策和决策部署，在履行职责过程中坚持和加强党对财政工作的集中统一领导。主要职责是：</w:t>
      </w:r>
    </w:p>
    <w:p>
      <w:pPr>
        <w:ind w:firstLineChars="200" w:firstLine="640"/>
        <w:rPr>
          <w:rFonts w:ascii="仿宋_GB2312" w:eastAsia="仿宋_GB2312" w:cs="仿宋_GB2312" w:hAnsi="仿宋_GB2312" w:hint="eastAsia"/>
          <w:sz w:val="32"/>
          <w:szCs w:val="32"/>
          <w:lang w:bidi="ar-SA"/>
        </w:rPr>
      </w:pPr>
      <w:r>
        <w:rPr>
          <w:rFonts w:ascii="仿宋_GB2312" w:eastAsia="仿宋_GB2312" w:cs="仿宋_GB2312" w:hAnsi="仿宋_GB2312" w:hint="eastAsia"/>
          <w:sz w:val="32"/>
          <w:szCs w:val="32"/>
          <w:lang w:bidi="ar-SA"/>
        </w:rPr>
        <w:t>（一）拟订财税发展规划、政策和改革方案并组织实施。分析预测全区宏观经济形势，贯彻各项宏观经济政策，提出运用财税政策实施宏观调控和综合平衡社会财力的建议；贯彻区政府与企业的分配政策，完善鼓励公益事业发展的财税政策。</w:t>
      </w:r>
    </w:p>
    <w:p>
      <w:pPr>
        <w:ind w:firstLineChars="200" w:firstLine="640"/>
        <w:rPr>
          <w:rFonts w:ascii="仿宋_GB2312" w:eastAsia="仿宋_GB2312" w:cs="仿宋_GB2312" w:hAnsi="仿宋_GB2312" w:hint="eastAsia"/>
          <w:sz w:val="32"/>
          <w:szCs w:val="32"/>
          <w:lang w:bidi="ar-SA"/>
        </w:rPr>
      </w:pPr>
      <w:r>
        <w:rPr>
          <w:rFonts w:ascii="仿宋_GB2312" w:eastAsia="仿宋_GB2312" w:cs="仿宋_GB2312" w:hAnsi="仿宋_GB2312" w:hint="eastAsia"/>
          <w:sz w:val="32"/>
          <w:szCs w:val="32"/>
          <w:lang w:bidi="ar-SA"/>
        </w:rPr>
        <w:t>（二）贯彻执行财政、财务、会计管理的法律、法规和规章。</w:t>
      </w:r>
    </w:p>
    <w:p>
      <w:pPr>
        <w:ind w:firstLineChars="200" w:firstLine="640"/>
        <w:rPr>
          <w:rFonts w:ascii="仿宋_GB2312" w:eastAsia="仿宋_GB2312" w:cs="仿宋_GB2312" w:hAnsi="仿宋_GB2312" w:hint="eastAsia"/>
          <w:sz w:val="32"/>
          <w:szCs w:val="32"/>
          <w:lang w:bidi="ar-SA"/>
        </w:rPr>
      </w:pPr>
      <w:r>
        <w:rPr>
          <w:rFonts w:ascii="仿宋_GB2312" w:eastAsia="仿宋_GB2312" w:cs="仿宋_GB2312" w:hAnsi="仿宋_GB2312" w:hint="eastAsia"/>
          <w:sz w:val="32"/>
          <w:szCs w:val="32"/>
          <w:lang w:bidi="ar-SA"/>
        </w:rPr>
        <w:t>（三）负责管理区级各项财政收支。编制年度区级预决算草案并组织执行，汇编全区预决算草案。组织制定经费开支标准、定额，审核批复部门（单位）年度预决算。受区政府委托，向区人民代表大会及其常委会报告财政预算、执行和决算等情况。负责政府投资基金区级财政出资的资产管理。负责区级财政预决算公开。</w:t>
      </w:r>
    </w:p>
    <w:p>
      <w:pPr>
        <w:ind w:firstLineChars="200" w:firstLine="640"/>
        <w:rPr>
          <w:rFonts w:ascii="仿宋_GB2312" w:eastAsia="仿宋_GB2312" w:cs="仿宋_GB2312" w:hAnsi="仿宋_GB2312" w:hint="eastAsia"/>
          <w:sz w:val="32"/>
          <w:szCs w:val="32"/>
          <w:lang w:bidi="ar-SA"/>
        </w:rPr>
      </w:pPr>
      <w:r>
        <w:rPr>
          <w:rFonts w:ascii="仿宋_GB2312" w:eastAsia="仿宋_GB2312" w:cs="仿宋_GB2312" w:hAnsi="仿宋_GB2312" w:hint="eastAsia"/>
          <w:sz w:val="32"/>
          <w:szCs w:val="32"/>
          <w:lang w:bidi="ar-SA"/>
        </w:rPr>
        <w:t>（四）贯彻执行税收地方性法规和规章、实施细则和税收政策调整方案。提出上级授权税目税率调整、减免和地方税收政策等重大事项的建议。组织推进税收制度改革。</w:t>
      </w:r>
    </w:p>
    <w:p>
      <w:pPr>
        <w:ind w:firstLineChars="200" w:firstLine="640"/>
        <w:rPr>
          <w:rFonts w:ascii="仿宋_GB2312" w:eastAsia="仿宋_GB2312" w:cs="仿宋_GB2312" w:hAnsi="仿宋_GB2312" w:hint="eastAsia"/>
          <w:sz w:val="32"/>
          <w:szCs w:val="32"/>
          <w:lang w:bidi="ar-SA"/>
        </w:rPr>
      </w:pPr>
      <w:r>
        <w:rPr>
          <w:rFonts w:ascii="仿宋_GB2312" w:eastAsia="仿宋_GB2312" w:cs="仿宋_GB2312" w:hAnsi="仿宋_GB2312" w:hint="eastAsia"/>
          <w:sz w:val="32"/>
          <w:szCs w:val="32"/>
          <w:lang w:bidi="ar-SA"/>
        </w:rPr>
        <w:t>（五） 按分工负责政府非税收入管理。负责政府性基金管理，按规定管理行政事业性收费。管理财政票据。</w:t>
      </w:r>
    </w:p>
    <w:p>
      <w:pPr>
        <w:ind w:firstLineChars="200" w:firstLine="640"/>
        <w:rPr>
          <w:rFonts w:ascii="仿宋_GB2312" w:eastAsia="仿宋_GB2312" w:cs="仿宋_GB2312" w:hAnsi="仿宋_GB2312" w:hint="eastAsia"/>
          <w:sz w:val="32"/>
          <w:szCs w:val="32"/>
          <w:lang w:bidi="ar-SA"/>
        </w:rPr>
      </w:pPr>
      <w:r>
        <w:rPr>
          <w:rFonts w:ascii="仿宋_GB2312" w:eastAsia="仿宋_GB2312" w:cs="仿宋_GB2312" w:hAnsi="仿宋_GB2312" w:hint="eastAsia"/>
          <w:sz w:val="32"/>
          <w:szCs w:val="32"/>
          <w:lang w:bidi="ar-SA"/>
        </w:rPr>
        <w:t>（六）研究制定国库管理制度、国库集中收付制度，指导和监督区级国库业务，按规定开展国库资金现金管理工作。制定政府财务报告编制办法并组织实施。制定政府采购制度并监督管理。</w:t>
      </w:r>
    </w:p>
    <w:p>
      <w:pPr>
        <w:ind w:firstLineChars="200" w:firstLine="640"/>
        <w:rPr>
          <w:rFonts w:ascii="仿宋_GB2312" w:eastAsia="仿宋_GB2312" w:cs="仿宋_GB2312" w:hAnsi="仿宋_GB2312" w:hint="eastAsia"/>
          <w:sz w:val="32"/>
          <w:szCs w:val="32"/>
          <w:lang w:bidi="ar-SA"/>
        </w:rPr>
      </w:pPr>
      <w:r>
        <w:rPr>
          <w:rFonts w:ascii="仿宋_GB2312" w:eastAsia="仿宋_GB2312" w:cs="仿宋_GB2312" w:hAnsi="仿宋_GB2312" w:hint="eastAsia"/>
          <w:sz w:val="32"/>
          <w:szCs w:val="32"/>
          <w:lang w:bidi="ar-SA"/>
        </w:rPr>
        <w:t>（七）拟订政府债务管理制度和办法并组织实施。负责政府债务限额管理，按规定组织政府债券申报、转贷和还本付息等工作。开展对外财经交流。</w:t>
      </w:r>
    </w:p>
    <w:p>
      <w:pPr>
        <w:ind w:firstLineChars="200" w:firstLine="640"/>
        <w:rPr>
          <w:rFonts w:ascii="仿宋_GB2312" w:eastAsia="仿宋_GB2312" w:cs="仿宋_GB2312" w:hAnsi="仿宋_GB2312" w:hint="eastAsia"/>
          <w:sz w:val="32"/>
          <w:szCs w:val="32"/>
          <w:lang w:bidi="ar-SA"/>
        </w:rPr>
      </w:pPr>
      <w:r>
        <w:rPr>
          <w:rFonts w:ascii="仿宋_GB2312" w:eastAsia="仿宋_GB2312" w:cs="仿宋_GB2312" w:hAnsi="仿宋_GB2312" w:hint="eastAsia"/>
          <w:sz w:val="32"/>
          <w:szCs w:val="32"/>
          <w:lang w:bidi="ar-SA"/>
        </w:rPr>
        <w:t>（八）牵头编制国有资产管理情况报告。根据区政府授权，逐步履行区级国有金融资本出资人职责。执行国有金融资本管理规章制度。拟订行政事业单位国有资产管理制度并组织实施，制定需要全区统一规定的开支标准和支出政策。</w:t>
      </w:r>
    </w:p>
    <w:p>
      <w:pPr>
        <w:ind w:firstLineChars="200" w:firstLine="640"/>
        <w:rPr>
          <w:rFonts w:ascii="仿宋_GB2312" w:eastAsia="仿宋_GB2312" w:cs="仿宋_GB2312" w:hAnsi="仿宋_GB2312" w:hint="eastAsia"/>
          <w:sz w:val="32"/>
          <w:szCs w:val="32"/>
          <w:lang w:bidi="ar-SA"/>
        </w:rPr>
      </w:pPr>
      <w:r>
        <w:rPr>
          <w:rFonts w:ascii="仿宋_GB2312" w:eastAsia="仿宋_GB2312" w:cs="仿宋_GB2312" w:hAnsi="仿宋_GB2312" w:hint="eastAsia"/>
          <w:sz w:val="32"/>
          <w:szCs w:val="32"/>
          <w:lang w:bidi="ar-SA"/>
        </w:rPr>
        <w:t>（九）负责审核并汇总编制全区国有资本经营预决算草案，组织实施国有资本经营预算制度，收取区属企业国有资本收益。组织实施企业财务制度。负责财政预算内行政事业单位和社会团体的非贸易外汇管理。</w:t>
      </w:r>
    </w:p>
    <w:p>
      <w:pPr>
        <w:ind w:firstLineChars="200" w:firstLine="640"/>
        <w:rPr>
          <w:rFonts w:ascii="仿宋_GB2312" w:eastAsia="仿宋_GB2312" w:cs="仿宋_GB2312" w:hAnsi="仿宋_GB2312" w:hint="eastAsia"/>
          <w:sz w:val="32"/>
          <w:szCs w:val="32"/>
          <w:lang w:bidi="ar-SA"/>
        </w:rPr>
      </w:pPr>
      <w:r>
        <w:rPr>
          <w:rFonts w:ascii="仿宋_GB2312" w:eastAsia="仿宋_GB2312" w:cs="仿宋_GB2312" w:hAnsi="仿宋_GB2312" w:hint="eastAsia"/>
          <w:sz w:val="32"/>
          <w:szCs w:val="32"/>
          <w:lang w:bidi="ar-SA"/>
        </w:rPr>
        <w:t>（十）负责审核并汇总编制全区社会保险基金预决算草案，会同有关部门拟订有关资金（基金）财务管理制度并组织实施。承担社会保险基金财政监管工作。</w:t>
      </w:r>
    </w:p>
    <w:p>
      <w:pPr>
        <w:ind w:firstLineChars="200" w:firstLine="640"/>
        <w:rPr>
          <w:rFonts w:ascii="仿宋_GB2312" w:eastAsia="仿宋_GB2312" w:cs="仿宋_GB2312" w:hAnsi="仿宋_GB2312" w:hint="eastAsia"/>
          <w:sz w:val="32"/>
          <w:szCs w:val="32"/>
          <w:lang w:bidi="ar-SA"/>
        </w:rPr>
      </w:pPr>
      <w:r>
        <w:rPr>
          <w:rFonts w:ascii="仿宋_GB2312" w:eastAsia="仿宋_GB2312" w:cs="仿宋_GB2312" w:hAnsi="仿宋_GB2312" w:hint="eastAsia"/>
          <w:sz w:val="32"/>
          <w:szCs w:val="32"/>
          <w:lang w:bidi="ar-SA"/>
        </w:rPr>
        <w:t>（十一）负责办理和监督区级财政的经济发展支出、区级政府性投资项目的财政拨款，参与拟订区级建设投资的有关政策，制定基建财务管理制度。负责财政评审管理。</w:t>
      </w:r>
    </w:p>
    <w:p>
      <w:pPr>
        <w:ind w:firstLineChars="200" w:firstLine="640"/>
        <w:rPr>
          <w:rFonts w:ascii="仿宋_GB2312" w:eastAsia="仿宋_GB2312" w:cs="仿宋_GB2312" w:hAnsi="仿宋_GB2312" w:hint="eastAsia"/>
          <w:sz w:val="32"/>
          <w:szCs w:val="32"/>
          <w:lang w:bidi="ar-SA"/>
        </w:rPr>
      </w:pPr>
      <w:r>
        <w:rPr>
          <w:rFonts w:ascii="仿宋_GB2312" w:eastAsia="仿宋_GB2312" w:cs="仿宋_GB2312" w:hAnsi="仿宋_GB2312" w:hint="eastAsia"/>
          <w:sz w:val="32"/>
          <w:szCs w:val="32"/>
          <w:lang w:bidi="ar-SA"/>
        </w:rPr>
        <w:t>（十二）负责管理全区会计工作，监督和规范会计行为，组织实施会计制度。受上级委托，负责注册会计师报名审核工作。</w:t>
      </w:r>
    </w:p>
    <w:p>
      <w:pPr>
        <w:ind w:firstLineChars="200" w:firstLine="640"/>
        <w:rPr>
          <w:rFonts w:ascii="仿宋_GB2312" w:eastAsia="仿宋_GB2312" w:cs="仿宋_GB2312" w:hAnsi="仿宋_GB2312" w:hint="eastAsia"/>
          <w:sz w:val="32"/>
          <w:szCs w:val="32"/>
          <w:lang w:bidi="ar-SA"/>
        </w:rPr>
      </w:pPr>
      <w:r>
        <w:rPr>
          <w:rFonts w:ascii="仿宋_GB2312" w:eastAsia="仿宋_GB2312" w:cs="仿宋_GB2312" w:hAnsi="仿宋_GB2312" w:hint="eastAsia"/>
          <w:sz w:val="32"/>
          <w:szCs w:val="32"/>
          <w:lang w:bidi="ar-SA"/>
        </w:rPr>
        <w:t>（十三）完成区委、区政府交办的其他任务。</w:t>
      </w:r>
    </w:p>
    <w:p>
      <w:pPr>
        <w:ind w:firstLineChars="200" w:firstLine="640"/>
        <w:rPr>
          <w:rFonts w:ascii="仿宋_GB2312" w:eastAsia="仿宋_GB2312" w:cs="仿宋_GB2312" w:hAnsi="仿宋_GB2312" w:hint="eastAsia"/>
          <w:sz w:val="32"/>
          <w:szCs w:val="32"/>
          <w:lang w:bidi="ar-SA"/>
        </w:rPr>
      </w:pPr>
      <w:r>
        <w:rPr>
          <w:rFonts w:ascii="仿宋_GB2312" w:eastAsia="仿宋_GB2312" w:cs="仿宋_GB2312" w:hAnsi="仿宋_GB2312" w:hint="eastAsia"/>
          <w:sz w:val="32"/>
          <w:szCs w:val="32"/>
          <w:lang w:bidi="ar-SA"/>
        </w:rPr>
        <w:t>第四条 转变职能:</w:t>
      </w:r>
    </w:p>
    <w:p>
      <w:pPr>
        <w:ind w:firstLineChars="200" w:firstLine="640"/>
        <w:rPr>
          <w:rFonts w:ascii="仿宋_GB2312" w:eastAsia="仿宋_GB2312" w:cs="仿宋_GB2312" w:hAnsi="仿宋_GB2312" w:hint="eastAsia"/>
          <w:sz w:val="32"/>
          <w:szCs w:val="32"/>
          <w:lang w:bidi="ar-SA"/>
        </w:rPr>
      </w:pPr>
      <w:r>
        <w:rPr>
          <w:rFonts w:ascii="仿宋_GB2312" w:eastAsia="仿宋_GB2312" w:cs="仿宋_GB2312" w:hAnsi="仿宋_GB2312" w:hint="eastAsia"/>
          <w:sz w:val="32"/>
          <w:szCs w:val="32"/>
          <w:lang w:bidi="ar-SA"/>
        </w:rPr>
        <w:t>（一）完善宏观调控体系，创新调控方式，构建发展规划、财政、金融等政策协调和工作协同机制，强化经济监测预测预警能力，建立健全重大问题研究和政策储备工作机制，增强宏观调控前瞻性、针对性、协同性。</w:t>
      </w:r>
    </w:p>
    <w:p>
      <w:pPr>
        <w:ind w:firstLineChars="200" w:firstLine="640"/>
        <w:rPr>
          <w:rFonts w:ascii="仿宋_GB2312" w:eastAsia="仿宋_GB2312" w:cs="仿宋_GB2312" w:hAnsi="仿宋_GB2312" w:hint="eastAsia"/>
          <w:sz w:val="32"/>
          <w:szCs w:val="32"/>
          <w:lang w:bidi="ar-SA"/>
        </w:rPr>
      </w:pPr>
      <w:r>
        <w:rPr>
          <w:rFonts w:ascii="仿宋_GB2312" w:eastAsia="仿宋_GB2312" w:cs="仿宋_GB2312" w:hAnsi="仿宋_GB2312" w:hint="eastAsia"/>
          <w:sz w:val="32"/>
          <w:szCs w:val="32"/>
          <w:lang w:bidi="ar-SA"/>
        </w:rPr>
        <w:t>（二）深化财税体制改革。加快建立现代财政制度，推进财政事权和支出责任划分改革，按照上级要求，贯彻市和区收入划分，建立权责清晰、财力协调、区域均衡的财政关系。完善转移支付制度，优化转移支付分类，规范转移支付项目，增强区级统筹能力。逐步统一预算分配，全面实施绩效管理，建立全面规范透明、标准科学、约束有力的预算制度。全面推行政府性基金和行政事业性收费清单管理，完善监督制度。深化税收制度改革，按照上级要求，健全地方税体系，形成税法统一、税负公平、调节有度的税收制度体系。建立健全税收共治格局，加强税收征管保障，促进税收与经济协调增长。</w:t>
      </w:r>
    </w:p>
    <w:p>
      <w:pPr>
        <w:ind w:firstLineChars="200" w:firstLine="640"/>
        <w:rPr>
          <w:rFonts w:ascii="仿宋_GB2312" w:eastAsia="仿宋_GB2312" w:cs="仿宋_GB2312" w:hAnsi="仿宋_GB2312" w:hint="eastAsia"/>
          <w:sz w:val="32"/>
          <w:szCs w:val="32"/>
          <w:lang w:bidi="ar-SA"/>
        </w:rPr>
      </w:pPr>
      <w:r>
        <w:rPr>
          <w:rFonts w:ascii="仿宋_GB2312" w:eastAsia="仿宋_GB2312" w:cs="仿宋_GB2312" w:hAnsi="仿宋_GB2312" w:hint="eastAsia"/>
          <w:sz w:val="32"/>
          <w:szCs w:val="32"/>
          <w:lang w:bidi="ar-SA"/>
        </w:rPr>
        <w:t>（三）防范化解地方政府债务风险。规范举债融资机制，构建“闭环”管理体系，严控法定限额内债务风险，牢牢守住不发生系统性风险的底线。</w:t>
      </w:r>
    </w:p>
    <w:p>
      <w:pPr>
        <w:ind w:firstLineChars="200" w:firstLine="640"/>
        <w:rPr>
          <w:rFonts w:ascii="仿宋_GB2312" w:eastAsia="仿宋_GB2312" w:cs="仿宋_GB2312" w:hAnsi="仿宋_GB2312" w:hint="eastAsia"/>
          <w:sz w:val="32"/>
          <w:szCs w:val="32"/>
          <w:lang w:bidi="ar-SA"/>
        </w:rPr>
      </w:pPr>
      <w:r>
        <w:rPr>
          <w:rFonts w:ascii="仿宋_GB2312" w:eastAsia="仿宋_GB2312" w:cs="仿宋_GB2312" w:hAnsi="仿宋_GB2312" w:hint="eastAsia"/>
          <w:bCs/>
          <w:sz w:val="32"/>
          <w:szCs w:val="32"/>
          <w:lang w:bidi="ar-SA"/>
        </w:rPr>
        <w:t>第五条 有关职责分工</w:t>
      </w:r>
      <w:r>
        <w:rPr>
          <w:rFonts w:ascii="仿宋_GB2312" w:eastAsia="仿宋_GB2312" w:cs="仿宋_GB2312" w:hAnsi="仿宋_GB2312" w:hint="eastAsia"/>
          <w:sz w:val="32"/>
          <w:szCs w:val="32"/>
          <w:lang w:bidi="ar-SA"/>
        </w:rPr>
        <w:t>：</w:t>
      </w:r>
    </w:p>
    <w:p>
      <w:pPr>
        <w:ind w:firstLineChars="200" w:firstLine="640"/>
        <w:rPr>
          <w:rFonts w:ascii="仿宋_GB2312" w:eastAsia="仿宋_GB2312" w:cs="仿宋_GB2312" w:hAnsi="仿宋_GB2312" w:hint="eastAsia"/>
          <w:sz w:val="32"/>
          <w:szCs w:val="32"/>
          <w:lang w:bidi="ar-SA"/>
        </w:rPr>
      </w:pPr>
      <w:r>
        <w:rPr>
          <w:rFonts w:ascii="仿宋_GB2312" w:eastAsia="仿宋_GB2312" w:cs="仿宋_GB2312" w:hAnsi="仿宋_GB2312" w:hint="eastAsia"/>
          <w:sz w:val="32"/>
          <w:szCs w:val="32"/>
          <w:lang w:bidi="ar-SA"/>
        </w:rPr>
        <w:t>（一）与区税务局的职责分工。</w:t>
      </w:r>
    </w:p>
    <w:p>
      <w:pPr>
        <w:ind w:firstLineChars="200" w:firstLine="640"/>
        <w:rPr>
          <w:rFonts w:ascii="仿宋_GB2312" w:eastAsia="仿宋_GB2312" w:cs="仿宋_GB2312" w:hAnsi="仿宋_GB2312" w:hint="eastAsia"/>
          <w:sz w:val="32"/>
          <w:szCs w:val="32"/>
          <w:lang w:bidi="ar-SA"/>
        </w:rPr>
      </w:pPr>
      <w:r>
        <w:rPr>
          <w:rFonts w:ascii="仿宋_GB2312" w:eastAsia="仿宋_GB2312" w:cs="仿宋_GB2312" w:hAnsi="仿宋_GB2312" w:hint="eastAsia"/>
          <w:sz w:val="32"/>
          <w:szCs w:val="32"/>
          <w:lang w:bidi="ar-SA"/>
        </w:rPr>
        <w:t>1.税政管理职责分工。区财政局负责贯彻税收地方性法规、政府规章及实施细则和税收政策调整方案，与区税务局等部门执行上级授权税目税率调整、减免税等。区税务局负责对税收地方性法规、政府规章执行过程中的征管问题和一般性税政问题进行解释。</w:t>
      </w:r>
    </w:p>
    <w:p>
      <w:pPr>
        <w:ind w:firstLineChars="200" w:firstLine="640"/>
        <w:rPr>
          <w:rFonts w:ascii="仿宋_GB2312" w:eastAsia="仿宋_GB2312" w:cs="仿宋_GB2312" w:hAnsi="仿宋_GB2312" w:hint="eastAsia"/>
          <w:sz w:val="32"/>
          <w:szCs w:val="32"/>
          <w:lang w:bidi="ar-SA"/>
        </w:rPr>
      </w:pPr>
      <w:r>
        <w:rPr>
          <w:rFonts w:ascii="仿宋_GB2312" w:eastAsia="仿宋_GB2312" w:cs="仿宋_GB2312" w:hAnsi="仿宋_GB2312" w:hint="eastAsia"/>
          <w:sz w:val="32"/>
          <w:szCs w:val="32"/>
          <w:lang w:bidi="ar-SA"/>
        </w:rPr>
        <w:t>2.非税收入管理职责分工。区财政局负责执行和组织实施非税收入国库集中收缴管理制度，负责非税收入账户、收缴方式、退付退库等管理。区财政局、区税务局等部门按照非税收入国库集中收缴管理等有关规定，分工负责非税收入申报征收、会统核算、缴费检查、欠费追缴和违法处罚等工作。区税务局等部门有关非税收入项目收缴信息应与区财政局及时共享。</w:t>
      </w:r>
    </w:p>
    <w:p>
      <w:pPr>
        <w:ind w:firstLineChars="200" w:firstLine="640"/>
        <w:rPr>
          <w:rFonts w:ascii="仿宋_GB2312" w:eastAsia="仿宋_GB2312" w:cs="仿宋_GB2312" w:hAnsi="仿宋_GB2312" w:hint="eastAsia"/>
          <w:sz w:val="32"/>
          <w:szCs w:val="32"/>
          <w:lang w:bidi="ar-SA"/>
        </w:rPr>
      </w:pPr>
      <w:r>
        <w:rPr>
          <w:rFonts w:ascii="仿宋_GB2312" w:eastAsia="仿宋_GB2312" w:cs="仿宋_GB2312" w:hAnsi="仿宋_GB2312" w:hint="eastAsia"/>
          <w:sz w:val="32"/>
          <w:szCs w:val="32"/>
          <w:lang w:bidi="ar-SA"/>
        </w:rPr>
        <w:t>（二）与区政府办公室职责分工。</w:t>
      </w:r>
    </w:p>
    <w:p>
      <w:pPr>
        <w:ind w:firstLineChars="200" w:firstLine="640"/>
        <w:rPr>
          <w:rFonts w:ascii="仿宋_GB2312" w:eastAsia="仿宋_GB2312" w:cs="仿宋_GB2312" w:hAnsi="仿宋_GB2312" w:hint="eastAsia"/>
          <w:sz w:val="32"/>
          <w:szCs w:val="32"/>
          <w:lang w:bidi="ar-SA"/>
        </w:rPr>
      </w:pPr>
      <w:r>
        <w:rPr>
          <w:rFonts w:ascii="仿宋_GB2312" w:eastAsia="仿宋_GB2312" w:cs="仿宋_GB2312" w:hAnsi="仿宋_GB2312" w:hint="eastAsia"/>
          <w:sz w:val="32"/>
          <w:szCs w:val="32"/>
          <w:lang w:bidi="ar-SA"/>
        </w:rPr>
        <w:t>区财政局负责制定行政事业单位国有资产管理制度并组织实施；负责区级党政机关事业单位公务用车编制、标准、购置、更新；负责编制内公务用车租赁管理工作；负责公务用车经费预算管理；负责按照有关规定审核处置车辆；负责行政事业单位房产（土地）的调拨及处置等工作，负责事业单位房产（土地）的管理工作。</w:t>
      </w:r>
    </w:p>
    <w:p>
      <w:pPr>
        <w:ind w:firstLineChars="200" w:firstLine="640"/>
        <w:rPr>
          <w:rFonts w:ascii="仿宋_GB2312" w:eastAsia="仿宋_GB2312" w:cs="仿宋_GB2312" w:hAnsi="仿宋_GB2312" w:hint="eastAsia"/>
          <w:sz w:val="32"/>
          <w:szCs w:val="32"/>
          <w:lang w:bidi="ar-SA"/>
        </w:rPr>
      </w:pPr>
      <w:r>
        <w:rPr>
          <w:rFonts w:ascii="仿宋_GB2312" w:eastAsia="仿宋_GB2312" w:cs="仿宋_GB2312" w:hAnsi="仿宋_GB2312" w:hint="eastAsia"/>
          <w:sz w:val="32"/>
          <w:szCs w:val="32"/>
          <w:lang w:bidi="ar-SA"/>
        </w:rPr>
        <w:t>区政府办公室负责组织指导全区公务用车制度改革工作；负责制定全区公务用车管理办法并组织实施；监督指导党政机关事业单位公务用车管理；负责区直党政群机关（与党政群机关一起办公且无独立房产的事业单位）、参照公务员法管理的事业单位办公用房的规划、权属、配置、使用、维修改造、处置利用、物业等管理工作。</w:t>
      </w:r>
    </w:p>
    <w:p>
      <w:pPr>
        <w:ind w:firstLineChars="200" w:firstLine="640"/>
        <w:rPr>
          <w:rFonts w:ascii="仿宋_GB2312" w:eastAsia="仿宋_GB2312" w:cs="仿宋_GB2312" w:hAnsi="仿宋_GB2312" w:hint="eastAsia"/>
          <w:sz w:val="32"/>
          <w:szCs w:val="32"/>
          <w:lang w:bidi="ar-SA"/>
        </w:rPr>
      </w:pPr>
      <w:r>
        <w:rPr>
          <w:rFonts w:ascii="黑体" w:eastAsia="黑体" w:cs="黑体" w:hAnsi="黑体" w:hint="eastAsia"/>
          <w:bCs/>
          <w:sz w:val="32"/>
          <w:szCs w:val="32"/>
          <w:lang w:bidi="ar-SA"/>
        </w:rPr>
        <w:t>三、区财政局设下列内设机构</w:t>
      </w:r>
      <w:r>
        <w:rPr>
          <w:rFonts w:ascii="仿宋_GB2312" w:eastAsia="仿宋_GB2312" w:cs="仿宋_GB2312" w:hAnsi="仿宋_GB2312" w:hint="eastAsia"/>
          <w:bCs/>
          <w:sz w:val="32"/>
          <w:szCs w:val="32"/>
          <w:lang w:bidi="ar-SA"/>
        </w:rPr>
        <w:t>：</w:t>
      </w:r>
    </w:p>
    <w:p>
      <w:pPr>
        <w:ind w:firstLineChars="200" w:firstLine="640"/>
        <w:rPr>
          <w:rFonts w:ascii="仿宋_GB2312" w:eastAsia="仿宋_GB2312" w:cs="仿宋_GB2312" w:hAnsi="仿宋_GB2312" w:hint="eastAsia"/>
          <w:sz w:val="32"/>
          <w:szCs w:val="32"/>
          <w:lang w:bidi="ar-SA"/>
        </w:rPr>
      </w:pPr>
      <w:r>
        <w:rPr>
          <w:rFonts w:ascii="仿宋_GB2312" w:eastAsia="仿宋_GB2312" w:cs="仿宋_GB2312" w:hAnsi="仿宋_GB2312" w:hint="eastAsia"/>
          <w:sz w:val="32"/>
          <w:szCs w:val="32"/>
          <w:lang w:bidi="ar-SA"/>
        </w:rPr>
        <w:t>（一）办公室。负责机关日常工作的综合协调和督查督办；负责机关文电、会务、机要、保密、档案、信息、信访、政务公开、后勤保障等工作；负责起草机关重要文件、综合文稿和领导讲话；负责机关财务、国有资产管理工作；承办人大代表建议、政协委员提案答复工作；负责机关和所属单位的机构编制、人事管理和教育培训工作；拟订全区财政系统教育培训规划并组织实施；指导全区财政系统干部人才队伍建设和精神文明建设；承担机关规范性文件合法性审核及汇编。组织财政普法工作；承担重大行政处罚听证、行政复议、行政应诉等工作；负责机关和所属单位的党建、宣传、思想政治、精神文明建设及群团等工作；承担机关和所属单位党风廉政建设具体工作；负责机关和所属单位的老干部服务工作。</w:t>
      </w:r>
    </w:p>
    <w:p>
      <w:pPr>
        <w:ind w:firstLineChars="200" w:firstLine="640"/>
        <w:rPr>
          <w:rFonts w:ascii="仿宋_GB2312" w:eastAsia="仿宋_GB2312" w:cs="仿宋_GB2312" w:hAnsi="仿宋_GB2312" w:hint="eastAsia"/>
          <w:sz w:val="32"/>
          <w:szCs w:val="32"/>
          <w:lang w:bidi="ar-SA"/>
        </w:rPr>
      </w:pPr>
      <w:r>
        <w:rPr>
          <w:rFonts w:ascii="仿宋_GB2312" w:eastAsia="仿宋_GB2312" w:cs="仿宋_GB2312" w:hAnsi="仿宋_GB2312" w:hint="eastAsia"/>
          <w:sz w:val="32"/>
          <w:szCs w:val="32"/>
          <w:lang w:bidi="ar-SA"/>
        </w:rPr>
        <w:t>（二）预算绩效股。提出财政政策、预算管理制度的建议，组织编制中期财政规划。编制年度区级预算草案和预算调整方案，组织区级一般公共预算、政府性基金预算、国有资本经营预算、社会保险基金预算的编制、审核等工作。组织区直部门支出标准体系建设及项目库管理工作。汇编全区年度预算。承担区级财政预算公开工作。承担街道办事处的部门预算和相关领域预算支出有关工作，提出相关财政政策建议。落实市对下的财政管理体制，推进市以下财政事权与支出责任划分改革工作。落实财力性转移支付制度，办理市对区的转移支付及税收返还和年终体制结算。指导全区基层财政业务。拟订预算绩效管理制度并组织实施，组织制定预算绩效标准体系和工作流程。组织开展区本级新增重大政策和项目事前绩效评估。组织开展部门绩效目标和绩效指标的审核。组织对区级部门、街道办事处的预算绩效管理工作的考核。</w:t>
      </w:r>
    </w:p>
    <w:p>
      <w:pPr>
        <w:ind w:firstLineChars="200" w:firstLine="640"/>
        <w:rPr>
          <w:rFonts w:ascii="仿宋_GB2312" w:eastAsia="仿宋_GB2312" w:cs="仿宋_GB2312" w:hAnsi="仿宋_GB2312" w:hint="eastAsia"/>
          <w:sz w:val="32"/>
          <w:szCs w:val="32"/>
          <w:lang w:bidi="ar-SA"/>
        </w:rPr>
      </w:pPr>
      <w:r>
        <w:rPr>
          <w:rFonts w:ascii="仿宋_GB2312" w:eastAsia="仿宋_GB2312" w:cs="仿宋_GB2312" w:hAnsi="仿宋_GB2312" w:hint="eastAsia"/>
          <w:sz w:val="32"/>
          <w:szCs w:val="32"/>
          <w:lang w:bidi="ar-SA"/>
        </w:rPr>
        <w:t>（三）国库股。组织调度全区财政收入，开展财政收入分析、预测。组织预算支出执行、监控和分析预测，牵头调度全区预算支出进度。组织实施财政总预算会计制度。组织拟订全区财政国库管理制度和国库集中收付制度。管理财政和预算单位账户、财政决算及总会计核算。承担商业银行代理财政国库业务相关管理工作。组织编制政府财务报告。承担国库现金管理有关工作。承担区级财政决算公开工作。负责制定政府采购相关制度和办法。受理采购人政府采购计划和采购合同备案审查。承担政府采购方式、政府采购信息管理。负责审核、汇编部门政府采购预算。受理供应商投诉。负责监督检查政府采购活动。</w:t>
      </w:r>
    </w:p>
    <w:p>
      <w:pPr>
        <w:ind w:firstLineChars="200" w:firstLine="640"/>
        <w:rPr>
          <w:rFonts w:ascii="仿宋_GB2312" w:eastAsia="仿宋_GB2312" w:cs="仿宋_GB2312" w:hAnsi="仿宋_GB2312" w:hint="eastAsia"/>
          <w:sz w:val="32"/>
          <w:szCs w:val="32"/>
          <w:lang w:bidi="ar-SA"/>
        </w:rPr>
      </w:pPr>
      <w:r>
        <w:rPr>
          <w:rFonts w:ascii="仿宋_GB2312" w:eastAsia="仿宋_GB2312" w:cs="仿宋_GB2312" w:hAnsi="仿宋_GB2312" w:hint="eastAsia"/>
          <w:sz w:val="32"/>
          <w:szCs w:val="32"/>
          <w:lang w:bidi="ar-SA"/>
        </w:rPr>
        <w:t>（四）监督会计股。承担财税法规和政策执行情况、预算管理有关监督工作。承担监督检查会计信息质量有关工作。组织实施财政内部控制工作；组织实施区级预算部门绩效自评、财政重点绩效评价、区级部门整体绩效评价，提出绩效评价结果运用意见。组织实施会计制度。承担指导会计人才队伍建设有关工作。按规定承担会计专业技术资格管理工作。根据上级授权负责注册会计师报名审核工作。</w:t>
      </w:r>
    </w:p>
    <w:p>
      <w:pPr>
        <w:ind w:firstLineChars="200" w:firstLine="640"/>
        <w:rPr>
          <w:rFonts w:ascii="仿宋_GB2312" w:eastAsia="仿宋_GB2312" w:cs="仿宋_GB2312" w:hAnsi="仿宋_GB2312" w:hint="eastAsia"/>
          <w:sz w:val="32"/>
          <w:szCs w:val="32"/>
          <w:lang w:bidi="ar-SA"/>
        </w:rPr>
      </w:pPr>
      <w:r>
        <w:rPr>
          <w:rFonts w:ascii="仿宋_GB2312" w:eastAsia="仿宋_GB2312" w:cs="仿宋_GB2312" w:hAnsi="仿宋_GB2312" w:hint="eastAsia"/>
          <w:sz w:val="32"/>
          <w:szCs w:val="32"/>
          <w:lang w:bidi="ar-SA"/>
        </w:rPr>
        <w:t>（五）综合股。拟订全区政府债务管理制度并组织实施，负责政府债务限额管理。按规定组织政府债券申报、转贷、还本付息等相关工作。组织开展政府债务统计、风险预警和应急处置工作。负责区级住建、城管、园林、人防等方面的部门预算和相关领域预算支出有关工作，提出相关财政政策建议。拟订土地出让收支管理制度并组织落实。参与区级城建计划的拟订。指导和监督财政评审工作。承担区级发展改革、商务、应急管理、数据资源、金融等方面的部门预算和相关领域预算支出有关工作，提出相关财政政策建议。承担有关政策性补贴和专项储备资金财政管理。审核因公临时出国（境）经费，承担财政预算内行政事业单位和社会团体的非贸易外汇管理。承担区政府对外财经交流工作。承担金融体制改革协调配合相关工作。承担全区政策性农业保险工作。承担普惠金融发展专项资金和民贸民品贷款贴息管理工作。执行金融管理部门财务制度。提出国有金融资本布局和战略性调整的政策建议。会同有关方面拟订国有金融资本基础管理、经营预算、绩效考核、负责人薪酬等制度并组织实施。按照有关规定，承担区属金融企业国有股权董事、监事管理工作。拟订公共服务领域政府和社会资本合作制度并组织实施，承担项目库管理和项目推介等相关工作。提出政府投资基金管理政策建议，组织开展政府投资基金运行情况的统计分析和绩效评价。分析预测全区宏观经济形势，并提出宏观调控政策建议。组织拟订实施政府购买服务制度。承担清理规范机关事业单位津贴补贴工作。负责政府非税收入管理制度和政策，承担政府性基金、行政事业性收费管理有关工作。</w:t>
      </w:r>
    </w:p>
    <w:p>
      <w:pPr>
        <w:ind w:firstLineChars="200" w:firstLine="640"/>
        <w:rPr>
          <w:rFonts w:ascii="仿宋_GB2312" w:eastAsia="仿宋_GB2312" w:cs="仿宋_GB2312" w:hAnsi="仿宋_GB2312" w:hint="eastAsia"/>
          <w:sz w:val="32"/>
          <w:szCs w:val="32"/>
          <w:lang w:bidi="ar-SA"/>
        </w:rPr>
      </w:pPr>
      <w:r>
        <w:rPr>
          <w:rFonts w:ascii="仿宋_GB2312" w:eastAsia="仿宋_GB2312" w:cs="仿宋_GB2312" w:hAnsi="仿宋_GB2312" w:hint="eastAsia"/>
          <w:sz w:val="32"/>
          <w:szCs w:val="32"/>
          <w:lang w:bidi="ar-SA"/>
        </w:rPr>
        <w:t>（六）行教股。负责区级行政、政法、群团等方面的部门预算和相关领域预算支出有关工作，提出相关财政政策建议。拟订区级行政性经费的财务管理制度，提出开支标准和定额。拟订行政事业单位国有资产管理制度和办法。负责资产评估、资产处置等方面的审核管理工作。负责区级党政机关事业单位公务用车编制、标准、购置、更新；按规定负责编制内公务用车租赁管理工作；负责公务用车经费预算管理，按规定负责审核处置车辆。承担区级宣传、教育、科技、文化广电、体育和旅游等方面的部门预算和相关领域预算支出有关工作，提出相关财政政策建议。拟订事业单位通用的财务管理制度。承担区级农业农村、水利、扶贫等方面的部门预算和相关领域预算支出有关工作，提出相关财政政策建议。承担财政支持实施乡村振兴战略相关工作，统筹安排财政扶贫资金。提出有关农村综合改革政策措施，管理农村综合改革资金。承办区农村综合改革领导小组办公室日常工作。</w:t>
      </w:r>
    </w:p>
    <w:p>
      <w:pPr>
        <w:ind w:firstLineChars="200" w:firstLine="640"/>
        <w:rPr>
          <w:rFonts w:ascii="仿宋_GB2312" w:eastAsia="仿宋_GB2312" w:cs="仿宋_GB2312" w:hAnsi="仿宋_GB2312" w:hint="eastAsia"/>
          <w:sz w:val="32"/>
          <w:szCs w:val="32"/>
          <w:lang w:bidi="ar-SA"/>
        </w:rPr>
      </w:pPr>
      <w:r>
        <w:rPr>
          <w:rFonts w:ascii="仿宋_GB2312" w:eastAsia="仿宋_GB2312" w:cs="仿宋_GB2312" w:hAnsi="仿宋_GB2312" w:hint="eastAsia"/>
          <w:sz w:val="32"/>
          <w:szCs w:val="32"/>
          <w:lang w:bidi="ar-SA"/>
        </w:rPr>
        <w:t>（七）社保股。承担区级人力资源和社会保障、民政、卫生健康、退役军人事务、医疗保障等方面的部门预算和相关领域预算支出有关工作，提出相关财政政策建议。会同有关方面拟订有关资金（基金）财务管理制度;审核并汇总编制区级社会保险基金预决算草案。配合有关部门拟订社会保险费征收、社会保险待遇政策。承担社会保险基金财政监管工作。</w:t>
      </w:r>
    </w:p>
    <w:p>
      <w:pPr>
        <w:ind w:firstLineChars="200" w:firstLine="640"/>
        <w:rPr>
          <w:rFonts w:ascii="仿宋_GB2312" w:eastAsia="仿宋_GB2312" w:cs="仿宋_GB2312" w:hAnsi="仿宋_GB2312" w:hint="eastAsia"/>
          <w:sz w:val="32"/>
          <w:szCs w:val="32"/>
          <w:lang w:bidi="ar-SA"/>
        </w:rPr>
      </w:pPr>
      <w:r>
        <w:rPr>
          <w:rFonts w:ascii="仿宋_GB2312" w:eastAsia="仿宋_GB2312" w:cs="仿宋_GB2312" w:hAnsi="仿宋_GB2312" w:hint="eastAsia"/>
          <w:sz w:val="32"/>
          <w:szCs w:val="32"/>
          <w:lang w:bidi="ar-SA"/>
        </w:rPr>
        <w:t>（八）税政综治股。贯彻执行税收方面的地方性法规、政府规章及实施细则。执行税收政策调整方案。提出上级授权税目税率调整、减免和地方税收政策等重大事项的建议。负责制定综合治税相关制度和办法。组织涉税信息采集与共享。开展涉税信息比对分析。开展税源监控分析。组织相关单位协助税务机关开展税收专项治理</w:t>
      </w:r>
    </w:p>
    <w:p>
      <w:pPr>
        <w:ind w:firstLineChars="200" w:firstLine="640"/>
        <w:rPr>
          <w:rFonts w:ascii="黑体" w:eastAsia="黑体" w:cs="黑体" w:hAnsi="黑体" w:hint="eastAsia"/>
          <w:bCs/>
          <w:sz w:val="32"/>
          <w:szCs w:val="32"/>
          <w:lang w:bidi="ar-SA"/>
        </w:rPr>
      </w:pPr>
      <w:r>
        <w:rPr>
          <w:rFonts w:ascii="黑体" w:eastAsia="黑体" w:cs="黑体" w:hAnsi="黑体" w:hint="eastAsia"/>
          <w:bCs/>
          <w:sz w:val="32"/>
          <w:szCs w:val="32"/>
          <w:lang w:bidi="ar-SA"/>
        </w:rPr>
        <w:t>四、办公地址</w:t>
      </w:r>
    </w:p>
    <w:p>
      <w:pPr>
        <w:ind w:firstLineChars="200" w:firstLine="640"/>
        <w:rPr>
          <w:rFonts w:ascii="仿宋_GB2312" w:eastAsia="仿宋_GB2312" w:cs="仿宋_GB2312" w:hAnsi="仿宋_GB2312" w:hint="eastAsia"/>
          <w:sz w:val="32"/>
          <w:szCs w:val="32"/>
          <w:lang w:bidi="ar-SA"/>
        </w:rPr>
      </w:pPr>
      <w:r>
        <w:rPr>
          <w:rFonts w:ascii="仿宋_GB2312" w:eastAsia="仿宋_GB2312" w:cs="仿宋_GB2312" w:hAnsi="仿宋_GB2312" w:hint="eastAsia"/>
          <w:sz w:val="32"/>
          <w:szCs w:val="32"/>
          <w:lang w:bidi="ar-SA"/>
        </w:rPr>
        <w:t>桥西区槐安西路169号；联系电话：0311-66086800</w:t>
      </w:r>
    </w:p>
    <w:p>
      <w:pPr>
        <w:ind w:firstLineChars="200" w:firstLine="640"/>
        <w:rPr>
          <w:rFonts w:ascii="仿宋_GB2312" w:eastAsia="仿宋_GB2312" w:cs="仿宋_GB2312" w:hAnsi="仿宋_GB2312" w:hint="eastAsia"/>
          <w:sz w:val="32"/>
          <w:szCs w:val="32"/>
          <w:lang w:bidi="ar-SA"/>
        </w:rPr>
      </w:pPr>
      <w:r>
        <w:rPr>
          <w:rFonts w:ascii="黑体" w:eastAsia="黑体" w:cs="黑体" w:hAnsi="黑体" w:hint="eastAsia"/>
          <w:bCs/>
          <w:sz w:val="32"/>
          <w:szCs w:val="32"/>
          <w:lang w:bidi="ar-SA"/>
        </w:rPr>
        <w:t>五、办公时间</w:t>
      </w:r>
    </w:p>
    <w:p>
      <w:pPr>
        <w:ind w:firstLineChars="200" w:firstLine="640"/>
        <w:rPr>
          <w:rFonts w:ascii="仿宋_GB2312" w:eastAsia="仿宋_GB2312" w:cs="仿宋_GB2312" w:hAnsi="仿宋_GB2312" w:hint="eastAsia"/>
          <w:sz w:val="32"/>
          <w:szCs w:val="32"/>
          <w:lang w:bidi="ar-SA"/>
        </w:rPr>
      </w:pPr>
      <w:r>
        <w:rPr>
          <w:rFonts w:ascii="仿宋_GB2312" w:eastAsia="仿宋_GB2312" w:cs="仿宋_GB2312" w:hAnsi="仿宋_GB2312" w:hint="eastAsia"/>
          <w:sz w:val="32"/>
          <w:szCs w:val="32"/>
          <w:lang w:bidi="ar-SA"/>
        </w:rPr>
        <w:t>夏季：上午9:00-12:00 下午2:00-6:00</w:t>
      </w:r>
    </w:p>
    <w:p>
      <w:pPr>
        <w:ind w:firstLineChars="200" w:firstLine="640"/>
        <w:rPr>
          <w:rFonts w:ascii="仿宋_GB2312" w:eastAsia="仿宋_GB2312" w:cs="仿宋_GB2312" w:hAnsi="仿宋_GB2312" w:hint="eastAsia"/>
          <w:sz w:val="32"/>
          <w:szCs w:val="32"/>
          <w:lang w:bidi="ar-SA"/>
        </w:rPr>
      </w:pPr>
      <w:r>
        <w:rPr>
          <w:rFonts w:ascii="仿宋_GB2312" w:eastAsia="仿宋_GB2312" w:cs="仿宋_GB2312" w:hAnsi="仿宋_GB2312" w:hint="eastAsia"/>
          <w:sz w:val="32"/>
          <w:szCs w:val="32"/>
          <w:lang w:bidi="ar-SA"/>
        </w:rPr>
        <w:t>冬季：上午9:00-12:00 下午1:00-5:00</w:t>
      </w:r>
    </w:p>
    <w:p>
      <w:pPr>
        <w:ind w:firstLineChars="200" w:firstLine="640"/>
        <w:rPr>
          <w:rFonts w:ascii="仿宋_GB2312" w:eastAsia="仿宋_GB2312" w:cs="仿宋_GB2312" w:hAnsi="仿宋_GB2312" w:hint="eastAsia"/>
          <w:sz w:val="32"/>
          <w:szCs w:val="32"/>
          <w:lang w:bidi="ar-SA"/>
        </w:rPr>
      </w:pPr>
    </w:p>
    <w:p/>
    <w:sectPr>
      <w:pgSz w:w="11906" w:h="16838"/>
      <w:pgMar w:top="1440" w:right="1800" w:bottom="1440" w:left="1800" w:header="851" w:footer="992" w:gutter="0"/>
      <w:cols w:num="1" w:space="425"/>
      <w:docGrid w:type="lines" w:linePitch="312" w:charSpace="0"/>
    </w:sectPr>
  </w:body>
</w:document>
</file>

<file path=word/fontTable.xml><?xml version="1.0" encoding="utf-8"?>
<w:fonts xmlns:w="http://schemas.openxmlformats.org/wordprocessingml/2006/main" xmlns:r="http://schemas.openxmlformats.org/officeDocument/2006/relationships">
  <w:font w:name="方正小标宋_GBK">
    <w:panose1 w:val="02000000000000000000"/>
    <w:charset w:val="86"/>
    <w:family w:val="script"/>
    <w:pitch w:val="variable"/>
    <w:sig w:usb0="A00002BF" w:usb1="38CF7CFA" w:usb2="00082016" w:usb3="00000000" w:csb0="00040001" w:csb1="00000000"/>
  </w:font>
  <w:font w:name="黑体">
    <w:panose1 w:val="02010609060101010101"/>
    <w:charset w:val="86"/>
    <w:family w:val="auto"/>
    <w:pitch w:val="variable"/>
    <w:sig w:usb0="800002BF" w:usb1="38CF7CFA" w:usb2="00000016" w:usb3="00000000" w:csb0="00040001" w:csb1="00000000"/>
  </w:font>
  <w:font w:name="仿宋_GB2312">
    <w:panose1 w:val="02010609030101010101"/>
    <w:charset w:val="86"/>
    <w:family w:val="auto"/>
    <w:pitch w:val="variable"/>
    <w:sig w:usb0="00000001" w:usb1="080E0000" w:usb2="00000000" w:usb3="00000000" w:csb0="00040000" w:csb1="00000000"/>
  </w:font>
  <w:font w:name="Times New Roman">
    <w:panose1 w:val="02020603050405020304"/>
    <w:charset w:val="00"/>
    <w:family w:val="auto"/>
    <w:pitch w:val="variable"/>
    <w:sig w:usb0="00000A87" w:usb1="00000000" w:usb2="00000000" w:usb3="00000000" w:csb0="400001BF" w:csb1="DFF70000"/>
  </w:font>
  <w:font w:name="宋体">
    <w:altName w:val="SimSun"/>
    <w:panose1 w:val="02010600030101010101"/>
    <w:charset w:val="86"/>
    <w:family w:val="auto"/>
    <w:pitch w:val="variable"/>
    <w:sig w:usb0="00000003" w:usb1="288F0000" w:usb2="00000016" w:usb3="00000000" w:csb0="00040001" w:csb1="00000000"/>
  </w:font>
  <w:font w:name="Lucida Sans">
    <w:altName w:val="DejaVu Sans"/>
    <w:panose1 w:val="020B0602030504020204"/>
    <w:charset w:val="00"/>
    <w:family w:val="auto"/>
    <w:pitch w:val="variable"/>
    <w:sig w:usb0="00000003" w:usb1="00000000" w:usb2="00000000" w:usb3="00000000" w:csb0="20000001" w:csb1="00000000"/>
  </w:font>
  <w:font w:name="Calibri">
    <w:altName w:val="Times New Roman"/>
    <w:panose1 w:val="020F0502020204030204"/>
    <w:charset w:val="00"/>
    <w:family w:val="swiss"/>
    <w:pitch w:val="variable"/>
    <w:sig w:usb0="E10002FF" w:usb1="4000ACFF" w:usb2="00000009" w:usb3="00000000" w:csb0="0000019F" w:csb1="00000000"/>
  </w:font>
</w:fonts>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90"/>
  <w:displayBackgroundShape/>
  <w:bordersDoNotSurroundHeader/>
  <w:bordersDoNotSurroundFooter/>
  <w:defaultTabStop w:val="420"/>
  <w:drawingGridHorizontalSpacing w:val="105"/>
  <w:drawingGridVerticalSpacing w:val="156"/>
  <w:displayHorizontalDrawingGridEvery w:val="0"/>
  <w:displayVerticalDrawingGridEvery w:val="2"/>
  <w:noPunctuationKerning/>
  <w:noLineBreaksAfter w:lang="zh-CN" w:val="$([{£¥·‘“〈《「『【〔〖〝﹙﹛﹝＄（．［｛￡￥"/>
  <w:noLineBreaksBefore w:lang="zh-CN" w:val="!%),.:;&gt;?]}¢¨°·ˇˉ―‖’”…‰′″›℃∶、。〃〉》」』】〕〗〞︶︺︾﹀﹄﹚﹜﹞！＂％＇），．：；？］｀｜｝～￠"/>
  <w:compat>
    <w:spaceForUL/>
    <w:balanceSingleByteDoubleByteWidth/>
    <w:ulTrailSpace/>
    <w:doNotExpandShiftReturn/>
    <w:adjustLineHeightInTable/>
    <w:compatSetting w:name="compatibilityMode" w:uri="http://schemas.microsoft.com/office/word" w:val="15"/>
  </w:compat>
  <m:mathPr>
    <m:mathFont m:val="Cambria Math"/>
    <m:brkBin m:val="before"/>
    <m:brkBinSub m:val="--"/>
    <m:smallFrac m:val="0"/>
    <m:dispDef/>
    <m:lMargin m:val="0"/>
    <m:rMargin m:val="0"/>
    <m:defJc m:val="centerGroup"/>
    <m:wrapIndent m:val="1440"/>
    <m:intLim m:val="subSup"/>
    <m:naryLim m:val="undOvr"/>
  </m:mathPr>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Lucida Sans"/>
        <w:lang w:val="en-US" w:eastAsia="zh-CN" w:bidi="ar-SA"/>
      </w:rPr>
    </w:rPrDefault>
    <w:pPrDefault/>
  </w:docDefaults>
  <w:style w:type="paragraph" w:default="1" w:styleId="0">
    <w:name w:val="Normal"/>
    <w:qFormat/>
    <w:pPr>
      <w:widowControl w:val="0"/>
      <w:jc w:val="both"/>
    </w:pPr>
    <w:rPr>
      <w:rFonts w:ascii="Calibri" w:eastAsia="宋体" w:cs="Times New Roman" w:hAnsi="Calibri"/>
      <w:kern w:val="2"/>
      <w:sz w:val="21"/>
      <w:szCs w:val="21"/>
      <w:lang w:val="en-US" w:eastAsia="zh-CN" w:bidi="ar-SA"/>
    </w:rPr>
  </w:style>
  <w:style w:type="paragraph" w:styleId="1">
    <w:name w:val="heading 1"/>
    <w:qFormat/>
    <w:basedOn w:val="0"/>
    <w:next w:val="0"/>
    <w:link w:val="1Char"/>
    <w:pPr>
      <w:keepNext/>
      <w:keepLines/>
      <w:spacing w:before="340" w:after="330" w:line="578" w:lineRule="auto"/>
      <w:outlineLvl w:val="0"/>
    </w:pPr>
    <w:rPr>
      <w:b/>
      <w:bCs/>
      <w:kern w:val="44"/>
      <w:sz w:val="44"/>
      <w:szCs w:val="44"/>
    </w:rPr>
  </w:style>
  <w:style w:type="character" w:customStyle="1" w:styleId="1Char">
    <w:name w:val="heading 1 Char"/>
    <w:basedOn w:val="10"/>
    <w:link w:val="1"/>
    <w:rPr>
      <w:rFonts w:ascii="Calibri" w:eastAsia="宋体" w:cs="Times New Roman" w:hAnsi="Calibri"/>
      <w:b/>
      <w:bCs/>
      <w:kern w:val="44"/>
      <w:sz w:val="44"/>
      <w:szCs w:val="44"/>
      <w:lang w:val="en-US" w:eastAsia="zh-CN" w:bidi="ar-SA"/>
    </w:rPr>
  </w:style>
  <w:style w:type="paragraph" w:styleId="2">
    <w:name w:val="heading 2"/>
    <w:qFormat/>
    <w:basedOn w:val="0"/>
    <w:next w:val="0"/>
    <w:link w:val="2Char"/>
    <w:pPr>
      <w:keepNext/>
      <w:keepLines/>
      <w:spacing w:before="260" w:after="260" w:line="415" w:lineRule="auto"/>
      <w:outlineLvl w:val="1"/>
    </w:pPr>
    <w:rPr>
      <w:rFonts w:ascii="Times New Roman" w:eastAsia="黑体" w:hAnsi="Times New Roman"/>
      <w:b/>
      <w:bCs/>
      <w:sz w:val="32"/>
      <w:szCs w:val="32"/>
    </w:rPr>
  </w:style>
  <w:style w:type="character" w:customStyle="1" w:styleId="2Char">
    <w:name w:val="heading 2 Char"/>
    <w:basedOn w:val="10"/>
    <w:link w:val="2"/>
    <w:rPr>
      <w:rFonts w:ascii="Times New Roman" w:eastAsia="黑体" w:cs="Times New Roman" w:hAnsi="Times New Roman"/>
      <w:b/>
      <w:bCs/>
      <w:kern w:val="2"/>
      <w:sz w:val="32"/>
      <w:szCs w:val="32"/>
      <w:lang w:val="en-US" w:eastAsia="zh-CN" w:bidi="ar-SA"/>
    </w:rPr>
  </w:style>
  <w:style w:type="paragraph" w:styleId="3">
    <w:name w:val="heading 3"/>
    <w:qFormat/>
    <w:basedOn w:val="0"/>
    <w:next w:val="0"/>
    <w:link w:val="3Char"/>
    <w:pPr>
      <w:keepNext/>
      <w:keepLines/>
      <w:spacing w:before="260" w:after="260" w:line="415" w:lineRule="auto"/>
      <w:outlineLvl w:val="2"/>
    </w:pPr>
    <w:rPr>
      <w:b/>
      <w:bCs/>
      <w:sz w:val="32"/>
      <w:szCs w:val="32"/>
    </w:rPr>
  </w:style>
  <w:style w:type="character" w:customStyle="1" w:styleId="3Char">
    <w:name w:val="heading 3 Char"/>
    <w:basedOn w:val="10"/>
    <w:link w:val="3"/>
    <w:rPr>
      <w:rFonts w:ascii="Calibri" w:eastAsia="宋体" w:cs="Times New Roman" w:hAnsi="Calibri"/>
      <w:b/>
      <w:bCs/>
      <w:kern w:val="2"/>
      <w:sz w:val="32"/>
      <w:szCs w:val="32"/>
      <w:lang w:val="en-US" w:eastAsia="zh-CN" w:bidi="ar-SA"/>
    </w:rPr>
  </w:style>
  <w:style w:type="character" w:default="1" w:styleId="10">
    <w:name w:val="Default Paragraph Font"/>
    <w:qFormat/>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customXml" Target="../customXml/item1.xml"/><Relationship Id="rId5" Type="http://schemas.openxmlformats.org/officeDocument/2006/relationships/theme" Target="theme/theme1.xml"/></Relationships>
</file>

<file path=word/theme/theme1.xml><?xml version="1.0" encoding="utf-8"?>
<a:theme xmlns:a="http://schemas.openxmlformats.org/drawingml/2006/main" name="Office 主题">
  <a:themeElements>
    <a:clrScheme name="Office 主题">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主题">
      <a:majorFont>
        <a:latin typeface=""/>
        <a:ea typeface=""/>
        <a:cs typeface=""/>
      </a:majorFont>
      <a:minorFont>
        <a:latin typeface=""/>
        <a:ea typeface=""/>
        <a:cs typeface=""/>
      </a:minorFont>
    </a:fontScheme>
    <a:fmtScheme name="Office 主题">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1"/>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1"/>
        </a:gradFill>
      </a:fillStyleLst>
      <a:lnStyleLst>
        <a:ln w="6350" cmpd="sng" cap="flat">
          <a:solidFill>
            <a:schemeClr val="phClr"/>
          </a:solidFill>
          <a:prstDash val="solid"/>
          <a:miter/>
        </a:ln>
        <a:ln w="12700" cmpd="sng" cap="flat">
          <a:solidFill>
            <a:schemeClr val="phClr"/>
          </a:solidFill>
          <a:prstDash val="solid"/>
          <a:miter/>
        </a:ln>
        <a:ln w="19050" cmpd="sng" cap="flat">
          <a:solidFill>
            <a:schemeClr val="phClr"/>
          </a:solidFill>
          <a:prstDash val="solid"/>
          <a:miter/>
        </a:ln>
      </a:lnStyleLst>
      <a:effectStyleLst>
        <a:effectStyle>
          <a:effectLst/>
        </a:effectStyle>
        <a:effectStyle>
          <a:effectLst/>
        </a:effectStyle>
        <a:effectStyle>
          <a:effectLst>
            <a:outerShdw sx="100000" sy="100000" algn="ctr" rotWithShape="0" blurRad="57150" dist="19050" dir="5400000">
              <a:srgbClr val="000000">
                <a:alpha val="62745"/>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1"/>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Data xmlns="http://www.yozosoft.com.cn/officeDocument/2016/customData">
  <customProps>
    <docPr revisions="3 0 5 0 0 0 1 0 0 0 26650 1 1 1 1 1"/>
    <sectPr/>
  </customProps>
</customData>
</file>

<file path=customXml/itemProps1.xml><?xml version="1.0" encoding="utf-8"?>
<ds:datastoreItem xmlns:ds="http://schemas.openxmlformats.org/officeDocument/2006/customXml" ds:itemID="{81B52BC5-880A-4806-9255-041F813ADCE0}">
  <ds:schemaRefs>
    <ds:schemaRef ds:uri="http://www.yozosoft.com.cn/officeDocument/2016/customData"/>
  </ds:schemaRefs>
</ds:datastoreItem>
</file>

<file path=docProps/app.xml><?xml version="1.0" encoding="utf-8"?>
<Properties xmlns="http://schemas.openxmlformats.org/officeDocument/2006/extended-properties">
  <Template>Normal.eit</Template>
  <TotalTime>0</TotalTime>
  <Application>Yozo_Office9.0.6115.191ZH</Application>
  <Pages>11</Pages>
  <Words>0</Words>
  <Characters>3733</Characters>
  <Lines>0</Lines>
  <Paragraphs>53</Paragraphs>
  <CharactersWithSpaces>4978</CharactersWithSpaces>
  <Company>Yozosoft</Company>
</Properties>
</file>

<file path=docProps/core.xml><?xml version="1.0" encoding="utf-8"?>
<cp:coreProperties xmlns:cp="http://schemas.openxmlformats.org/package/2006/metadata/core-properties" xmlns:dc="http://purl.org/dc/elements/1.1/" xmlns:dcterms="http://purl.org/dc/terms/" xmlns:xsi="http://www.w3.org/2001/XMLSchema-instance">
  <dc:creator>User274</dc:creator>
  <cp:lastModifiedBy>user</cp:lastModifiedBy>
  <cp:revision>4</cp:revision>
  <dcterms:created xsi:type="dcterms:W3CDTF">2021-05-08T07:28:00Z</dcterms:created>
  <dcterms:modified xsi:type="dcterms:W3CDTF">2026-10-20T06:46:03Z</dcterms:modified>
</cp:coreProperties>
</file>